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65052469"/>
        <w:docPartObj>
          <w:docPartGallery w:val="Cover Pages"/>
          <w:docPartUnique/>
        </w:docPartObj>
      </w:sdtPr>
      <w:sdtEndPr>
        <w:rPr>
          <w:lang w:val="es-ES"/>
        </w:rPr>
      </w:sdtEndPr>
      <w:sdtContent>
        <w:p w14:paraId="00E3C2C5" w14:textId="403BAEB9" w:rsidR="00D33739" w:rsidRDefault="00DA1D30">
          <w:r>
            <w:rPr>
              <w:noProof/>
              <w:lang w:eastAsia="es-MX"/>
            </w:rPr>
            <w:drawing>
              <wp:anchor distT="0" distB="0" distL="114300" distR="114300" simplePos="0" relativeHeight="251696128" behindDoc="1" locked="0" layoutInCell="1" allowOverlap="1" wp14:anchorId="7A3863C6" wp14:editId="1908FF34">
                <wp:simplePos x="0" y="0"/>
                <wp:positionH relativeFrom="margin">
                  <wp:align>center</wp:align>
                </wp:positionH>
                <wp:positionV relativeFrom="paragraph">
                  <wp:posOffset>-392430</wp:posOffset>
                </wp:positionV>
                <wp:extent cx="7007189" cy="90678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ada 1 Ejecutivo ASEQROO 2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7189" cy="90678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3857" w:type="pct"/>
            <w:tblLook w:val="04A0" w:firstRow="1" w:lastRow="0" w:firstColumn="1" w:lastColumn="0" w:noHBand="0" w:noVBand="1"/>
          </w:tblPr>
          <w:tblGrid>
            <w:gridCol w:w="6818"/>
          </w:tblGrid>
          <w:tr w:rsidR="00D33739" w14:paraId="1F6C0477" w14:textId="77777777" w:rsidTr="00D33739">
            <w:tc>
              <w:tcPr>
                <w:tcW w:w="6818" w:type="dxa"/>
                <w:tcMar>
                  <w:top w:w="216" w:type="dxa"/>
                  <w:left w:w="115" w:type="dxa"/>
                  <w:bottom w:w="216" w:type="dxa"/>
                  <w:right w:w="115" w:type="dxa"/>
                </w:tcMar>
              </w:tcPr>
              <w:p w14:paraId="1A112959" w14:textId="77777777" w:rsidR="00D33739" w:rsidRDefault="00D33739">
                <w:pPr>
                  <w:pStyle w:val="Sinespaciado"/>
                  <w:rPr>
                    <w:color w:val="5B9BD5" w:themeColor="accent1"/>
                  </w:rPr>
                </w:pPr>
              </w:p>
            </w:tc>
          </w:tr>
        </w:tbl>
        <w:p w14:paraId="423431AA" w14:textId="24F4039F" w:rsidR="00D33739" w:rsidRDefault="00D33739">
          <w:pPr>
            <w:rPr>
              <w:lang w:val="es-ES"/>
            </w:rPr>
          </w:pPr>
          <w:r>
            <w:rPr>
              <w:lang w:val="es-ES"/>
            </w:rPr>
            <w:br w:type="page"/>
          </w:r>
        </w:p>
      </w:sdtContent>
    </w:sdt>
    <w:sdt>
      <w:sdtPr>
        <w:rPr>
          <w:rFonts w:asciiTheme="minorHAnsi" w:eastAsiaTheme="minorHAnsi" w:hAnsiTheme="minorHAnsi" w:cstheme="minorBidi"/>
          <w:color w:val="auto"/>
          <w:sz w:val="22"/>
          <w:szCs w:val="22"/>
          <w:lang w:val="es-ES" w:eastAsia="en-US"/>
        </w:rPr>
        <w:id w:val="1720862425"/>
        <w:docPartObj>
          <w:docPartGallery w:val="Table of Contents"/>
          <w:docPartUnique/>
        </w:docPartObj>
      </w:sdtPr>
      <w:sdtEndPr>
        <w:rPr>
          <w:b/>
          <w:bCs/>
        </w:rPr>
      </w:sdtEndPr>
      <w:sdtContent>
        <w:p w14:paraId="63279869" w14:textId="7507AAE6" w:rsidR="008870FC" w:rsidRPr="008870FC" w:rsidRDefault="008870FC">
          <w:pPr>
            <w:pStyle w:val="TtuloTDC"/>
            <w:rPr>
              <w:rFonts w:asciiTheme="minorHAnsi" w:eastAsiaTheme="minorHAnsi" w:hAnsiTheme="minorHAnsi" w:cstheme="minorBidi"/>
              <w:color w:val="auto"/>
              <w:sz w:val="4"/>
              <w:szCs w:val="4"/>
              <w:lang w:val="es-ES" w:eastAsia="en-US"/>
            </w:rPr>
          </w:pPr>
        </w:p>
        <w:p w14:paraId="010EE571" w14:textId="77777777" w:rsidR="002863E8" w:rsidRPr="008870FC" w:rsidRDefault="00D30470">
          <w:pPr>
            <w:pStyle w:val="TtuloTDC"/>
            <w:rPr>
              <w:rFonts w:ascii="Arial" w:hAnsi="Arial" w:cs="Arial"/>
              <w:b/>
              <w:color w:val="auto"/>
              <w:sz w:val="36"/>
              <w:lang w:val="es-ES"/>
            </w:rPr>
          </w:pPr>
          <w:r w:rsidRPr="008870FC">
            <w:rPr>
              <w:rFonts w:ascii="Arial" w:hAnsi="Arial" w:cs="Arial"/>
              <w:b/>
              <w:color w:val="auto"/>
              <w:sz w:val="36"/>
              <w:lang w:val="es-ES"/>
            </w:rPr>
            <w:t>CONTENIDO</w:t>
          </w:r>
        </w:p>
        <w:p w14:paraId="3384C5BE" w14:textId="77777777" w:rsidR="00D30470" w:rsidRPr="008870FC" w:rsidRDefault="00D30470" w:rsidP="00585D3F">
          <w:pPr>
            <w:spacing w:line="360" w:lineRule="auto"/>
            <w:rPr>
              <w:sz w:val="20"/>
              <w:szCs w:val="20"/>
              <w:lang w:val="es-ES" w:eastAsia="es-MX"/>
            </w:rPr>
          </w:pPr>
        </w:p>
        <w:p w14:paraId="07A2CB84" w14:textId="585330FE" w:rsidR="00E571A1" w:rsidRPr="00F34061" w:rsidRDefault="002863E8" w:rsidP="00585D3F">
          <w:pPr>
            <w:pStyle w:val="TDC1"/>
            <w:tabs>
              <w:tab w:val="right" w:leader="dot" w:pos="8828"/>
            </w:tabs>
            <w:spacing w:line="360" w:lineRule="auto"/>
            <w:rPr>
              <w:rFonts w:ascii="Arial" w:eastAsiaTheme="minorEastAsia" w:hAnsi="Arial" w:cs="Arial"/>
              <w:noProof/>
              <w:lang w:eastAsia="es-MX"/>
            </w:rPr>
          </w:pPr>
          <w:r w:rsidRPr="00F34061">
            <w:rPr>
              <w:rFonts w:ascii="Arial" w:hAnsi="Arial" w:cs="Arial"/>
            </w:rPr>
            <w:fldChar w:fldCharType="begin"/>
          </w:r>
          <w:r w:rsidRPr="00F34061">
            <w:rPr>
              <w:rFonts w:ascii="Arial" w:hAnsi="Arial" w:cs="Arial"/>
            </w:rPr>
            <w:instrText xml:space="preserve"> TOC \o "1-3" \h \z \u </w:instrText>
          </w:r>
          <w:r w:rsidRPr="00F34061">
            <w:rPr>
              <w:rFonts w:ascii="Arial" w:hAnsi="Arial" w:cs="Arial"/>
            </w:rPr>
            <w:fldChar w:fldCharType="separate"/>
          </w:r>
          <w:hyperlink w:anchor="_Toc158567464" w:history="1">
            <w:r w:rsidR="00D30470" w:rsidRPr="00F34061">
              <w:rPr>
                <w:rStyle w:val="Hipervnculo"/>
                <w:rFonts w:ascii="Arial" w:hAnsi="Arial" w:cs="Arial"/>
                <w:b/>
                <w:noProof/>
                <w:color w:val="auto"/>
                <w:lang w:val="es-ES" w:eastAsia="es-ES" w:bidi="es-ES"/>
              </w:rPr>
              <w:t>ACRÓNIMOS Y SIGLAS</w:t>
            </w:r>
            <w:r w:rsidR="00D30470" w:rsidRPr="00F34061">
              <w:rPr>
                <w:rFonts w:ascii="Arial" w:hAnsi="Arial" w:cs="Arial"/>
                <w:noProof/>
                <w:webHidden/>
              </w:rPr>
              <w:tab/>
            </w:r>
            <w:r w:rsidR="00E571A1" w:rsidRPr="00D30470">
              <w:rPr>
                <w:rFonts w:ascii="Arial" w:hAnsi="Arial" w:cs="Arial"/>
                <w:b/>
                <w:noProof/>
                <w:webHidden/>
              </w:rPr>
              <w:fldChar w:fldCharType="begin"/>
            </w:r>
            <w:r w:rsidR="00E571A1" w:rsidRPr="00D30470">
              <w:rPr>
                <w:rFonts w:ascii="Arial" w:hAnsi="Arial" w:cs="Arial"/>
                <w:b/>
                <w:noProof/>
                <w:webHidden/>
              </w:rPr>
              <w:instrText xml:space="preserve"> PAGEREF _Toc158567464 \h </w:instrText>
            </w:r>
            <w:r w:rsidR="00E571A1" w:rsidRPr="00D30470">
              <w:rPr>
                <w:rFonts w:ascii="Arial" w:hAnsi="Arial" w:cs="Arial"/>
                <w:b/>
                <w:noProof/>
                <w:webHidden/>
              </w:rPr>
            </w:r>
            <w:r w:rsidR="00E571A1" w:rsidRPr="00D30470">
              <w:rPr>
                <w:rFonts w:ascii="Arial" w:hAnsi="Arial" w:cs="Arial"/>
                <w:b/>
                <w:noProof/>
                <w:webHidden/>
              </w:rPr>
              <w:fldChar w:fldCharType="separate"/>
            </w:r>
            <w:r w:rsidR="00FD773B">
              <w:rPr>
                <w:rFonts w:ascii="Arial" w:hAnsi="Arial" w:cs="Arial"/>
                <w:b/>
                <w:noProof/>
                <w:webHidden/>
              </w:rPr>
              <w:t>3</w:t>
            </w:r>
            <w:r w:rsidR="00E571A1" w:rsidRPr="00D30470">
              <w:rPr>
                <w:rFonts w:ascii="Arial" w:hAnsi="Arial" w:cs="Arial"/>
                <w:b/>
                <w:noProof/>
                <w:webHidden/>
              </w:rPr>
              <w:fldChar w:fldCharType="end"/>
            </w:r>
          </w:hyperlink>
        </w:p>
        <w:p w14:paraId="0B663C7E" w14:textId="24F49FD1"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465" w:history="1">
            <w:r w:rsidR="00D30470" w:rsidRPr="00F34061">
              <w:rPr>
                <w:rStyle w:val="Hipervnculo"/>
                <w:rFonts w:ascii="Arial" w:eastAsia="Arial" w:hAnsi="Arial" w:cs="Arial"/>
                <w:b/>
                <w:noProof/>
                <w:color w:val="auto"/>
                <w:lang w:val="es-ES" w:eastAsia="es-ES" w:bidi="es-ES"/>
              </w:rPr>
              <w:t>PREFACIO</w:t>
            </w:r>
            <w:r w:rsidR="00D30470" w:rsidRPr="00F34061">
              <w:rPr>
                <w:rFonts w:ascii="Arial" w:hAnsi="Arial" w:cs="Arial"/>
                <w:noProof/>
                <w:webHidden/>
              </w:rPr>
              <w:tab/>
            </w:r>
            <w:r w:rsidR="00E571A1" w:rsidRPr="00D30470">
              <w:rPr>
                <w:rFonts w:ascii="Arial" w:hAnsi="Arial" w:cs="Arial"/>
                <w:b/>
                <w:noProof/>
                <w:webHidden/>
              </w:rPr>
              <w:fldChar w:fldCharType="begin"/>
            </w:r>
            <w:r w:rsidR="00E571A1" w:rsidRPr="00D30470">
              <w:rPr>
                <w:rFonts w:ascii="Arial" w:hAnsi="Arial" w:cs="Arial"/>
                <w:b/>
                <w:noProof/>
                <w:webHidden/>
              </w:rPr>
              <w:instrText xml:space="preserve"> PAGEREF _Toc158567465 \h </w:instrText>
            </w:r>
            <w:r w:rsidR="00E571A1" w:rsidRPr="00D30470">
              <w:rPr>
                <w:rFonts w:ascii="Arial" w:hAnsi="Arial" w:cs="Arial"/>
                <w:b/>
                <w:noProof/>
                <w:webHidden/>
              </w:rPr>
            </w:r>
            <w:r w:rsidR="00E571A1" w:rsidRPr="00D30470">
              <w:rPr>
                <w:rFonts w:ascii="Arial" w:hAnsi="Arial" w:cs="Arial"/>
                <w:b/>
                <w:noProof/>
                <w:webHidden/>
              </w:rPr>
              <w:fldChar w:fldCharType="separate"/>
            </w:r>
            <w:r w:rsidR="00FD773B">
              <w:rPr>
                <w:rFonts w:ascii="Arial" w:hAnsi="Arial" w:cs="Arial"/>
                <w:b/>
                <w:noProof/>
                <w:webHidden/>
              </w:rPr>
              <w:t>9</w:t>
            </w:r>
            <w:r w:rsidR="00E571A1" w:rsidRPr="00D30470">
              <w:rPr>
                <w:rFonts w:ascii="Arial" w:hAnsi="Arial" w:cs="Arial"/>
                <w:b/>
                <w:noProof/>
                <w:webHidden/>
              </w:rPr>
              <w:fldChar w:fldCharType="end"/>
            </w:r>
          </w:hyperlink>
        </w:p>
        <w:p w14:paraId="6C2B6C13" w14:textId="4140699B"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466" w:history="1">
            <w:r w:rsidR="00D30470" w:rsidRPr="00F34061">
              <w:rPr>
                <w:rStyle w:val="Hipervnculo"/>
                <w:rFonts w:ascii="Arial" w:eastAsia="Arial" w:hAnsi="Arial" w:cs="Arial"/>
                <w:b/>
                <w:noProof/>
                <w:color w:val="auto"/>
                <w:lang w:val="es-ES" w:eastAsia="es-ES" w:bidi="es-ES"/>
              </w:rPr>
              <w:t>REQUISITOS MÍNIMOS DEL INFORME GENERAL EJECUTIVO</w:t>
            </w:r>
            <w:r w:rsidR="00D30470" w:rsidRPr="00F34061">
              <w:rPr>
                <w:rFonts w:ascii="Arial" w:hAnsi="Arial" w:cs="Arial"/>
                <w:noProof/>
                <w:webHidden/>
              </w:rPr>
              <w:tab/>
            </w:r>
            <w:r w:rsidR="00E571A1" w:rsidRPr="00D30470">
              <w:rPr>
                <w:rFonts w:ascii="Arial" w:hAnsi="Arial" w:cs="Arial"/>
                <w:b/>
                <w:noProof/>
                <w:webHidden/>
              </w:rPr>
              <w:fldChar w:fldCharType="begin"/>
            </w:r>
            <w:r w:rsidR="00E571A1" w:rsidRPr="00D30470">
              <w:rPr>
                <w:rFonts w:ascii="Arial" w:hAnsi="Arial" w:cs="Arial"/>
                <w:b/>
                <w:noProof/>
                <w:webHidden/>
              </w:rPr>
              <w:instrText xml:space="preserve"> PAGEREF _Toc158567466 \h </w:instrText>
            </w:r>
            <w:r w:rsidR="00E571A1" w:rsidRPr="00D30470">
              <w:rPr>
                <w:rFonts w:ascii="Arial" w:hAnsi="Arial" w:cs="Arial"/>
                <w:b/>
                <w:noProof/>
                <w:webHidden/>
              </w:rPr>
            </w:r>
            <w:r w:rsidR="00E571A1" w:rsidRPr="00D30470">
              <w:rPr>
                <w:rFonts w:ascii="Arial" w:hAnsi="Arial" w:cs="Arial"/>
                <w:b/>
                <w:noProof/>
                <w:webHidden/>
              </w:rPr>
              <w:fldChar w:fldCharType="separate"/>
            </w:r>
            <w:r w:rsidR="00FD773B">
              <w:rPr>
                <w:rFonts w:ascii="Arial" w:hAnsi="Arial" w:cs="Arial"/>
                <w:b/>
                <w:noProof/>
                <w:webHidden/>
              </w:rPr>
              <w:t>11</w:t>
            </w:r>
            <w:r w:rsidR="00E571A1" w:rsidRPr="00D30470">
              <w:rPr>
                <w:rFonts w:ascii="Arial" w:hAnsi="Arial" w:cs="Arial"/>
                <w:b/>
                <w:noProof/>
                <w:webHidden/>
              </w:rPr>
              <w:fldChar w:fldCharType="end"/>
            </w:r>
          </w:hyperlink>
        </w:p>
        <w:p w14:paraId="58DE033C" w14:textId="74A45CCC"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467" w:history="1">
            <w:r w:rsidR="00D30470" w:rsidRPr="00F34061">
              <w:rPr>
                <w:rStyle w:val="Hipervnculo"/>
                <w:rFonts w:ascii="Arial" w:eastAsia="Arial" w:hAnsi="Arial" w:cs="Arial"/>
                <w:b/>
                <w:noProof/>
                <w:color w:val="auto"/>
                <w:lang w:val="es-ES" w:eastAsia="es-ES" w:bidi="es-ES"/>
              </w:rPr>
              <w:t>MENSAJE DEL AUDITOR SUPERIOR DEL ESTADO</w:t>
            </w:r>
            <w:r w:rsidR="00D30470" w:rsidRPr="00F34061">
              <w:rPr>
                <w:rFonts w:ascii="Arial" w:hAnsi="Arial" w:cs="Arial"/>
                <w:noProof/>
                <w:webHidden/>
              </w:rPr>
              <w:tab/>
            </w:r>
            <w:r w:rsidR="00E571A1" w:rsidRPr="00D30470">
              <w:rPr>
                <w:rFonts w:ascii="Arial" w:hAnsi="Arial" w:cs="Arial"/>
                <w:b/>
                <w:noProof/>
                <w:webHidden/>
              </w:rPr>
              <w:fldChar w:fldCharType="begin"/>
            </w:r>
            <w:r w:rsidR="00E571A1" w:rsidRPr="00D30470">
              <w:rPr>
                <w:rFonts w:ascii="Arial" w:hAnsi="Arial" w:cs="Arial"/>
                <w:b/>
                <w:noProof/>
                <w:webHidden/>
              </w:rPr>
              <w:instrText xml:space="preserve"> PAGEREF _Toc158567467 \h </w:instrText>
            </w:r>
            <w:r w:rsidR="00E571A1" w:rsidRPr="00D30470">
              <w:rPr>
                <w:rFonts w:ascii="Arial" w:hAnsi="Arial" w:cs="Arial"/>
                <w:b/>
                <w:noProof/>
                <w:webHidden/>
              </w:rPr>
            </w:r>
            <w:r w:rsidR="00E571A1" w:rsidRPr="00D30470">
              <w:rPr>
                <w:rFonts w:ascii="Arial" w:hAnsi="Arial" w:cs="Arial"/>
                <w:b/>
                <w:noProof/>
                <w:webHidden/>
              </w:rPr>
              <w:fldChar w:fldCharType="separate"/>
            </w:r>
            <w:r w:rsidR="00FD773B">
              <w:rPr>
                <w:rFonts w:ascii="Arial" w:hAnsi="Arial" w:cs="Arial"/>
                <w:b/>
                <w:noProof/>
                <w:webHidden/>
              </w:rPr>
              <w:t>12</w:t>
            </w:r>
            <w:r w:rsidR="00E571A1" w:rsidRPr="00D30470">
              <w:rPr>
                <w:rFonts w:ascii="Arial" w:hAnsi="Arial" w:cs="Arial"/>
                <w:b/>
                <w:noProof/>
                <w:webHidden/>
              </w:rPr>
              <w:fldChar w:fldCharType="end"/>
            </w:r>
          </w:hyperlink>
        </w:p>
        <w:p w14:paraId="582EED70" w14:textId="029114D0"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468" w:history="1">
            <w:r w:rsidR="00D30470" w:rsidRPr="00F34061">
              <w:rPr>
                <w:rStyle w:val="Hipervnculo"/>
                <w:rFonts w:ascii="Arial" w:eastAsia="Arial" w:hAnsi="Arial" w:cs="Arial"/>
                <w:b/>
                <w:noProof/>
                <w:color w:val="auto"/>
                <w:lang w:val="es-ES" w:eastAsia="es-ES" w:bidi="es-ES"/>
              </w:rPr>
              <w:t>CAPÍTULO 1</w:t>
            </w:r>
            <w:r w:rsidR="00D30470" w:rsidRPr="00F34061">
              <w:rPr>
                <w:rFonts w:ascii="Arial" w:hAnsi="Arial" w:cs="Arial"/>
                <w:noProof/>
                <w:webHidden/>
              </w:rPr>
              <w:tab/>
            </w:r>
            <w:r w:rsidR="00E571A1" w:rsidRPr="00D30470">
              <w:rPr>
                <w:rFonts w:ascii="Arial" w:hAnsi="Arial" w:cs="Arial"/>
                <w:b/>
                <w:noProof/>
                <w:webHidden/>
              </w:rPr>
              <w:fldChar w:fldCharType="begin"/>
            </w:r>
            <w:r w:rsidR="00E571A1" w:rsidRPr="00D30470">
              <w:rPr>
                <w:rFonts w:ascii="Arial" w:hAnsi="Arial" w:cs="Arial"/>
                <w:b/>
                <w:noProof/>
                <w:webHidden/>
              </w:rPr>
              <w:instrText xml:space="preserve"> PAGEREF _Toc158567468 \h </w:instrText>
            </w:r>
            <w:r w:rsidR="00E571A1" w:rsidRPr="00D30470">
              <w:rPr>
                <w:rFonts w:ascii="Arial" w:hAnsi="Arial" w:cs="Arial"/>
                <w:b/>
                <w:noProof/>
                <w:webHidden/>
              </w:rPr>
            </w:r>
            <w:r w:rsidR="00E571A1" w:rsidRPr="00D30470">
              <w:rPr>
                <w:rFonts w:ascii="Arial" w:hAnsi="Arial" w:cs="Arial"/>
                <w:b/>
                <w:noProof/>
                <w:webHidden/>
              </w:rPr>
              <w:fldChar w:fldCharType="separate"/>
            </w:r>
            <w:r w:rsidR="00FD773B">
              <w:rPr>
                <w:rFonts w:ascii="Arial" w:hAnsi="Arial" w:cs="Arial"/>
                <w:b/>
                <w:noProof/>
                <w:webHidden/>
              </w:rPr>
              <w:t>14</w:t>
            </w:r>
            <w:r w:rsidR="00E571A1" w:rsidRPr="00D30470">
              <w:rPr>
                <w:rFonts w:ascii="Arial" w:hAnsi="Arial" w:cs="Arial"/>
                <w:b/>
                <w:noProof/>
                <w:webHidden/>
              </w:rPr>
              <w:fldChar w:fldCharType="end"/>
            </w:r>
          </w:hyperlink>
        </w:p>
        <w:p w14:paraId="1B57B6F5" w14:textId="09BF1D0F" w:rsidR="00E571A1" w:rsidRPr="00D30470" w:rsidRDefault="00D33739" w:rsidP="00585D3F">
          <w:pPr>
            <w:pStyle w:val="TDC2"/>
            <w:spacing w:line="360" w:lineRule="auto"/>
            <w:rPr>
              <w:rFonts w:eastAsiaTheme="minorEastAsia"/>
              <w:lang w:eastAsia="es-MX"/>
            </w:rPr>
          </w:pPr>
          <w:hyperlink w:anchor="_Toc158567469" w:history="1">
            <w:r w:rsidR="00D30470" w:rsidRPr="00D30470">
              <w:rPr>
                <w:rStyle w:val="Hipervnculo"/>
                <w:color w:val="auto"/>
              </w:rPr>
              <w:t xml:space="preserve">MARCO LEGAL QUE RIGE LA FISCALIZACIÓN SUPERIOR DE LA </w:t>
            </w:r>
            <w:r w:rsidR="00D30470">
              <w:rPr>
                <w:rStyle w:val="Hipervnculo"/>
                <w:color w:val="auto"/>
              </w:rPr>
              <w:t xml:space="preserve">     </w:t>
            </w:r>
            <w:r w:rsidR="00D30470" w:rsidRPr="00D30470">
              <w:rPr>
                <w:rStyle w:val="Hipervnculo"/>
                <w:color w:val="auto"/>
              </w:rPr>
              <w:t>CUENTA PÚBLICA</w:t>
            </w:r>
            <w:r w:rsidR="00D30470">
              <w:rPr>
                <w:webHidden/>
              </w:rPr>
              <w:t xml:space="preserve"> ...</w:t>
            </w:r>
            <w:r w:rsidR="00D30470" w:rsidRPr="00D30470">
              <w:rPr>
                <w:webHidden/>
              </w:rPr>
              <w:t>…………………………………………………………………</w:t>
            </w:r>
            <w:r w:rsidR="00E571A1" w:rsidRPr="00D30470">
              <w:rPr>
                <w:webHidden/>
              </w:rPr>
              <w:fldChar w:fldCharType="begin"/>
            </w:r>
            <w:r w:rsidR="00E571A1" w:rsidRPr="00D30470">
              <w:rPr>
                <w:webHidden/>
              </w:rPr>
              <w:instrText xml:space="preserve"> PAGEREF _Toc158567469 \h </w:instrText>
            </w:r>
            <w:r w:rsidR="00E571A1" w:rsidRPr="00D30470">
              <w:rPr>
                <w:webHidden/>
              </w:rPr>
            </w:r>
            <w:r w:rsidR="00E571A1" w:rsidRPr="00D30470">
              <w:rPr>
                <w:webHidden/>
              </w:rPr>
              <w:fldChar w:fldCharType="separate"/>
            </w:r>
            <w:r w:rsidR="00FD773B">
              <w:rPr>
                <w:webHidden/>
              </w:rPr>
              <w:t>15</w:t>
            </w:r>
            <w:r w:rsidR="00E571A1" w:rsidRPr="00D30470">
              <w:rPr>
                <w:webHidden/>
              </w:rPr>
              <w:fldChar w:fldCharType="end"/>
            </w:r>
          </w:hyperlink>
        </w:p>
        <w:p w14:paraId="0F12A39B" w14:textId="0B6574BD" w:rsidR="00E571A1" w:rsidRPr="00D30470" w:rsidRDefault="00D33739" w:rsidP="00585D3F">
          <w:pPr>
            <w:pStyle w:val="TDC2"/>
            <w:spacing w:line="360" w:lineRule="auto"/>
            <w:rPr>
              <w:rFonts w:eastAsiaTheme="minorEastAsia"/>
              <w:lang w:eastAsia="es-MX"/>
            </w:rPr>
          </w:pPr>
          <w:hyperlink w:anchor="_Toc158567470" w:history="1">
            <w:r w:rsidR="00D30470" w:rsidRPr="00D30470">
              <w:rPr>
                <w:rStyle w:val="Hipervnculo"/>
                <w:color w:val="auto"/>
              </w:rPr>
              <w:t xml:space="preserve">COMPARATIVO DE LAS AUDITORIAS REALIZADAS EN LOS </w:t>
            </w:r>
            <w:r w:rsidR="00932290">
              <w:rPr>
                <w:rStyle w:val="Hipervnculo"/>
                <w:color w:val="auto"/>
              </w:rPr>
              <w:t>6</w:t>
            </w:r>
            <w:r w:rsidR="00D30470" w:rsidRPr="00D30470">
              <w:rPr>
                <w:rStyle w:val="Hipervnculo"/>
                <w:color w:val="auto"/>
              </w:rPr>
              <w:t xml:space="preserve"> ÚLTIMOS EJERCICIOS DESDE LA ENTRADA EN VIGOR DE LA LFRCEQROO</w:t>
            </w:r>
            <w:r w:rsidR="00D30470" w:rsidRPr="00D30470">
              <w:rPr>
                <w:webHidden/>
              </w:rPr>
              <w:tab/>
            </w:r>
            <w:r w:rsidR="00E571A1" w:rsidRPr="00D30470">
              <w:rPr>
                <w:webHidden/>
              </w:rPr>
              <w:fldChar w:fldCharType="begin"/>
            </w:r>
            <w:r w:rsidR="00E571A1" w:rsidRPr="00D30470">
              <w:rPr>
                <w:webHidden/>
              </w:rPr>
              <w:instrText xml:space="preserve"> PAGEREF _Toc158567470 \h </w:instrText>
            </w:r>
            <w:r w:rsidR="00E571A1" w:rsidRPr="00D30470">
              <w:rPr>
                <w:webHidden/>
              </w:rPr>
            </w:r>
            <w:r w:rsidR="00E571A1" w:rsidRPr="00D30470">
              <w:rPr>
                <w:webHidden/>
              </w:rPr>
              <w:fldChar w:fldCharType="separate"/>
            </w:r>
            <w:r w:rsidR="00FD773B">
              <w:rPr>
                <w:webHidden/>
              </w:rPr>
              <w:t>17</w:t>
            </w:r>
            <w:r w:rsidR="00E571A1" w:rsidRPr="00D30470">
              <w:rPr>
                <w:webHidden/>
              </w:rPr>
              <w:fldChar w:fldCharType="end"/>
            </w:r>
          </w:hyperlink>
        </w:p>
        <w:p w14:paraId="591B398A" w14:textId="7340A85F" w:rsidR="00E571A1" w:rsidRPr="00F34061" w:rsidRDefault="00D33739" w:rsidP="00585D3F">
          <w:pPr>
            <w:pStyle w:val="TDC2"/>
            <w:spacing w:line="360" w:lineRule="auto"/>
            <w:rPr>
              <w:rFonts w:eastAsiaTheme="minorEastAsia"/>
              <w:lang w:eastAsia="es-MX"/>
            </w:rPr>
          </w:pPr>
          <w:hyperlink w:anchor="_Toc158567471" w:history="1">
            <w:r w:rsidR="00D30470" w:rsidRPr="00D30470">
              <w:rPr>
                <w:rStyle w:val="Hipervnculo"/>
                <w:color w:val="auto"/>
              </w:rPr>
              <w:t>UNIVERSO FISCALIZABLE</w:t>
            </w:r>
            <w:r w:rsidR="00D30470" w:rsidRPr="00F34061">
              <w:rPr>
                <w:webHidden/>
              </w:rPr>
              <w:tab/>
            </w:r>
            <w:r w:rsidR="00E571A1" w:rsidRPr="00F34061">
              <w:rPr>
                <w:webHidden/>
              </w:rPr>
              <w:fldChar w:fldCharType="begin"/>
            </w:r>
            <w:r w:rsidR="00E571A1" w:rsidRPr="00F34061">
              <w:rPr>
                <w:webHidden/>
              </w:rPr>
              <w:instrText xml:space="preserve"> PAGEREF _Toc158567471 \h </w:instrText>
            </w:r>
            <w:r w:rsidR="00E571A1" w:rsidRPr="00F34061">
              <w:rPr>
                <w:webHidden/>
              </w:rPr>
            </w:r>
            <w:r w:rsidR="00E571A1" w:rsidRPr="00F34061">
              <w:rPr>
                <w:webHidden/>
              </w:rPr>
              <w:fldChar w:fldCharType="separate"/>
            </w:r>
            <w:r w:rsidR="00FD773B">
              <w:rPr>
                <w:webHidden/>
              </w:rPr>
              <w:t>18</w:t>
            </w:r>
            <w:r w:rsidR="00E571A1" w:rsidRPr="00F34061">
              <w:rPr>
                <w:webHidden/>
              </w:rPr>
              <w:fldChar w:fldCharType="end"/>
            </w:r>
          </w:hyperlink>
        </w:p>
        <w:p w14:paraId="047B40DF" w14:textId="0C7123E4" w:rsidR="00E571A1" w:rsidRPr="00D30470" w:rsidRDefault="00D33739" w:rsidP="00585D3F">
          <w:pPr>
            <w:pStyle w:val="TDC2"/>
            <w:spacing w:line="360" w:lineRule="auto"/>
            <w:rPr>
              <w:rFonts w:eastAsiaTheme="minorEastAsia"/>
              <w:lang w:eastAsia="es-MX"/>
            </w:rPr>
          </w:pPr>
          <w:hyperlink w:anchor="_Toc158567472" w:history="1">
            <w:r w:rsidR="00D30470" w:rsidRPr="00D30470">
              <w:rPr>
                <w:rStyle w:val="Hipervnculo"/>
                <w:color w:val="auto"/>
              </w:rPr>
              <w:t>PLANEACIÓN DE AUDITORÍAS Y ARTÍCULO 36 FRACCIÓN IV DE LA LFRCEQROO</w:t>
            </w:r>
            <w:r w:rsidR="00D30470" w:rsidRPr="00D30470">
              <w:rPr>
                <w:webHidden/>
              </w:rPr>
              <w:tab/>
            </w:r>
            <w:r w:rsidR="00E571A1" w:rsidRPr="00D30470">
              <w:rPr>
                <w:webHidden/>
              </w:rPr>
              <w:fldChar w:fldCharType="begin"/>
            </w:r>
            <w:r w:rsidR="00E571A1" w:rsidRPr="00D30470">
              <w:rPr>
                <w:webHidden/>
              </w:rPr>
              <w:instrText xml:space="preserve"> PAGEREF _Toc158567472 \h </w:instrText>
            </w:r>
            <w:r w:rsidR="00E571A1" w:rsidRPr="00D30470">
              <w:rPr>
                <w:webHidden/>
              </w:rPr>
            </w:r>
            <w:r w:rsidR="00E571A1" w:rsidRPr="00D30470">
              <w:rPr>
                <w:webHidden/>
              </w:rPr>
              <w:fldChar w:fldCharType="separate"/>
            </w:r>
            <w:r w:rsidR="00FD773B">
              <w:rPr>
                <w:webHidden/>
              </w:rPr>
              <w:t>21</w:t>
            </w:r>
            <w:r w:rsidR="00E571A1" w:rsidRPr="00D30470">
              <w:rPr>
                <w:webHidden/>
              </w:rPr>
              <w:fldChar w:fldCharType="end"/>
            </w:r>
          </w:hyperlink>
        </w:p>
        <w:p w14:paraId="07746768" w14:textId="5B28A734" w:rsidR="00E571A1" w:rsidRPr="00F34061" w:rsidRDefault="00D33739" w:rsidP="00585D3F">
          <w:pPr>
            <w:pStyle w:val="TDC3"/>
            <w:spacing w:line="360" w:lineRule="auto"/>
            <w:rPr>
              <w:rFonts w:eastAsiaTheme="minorEastAsia"/>
              <w:noProof/>
              <w:lang w:eastAsia="es-MX"/>
            </w:rPr>
          </w:pPr>
          <w:hyperlink w:anchor="_Toc158567473" w:history="1">
            <w:r w:rsidR="00D30470" w:rsidRPr="00D30470">
              <w:rPr>
                <w:rStyle w:val="Hipervnculo"/>
                <w:rFonts w:ascii="Arial" w:hAnsi="Arial" w:cs="Arial"/>
                <w:noProof/>
                <w:color w:val="auto"/>
              </w:rPr>
              <w:t>METODOLOGÍA</w:t>
            </w:r>
            <w:r w:rsidR="00D30470" w:rsidRPr="00F34061">
              <w:rPr>
                <w:noProof/>
                <w:webHidden/>
              </w:rPr>
              <w:tab/>
            </w:r>
            <w:r w:rsidR="00E571A1" w:rsidRPr="00F34061">
              <w:rPr>
                <w:noProof/>
                <w:webHidden/>
              </w:rPr>
              <w:fldChar w:fldCharType="begin"/>
            </w:r>
            <w:r w:rsidR="00E571A1" w:rsidRPr="00F34061">
              <w:rPr>
                <w:noProof/>
                <w:webHidden/>
              </w:rPr>
              <w:instrText xml:space="preserve"> PAGEREF _Toc158567473 \h </w:instrText>
            </w:r>
            <w:r w:rsidR="00E571A1" w:rsidRPr="00F34061">
              <w:rPr>
                <w:noProof/>
                <w:webHidden/>
              </w:rPr>
            </w:r>
            <w:r w:rsidR="00E571A1" w:rsidRPr="00F34061">
              <w:rPr>
                <w:noProof/>
                <w:webHidden/>
              </w:rPr>
              <w:fldChar w:fldCharType="separate"/>
            </w:r>
            <w:r w:rsidR="00FD773B">
              <w:rPr>
                <w:noProof/>
                <w:webHidden/>
              </w:rPr>
              <w:t>21</w:t>
            </w:r>
            <w:r w:rsidR="00E571A1" w:rsidRPr="00F34061">
              <w:rPr>
                <w:noProof/>
                <w:webHidden/>
              </w:rPr>
              <w:fldChar w:fldCharType="end"/>
            </w:r>
          </w:hyperlink>
        </w:p>
        <w:p w14:paraId="17AFC3B2" w14:textId="309B5197" w:rsidR="00E571A1" w:rsidRPr="00F34061" w:rsidRDefault="00D33739" w:rsidP="00585D3F">
          <w:pPr>
            <w:pStyle w:val="TDC3"/>
            <w:spacing w:line="360" w:lineRule="auto"/>
            <w:rPr>
              <w:rFonts w:eastAsiaTheme="minorEastAsia"/>
              <w:noProof/>
              <w:lang w:eastAsia="es-MX"/>
            </w:rPr>
          </w:pPr>
          <w:hyperlink w:anchor="_Toc158567474" w:history="1">
            <w:r w:rsidR="00D30470" w:rsidRPr="00D30470">
              <w:rPr>
                <w:rStyle w:val="Hipervnculo"/>
                <w:rFonts w:ascii="Arial" w:hAnsi="Arial" w:cs="Arial"/>
                <w:noProof/>
                <w:color w:val="auto"/>
              </w:rPr>
              <w:t>AUTORIZACIÓN DEL PROGRAMA ANUAL DE AUDITORÍAS VISITAS E INSPECCIONES 2023</w:t>
            </w:r>
            <w:r w:rsidR="00D30470" w:rsidRPr="00F34061">
              <w:rPr>
                <w:noProof/>
                <w:webHidden/>
              </w:rPr>
              <w:tab/>
            </w:r>
            <w:r w:rsidR="00E571A1" w:rsidRPr="00F34061">
              <w:rPr>
                <w:noProof/>
                <w:webHidden/>
              </w:rPr>
              <w:fldChar w:fldCharType="begin"/>
            </w:r>
            <w:r w:rsidR="00E571A1" w:rsidRPr="00F34061">
              <w:rPr>
                <w:noProof/>
                <w:webHidden/>
              </w:rPr>
              <w:instrText xml:space="preserve"> PAGEREF _Toc158567474 \h </w:instrText>
            </w:r>
            <w:r w:rsidR="00E571A1" w:rsidRPr="00F34061">
              <w:rPr>
                <w:noProof/>
                <w:webHidden/>
              </w:rPr>
            </w:r>
            <w:r w:rsidR="00E571A1" w:rsidRPr="00F34061">
              <w:rPr>
                <w:noProof/>
                <w:webHidden/>
              </w:rPr>
              <w:fldChar w:fldCharType="separate"/>
            </w:r>
            <w:r w:rsidR="00FD773B">
              <w:rPr>
                <w:noProof/>
                <w:webHidden/>
              </w:rPr>
              <w:t>22</w:t>
            </w:r>
            <w:r w:rsidR="00E571A1" w:rsidRPr="00F34061">
              <w:rPr>
                <w:noProof/>
                <w:webHidden/>
              </w:rPr>
              <w:fldChar w:fldCharType="end"/>
            </w:r>
          </w:hyperlink>
        </w:p>
        <w:p w14:paraId="4CF33F02" w14:textId="7DAFF74D" w:rsidR="00E571A1" w:rsidRPr="00F34061" w:rsidRDefault="00D33739" w:rsidP="00585D3F">
          <w:pPr>
            <w:pStyle w:val="TDC3"/>
            <w:spacing w:line="360" w:lineRule="auto"/>
            <w:rPr>
              <w:rFonts w:eastAsiaTheme="minorEastAsia"/>
              <w:noProof/>
              <w:lang w:eastAsia="es-MX"/>
            </w:rPr>
          </w:pPr>
          <w:hyperlink w:anchor="_Toc158567475" w:history="1">
            <w:r w:rsidR="00D30470" w:rsidRPr="00D30470">
              <w:rPr>
                <w:rStyle w:val="Hipervnculo"/>
                <w:rFonts w:ascii="Arial" w:hAnsi="Arial" w:cs="Arial"/>
                <w:noProof/>
                <w:color w:val="auto"/>
              </w:rPr>
              <w:t>MUESTRA FISCALIZADA</w:t>
            </w:r>
            <w:r w:rsidR="00D30470" w:rsidRPr="00F34061">
              <w:rPr>
                <w:noProof/>
                <w:webHidden/>
              </w:rPr>
              <w:tab/>
            </w:r>
            <w:r w:rsidR="00E571A1" w:rsidRPr="00F34061">
              <w:rPr>
                <w:noProof/>
                <w:webHidden/>
              </w:rPr>
              <w:fldChar w:fldCharType="begin"/>
            </w:r>
            <w:r w:rsidR="00E571A1" w:rsidRPr="00F34061">
              <w:rPr>
                <w:noProof/>
                <w:webHidden/>
              </w:rPr>
              <w:instrText xml:space="preserve"> PAGEREF _Toc158567475 \h </w:instrText>
            </w:r>
            <w:r w:rsidR="00E571A1" w:rsidRPr="00F34061">
              <w:rPr>
                <w:noProof/>
                <w:webHidden/>
              </w:rPr>
            </w:r>
            <w:r w:rsidR="00E571A1" w:rsidRPr="00F34061">
              <w:rPr>
                <w:noProof/>
                <w:webHidden/>
              </w:rPr>
              <w:fldChar w:fldCharType="separate"/>
            </w:r>
            <w:r w:rsidR="00FD773B">
              <w:rPr>
                <w:noProof/>
                <w:webHidden/>
              </w:rPr>
              <w:t>24</w:t>
            </w:r>
            <w:r w:rsidR="00E571A1" w:rsidRPr="00F34061">
              <w:rPr>
                <w:noProof/>
                <w:webHidden/>
              </w:rPr>
              <w:fldChar w:fldCharType="end"/>
            </w:r>
          </w:hyperlink>
        </w:p>
        <w:p w14:paraId="2AC5042C" w14:textId="76A1FC40" w:rsidR="00E571A1" w:rsidRPr="00F34061" w:rsidRDefault="00D33739" w:rsidP="00585D3F">
          <w:pPr>
            <w:pStyle w:val="TDC2"/>
            <w:spacing w:line="360" w:lineRule="auto"/>
            <w:rPr>
              <w:rFonts w:eastAsiaTheme="minorEastAsia"/>
              <w:lang w:eastAsia="es-MX"/>
            </w:rPr>
          </w:pPr>
          <w:hyperlink w:anchor="_Toc158567476" w:history="1">
            <w:r w:rsidR="00D30470" w:rsidRPr="00D30470">
              <w:rPr>
                <w:rStyle w:val="Hipervnculo"/>
                <w:color w:val="auto"/>
              </w:rPr>
              <w:t xml:space="preserve">TIPOS Y ENFOQUES DE AUDITORÍA UTILIZADOS PARA LA </w:t>
            </w:r>
            <w:r w:rsidR="00D30470">
              <w:rPr>
                <w:rStyle w:val="Hipervnculo"/>
                <w:color w:val="auto"/>
              </w:rPr>
              <w:t xml:space="preserve"> </w:t>
            </w:r>
            <w:r w:rsidR="00D30470" w:rsidRPr="00D30470">
              <w:rPr>
                <w:rStyle w:val="Hipervnculo"/>
                <w:color w:val="auto"/>
              </w:rPr>
              <w:t>FISCALIZACIÓN DE LA CUENTA PÚBLICA 2022</w:t>
            </w:r>
            <w:r w:rsidR="00D30470" w:rsidRPr="00F34061">
              <w:rPr>
                <w:webHidden/>
              </w:rPr>
              <w:tab/>
            </w:r>
            <w:r w:rsidR="00E571A1" w:rsidRPr="00F34061">
              <w:rPr>
                <w:webHidden/>
              </w:rPr>
              <w:fldChar w:fldCharType="begin"/>
            </w:r>
            <w:r w:rsidR="00E571A1" w:rsidRPr="00F34061">
              <w:rPr>
                <w:webHidden/>
              </w:rPr>
              <w:instrText xml:space="preserve"> PAGEREF _Toc158567476 \h </w:instrText>
            </w:r>
            <w:r w:rsidR="00E571A1" w:rsidRPr="00F34061">
              <w:rPr>
                <w:webHidden/>
              </w:rPr>
            </w:r>
            <w:r w:rsidR="00E571A1" w:rsidRPr="00F34061">
              <w:rPr>
                <w:webHidden/>
              </w:rPr>
              <w:fldChar w:fldCharType="separate"/>
            </w:r>
            <w:r w:rsidR="00FD773B">
              <w:rPr>
                <w:webHidden/>
              </w:rPr>
              <w:t>26</w:t>
            </w:r>
            <w:r w:rsidR="00E571A1" w:rsidRPr="00F34061">
              <w:rPr>
                <w:webHidden/>
              </w:rPr>
              <w:fldChar w:fldCharType="end"/>
            </w:r>
          </w:hyperlink>
        </w:p>
        <w:p w14:paraId="633DDAA8" w14:textId="0B685CCB" w:rsidR="00E571A1" w:rsidRPr="00F34061" w:rsidRDefault="00D33739" w:rsidP="00A06390">
          <w:pPr>
            <w:pStyle w:val="TDC3"/>
            <w:numPr>
              <w:ilvl w:val="0"/>
              <w:numId w:val="32"/>
            </w:numPr>
            <w:spacing w:line="360" w:lineRule="auto"/>
            <w:rPr>
              <w:rFonts w:eastAsiaTheme="minorEastAsia"/>
              <w:noProof/>
              <w:lang w:eastAsia="es-MX"/>
            </w:rPr>
          </w:pPr>
          <w:hyperlink w:anchor="_Toc158567477" w:history="1">
            <w:r w:rsidR="00D30470" w:rsidRPr="00D30470">
              <w:rPr>
                <w:rStyle w:val="Hipervnculo"/>
                <w:rFonts w:ascii="Arial" w:hAnsi="Arial" w:cs="Arial"/>
                <w:noProof/>
                <w:color w:val="auto"/>
              </w:rPr>
              <w:t>AUDITORÍA DE CUMPLIMIENTO FINANCIERO</w:t>
            </w:r>
            <w:r w:rsidR="00D30470" w:rsidRPr="00F34061">
              <w:rPr>
                <w:noProof/>
                <w:webHidden/>
              </w:rPr>
              <w:tab/>
            </w:r>
            <w:r w:rsidR="00E571A1" w:rsidRPr="00F34061">
              <w:rPr>
                <w:noProof/>
                <w:webHidden/>
              </w:rPr>
              <w:fldChar w:fldCharType="begin"/>
            </w:r>
            <w:r w:rsidR="00E571A1" w:rsidRPr="00F34061">
              <w:rPr>
                <w:noProof/>
                <w:webHidden/>
              </w:rPr>
              <w:instrText xml:space="preserve"> PAGEREF _Toc158567477 \h </w:instrText>
            </w:r>
            <w:r w:rsidR="00E571A1" w:rsidRPr="00F34061">
              <w:rPr>
                <w:noProof/>
                <w:webHidden/>
              </w:rPr>
            </w:r>
            <w:r w:rsidR="00E571A1" w:rsidRPr="00F34061">
              <w:rPr>
                <w:noProof/>
                <w:webHidden/>
              </w:rPr>
              <w:fldChar w:fldCharType="separate"/>
            </w:r>
            <w:r w:rsidR="00FD773B">
              <w:rPr>
                <w:noProof/>
                <w:webHidden/>
              </w:rPr>
              <w:t>26</w:t>
            </w:r>
            <w:r w:rsidR="00E571A1" w:rsidRPr="00F34061">
              <w:rPr>
                <w:noProof/>
                <w:webHidden/>
              </w:rPr>
              <w:fldChar w:fldCharType="end"/>
            </w:r>
          </w:hyperlink>
        </w:p>
        <w:p w14:paraId="56FA5498" w14:textId="04C000AF" w:rsidR="00E571A1" w:rsidRPr="00F34061" w:rsidRDefault="00D33739" w:rsidP="00A06390">
          <w:pPr>
            <w:pStyle w:val="TDC3"/>
            <w:numPr>
              <w:ilvl w:val="0"/>
              <w:numId w:val="32"/>
            </w:numPr>
            <w:spacing w:line="360" w:lineRule="auto"/>
            <w:rPr>
              <w:rFonts w:eastAsiaTheme="minorEastAsia"/>
              <w:noProof/>
              <w:lang w:eastAsia="es-MX"/>
            </w:rPr>
          </w:pPr>
          <w:hyperlink w:anchor="_Toc158567478" w:history="1">
            <w:r w:rsidR="00D30470" w:rsidRPr="00D30470">
              <w:rPr>
                <w:rStyle w:val="Hipervnculo"/>
                <w:rFonts w:ascii="Arial" w:hAnsi="Arial" w:cs="Arial"/>
                <w:noProof/>
                <w:color w:val="auto"/>
              </w:rPr>
              <w:t>AUDITORÍA DE CUMPLIMIENTO DE INVERSIONES FÍSICAS</w:t>
            </w:r>
            <w:r w:rsidR="00D30470" w:rsidRPr="00F34061">
              <w:rPr>
                <w:noProof/>
                <w:webHidden/>
              </w:rPr>
              <w:tab/>
            </w:r>
            <w:r w:rsidR="00E571A1" w:rsidRPr="00F34061">
              <w:rPr>
                <w:noProof/>
                <w:webHidden/>
              </w:rPr>
              <w:fldChar w:fldCharType="begin"/>
            </w:r>
            <w:r w:rsidR="00E571A1" w:rsidRPr="00F34061">
              <w:rPr>
                <w:noProof/>
                <w:webHidden/>
              </w:rPr>
              <w:instrText xml:space="preserve"> PAGEREF _Toc158567478 \h </w:instrText>
            </w:r>
            <w:r w:rsidR="00E571A1" w:rsidRPr="00F34061">
              <w:rPr>
                <w:noProof/>
                <w:webHidden/>
              </w:rPr>
            </w:r>
            <w:r w:rsidR="00E571A1" w:rsidRPr="00F34061">
              <w:rPr>
                <w:noProof/>
                <w:webHidden/>
              </w:rPr>
              <w:fldChar w:fldCharType="separate"/>
            </w:r>
            <w:r w:rsidR="00FD773B">
              <w:rPr>
                <w:noProof/>
                <w:webHidden/>
              </w:rPr>
              <w:t>27</w:t>
            </w:r>
            <w:r w:rsidR="00E571A1" w:rsidRPr="00F34061">
              <w:rPr>
                <w:noProof/>
                <w:webHidden/>
              </w:rPr>
              <w:fldChar w:fldCharType="end"/>
            </w:r>
          </w:hyperlink>
        </w:p>
        <w:p w14:paraId="5C8C24D5" w14:textId="3C62A367" w:rsidR="00E571A1" w:rsidRPr="00F34061" w:rsidRDefault="00D33739" w:rsidP="00A06390">
          <w:pPr>
            <w:pStyle w:val="TDC3"/>
            <w:numPr>
              <w:ilvl w:val="0"/>
              <w:numId w:val="32"/>
            </w:numPr>
            <w:spacing w:line="360" w:lineRule="auto"/>
            <w:rPr>
              <w:rFonts w:eastAsiaTheme="minorEastAsia"/>
              <w:noProof/>
              <w:lang w:eastAsia="es-MX"/>
            </w:rPr>
          </w:pPr>
          <w:hyperlink w:anchor="_Toc158567479" w:history="1">
            <w:r w:rsidR="00D30470" w:rsidRPr="00D30470">
              <w:rPr>
                <w:rStyle w:val="Hipervnculo"/>
                <w:rFonts w:ascii="Arial" w:hAnsi="Arial" w:cs="Arial"/>
                <w:noProof/>
                <w:color w:val="auto"/>
              </w:rPr>
              <w:t>AUDITORÍA DE DESEMPEÑO</w:t>
            </w:r>
            <w:r w:rsidR="00D30470" w:rsidRPr="00F34061">
              <w:rPr>
                <w:noProof/>
                <w:webHidden/>
              </w:rPr>
              <w:tab/>
            </w:r>
            <w:r w:rsidR="00E571A1" w:rsidRPr="00F34061">
              <w:rPr>
                <w:noProof/>
                <w:webHidden/>
              </w:rPr>
              <w:fldChar w:fldCharType="begin"/>
            </w:r>
            <w:r w:rsidR="00E571A1" w:rsidRPr="00F34061">
              <w:rPr>
                <w:noProof/>
                <w:webHidden/>
              </w:rPr>
              <w:instrText xml:space="preserve"> PAGEREF _Toc158567479 \h </w:instrText>
            </w:r>
            <w:r w:rsidR="00E571A1" w:rsidRPr="00F34061">
              <w:rPr>
                <w:noProof/>
                <w:webHidden/>
              </w:rPr>
            </w:r>
            <w:r w:rsidR="00E571A1" w:rsidRPr="00F34061">
              <w:rPr>
                <w:noProof/>
                <w:webHidden/>
              </w:rPr>
              <w:fldChar w:fldCharType="separate"/>
            </w:r>
            <w:r w:rsidR="00FD773B">
              <w:rPr>
                <w:noProof/>
                <w:webHidden/>
              </w:rPr>
              <w:t>27</w:t>
            </w:r>
            <w:r w:rsidR="00E571A1" w:rsidRPr="00F34061">
              <w:rPr>
                <w:noProof/>
                <w:webHidden/>
              </w:rPr>
              <w:fldChar w:fldCharType="end"/>
            </w:r>
          </w:hyperlink>
        </w:p>
        <w:p w14:paraId="076DE283" w14:textId="7C83FD9B" w:rsidR="00E571A1" w:rsidRPr="00F34061" w:rsidRDefault="00D33739" w:rsidP="00585D3F">
          <w:pPr>
            <w:pStyle w:val="TDC2"/>
            <w:spacing w:line="360" w:lineRule="auto"/>
            <w:rPr>
              <w:rFonts w:eastAsiaTheme="minorEastAsia"/>
              <w:lang w:eastAsia="es-MX"/>
            </w:rPr>
          </w:pPr>
          <w:hyperlink w:anchor="_Toc158567480" w:history="1">
            <w:r w:rsidR="00D30470" w:rsidRPr="00D30470">
              <w:rPr>
                <w:rStyle w:val="Hipervnculo"/>
                <w:color w:val="auto"/>
              </w:rPr>
              <w:t>RESULTADOS DEL PROCESO DE FISCALIZACIÓN</w:t>
            </w:r>
            <w:r w:rsidR="00D30470" w:rsidRPr="00F34061">
              <w:rPr>
                <w:webHidden/>
              </w:rPr>
              <w:tab/>
            </w:r>
            <w:r w:rsidR="00E571A1" w:rsidRPr="00F34061">
              <w:rPr>
                <w:webHidden/>
              </w:rPr>
              <w:fldChar w:fldCharType="begin"/>
            </w:r>
            <w:r w:rsidR="00E571A1" w:rsidRPr="00F34061">
              <w:rPr>
                <w:webHidden/>
              </w:rPr>
              <w:instrText xml:space="preserve"> PAGEREF _Toc158567480 \h </w:instrText>
            </w:r>
            <w:r w:rsidR="00E571A1" w:rsidRPr="00F34061">
              <w:rPr>
                <w:webHidden/>
              </w:rPr>
            </w:r>
            <w:r w:rsidR="00E571A1" w:rsidRPr="00F34061">
              <w:rPr>
                <w:webHidden/>
              </w:rPr>
              <w:fldChar w:fldCharType="separate"/>
            </w:r>
            <w:r w:rsidR="00FD773B">
              <w:rPr>
                <w:webHidden/>
              </w:rPr>
              <w:t>28</w:t>
            </w:r>
            <w:r w:rsidR="00E571A1" w:rsidRPr="00F34061">
              <w:rPr>
                <w:webHidden/>
              </w:rPr>
              <w:fldChar w:fldCharType="end"/>
            </w:r>
          </w:hyperlink>
        </w:p>
        <w:p w14:paraId="1D977AFB" w14:textId="515B7E3C" w:rsidR="00E571A1" w:rsidRPr="00F34061" w:rsidRDefault="00D33739" w:rsidP="00585D3F">
          <w:pPr>
            <w:pStyle w:val="TDC2"/>
            <w:spacing w:line="360" w:lineRule="auto"/>
            <w:rPr>
              <w:rFonts w:eastAsiaTheme="minorEastAsia"/>
              <w:lang w:eastAsia="es-MX"/>
            </w:rPr>
          </w:pPr>
          <w:hyperlink w:anchor="_Toc158567481" w:history="1">
            <w:r w:rsidR="00D30470" w:rsidRPr="00D30470">
              <w:rPr>
                <w:rStyle w:val="Hipervnculo"/>
                <w:color w:val="auto"/>
              </w:rPr>
              <w:t xml:space="preserve">ESTADÍSTICAS SOBRE LOS RESULTADOS DE LA FISCALIZACIÓN </w:t>
            </w:r>
            <w:r w:rsidR="00D30470">
              <w:rPr>
                <w:rStyle w:val="Hipervnculo"/>
                <w:color w:val="auto"/>
              </w:rPr>
              <w:t xml:space="preserve">           </w:t>
            </w:r>
            <w:r w:rsidR="00D30470" w:rsidRPr="00D30470">
              <w:rPr>
                <w:rStyle w:val="Hipervnculo"/>
                <w:color w:val="auto"/>
              </w:rPr>
              <w:t>DE LA CUENTA PÚBLICA 2022</w:t>
            </w:r>
            <w:r w:rsidR="00D30470" w:rsidRPr="00F34061">
              <w:rPr>
                <w:webHidden/>
              </w:rPr>
              <w:tab/>
            </w:r>
            <w:r w:rsidR="00E571A1" w:rsidRPr="00F34061">
              <w:rPr>
                <w:webHidden/>
              </w:rPr>
              <w:fldChar w:fldCharType="begin"/>
            </w:r>
            <w:r w:rsidR="00E571A1" w:rsidRPr="00F34061">
              <w:rPr>
                <w:webHidden/>
              </w:rPr>
              <w:instrText xml:space="preserve"> PAGEREF _Toc158567481 \h </w:instrText>
            </w:r>
            <w:r w:rsidR="00E571A1" w:rsidRPr="00F34061">
              <w:rPr>
                <w:webHidden/>
              </w:rPr>
            </w:r>
            <w:r w:rsidR="00E571A1" w:rsidRPr="00F34061">
              <w:rPr>
                <w:webHidden/>
              </w:rPr>
              <w:fldChar w:fldCharType="separate"/>
            </w:r>
            <w:r w:rsidR="00FD773B">
              <w:rPr>
                <w:webHidden/>
              </w:rPr>
              <w:t>31</w:t>
            </w:r>
            <w:r w:rsidR="00E571A1" w:rsidRPr="00F34061">
              <w:rPr>
                <w:webHidden/>
              </w:rPr>
              <w:fldChar w:fldCharType="end"/>
            </w:r>
          </w:hyperlink>
        </w:p>
        <w:p w14:paraId="5755BC49" w14:textId="1EDA47E4"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482" w:history="1">
            <w:r w:rsidR="00D30470" w:rsidRPr="00F34061">
              <w:rPr>
                <w:rStyle w:val="Hipervnculo"/>
                <w:rFonts w:ascii="Arial" w:eastAsia="Arial" w:hAnsi="Arial" w:cs="Arial"/>
                <w:b/>
                <w:noProof/>
                <w:color w:val="auto"/>
                <w:lang w:val="es-ES" w:eastAsia="es-ES" w:bidi="es-ES"/>
              </w:rPr>
              <w:t>CAPÍTULO 2</w:t>
            </w:r>
            <w:r w:rsidR="00D30470">
              <w:rPr>
                <w:rStyle w:val="Hipervnculo"/>
                <w:rFonts w:ascii="Arial" w:eastAsia="Arial" w:hAnsi="Arial" w:cs="Arial"/>
                <w:b/>
                <w:noProof/>
                <w:color w:val="auto"/>
                <w:lang w:val="es-ES" w:eastAsia="es-ES" w:bidi="es-ES"/>
              </w:rPr>
              <w:t xml:space="preserve"> </w:t>
            </w:r>
            <w:r w:rsidR="00D30470" w:rsidRPr="00D30470">
              <w:rPr>
                <w:rStyle w:val="Hipervnculo"/>
                <w:rFonts w:ascii="Arial" w:eastAsia="Arial" w:hAnsi="Arial" w:cs="Arial"/>
                <w:b/>
                <w:noProof/>
                <w:color w:val="auto"/>
                <w:lang w:val="es-ES" w:eastAsia="es-ES" w:bidi="es-ES"/>
              </w:rPr>
              <w:t>ÁREAS CLAVE DE RIESGO</w:t>
            </w:r>
            <w:r w:rsidR="00D30470" w:rsidRPr="00F34061">
              <w:rPr>
                <w:rFonts w:ascii="Arial" w:hAnsi="Arial" w:cs="Arial"/>
                <w:noProof/>
                <w:webHidden/>
              </w:rPr>
              <w:tab/>
            </w:r>
            <w:r w:rsidR="00E571A1" w:rsidRPr="008A4E1A">
              <w:rPr>
                <w:rFonts w:ascii="Arial" w:hAnsi="Arial" w:cs="Arial"/>
                <w:b/>
                <w:noProof/>
                <w:webHidden/>
              </w:rPr>
              <w:fldChar w:fldCharType="begin"/>
            </w:r>
            <w:r w:rsidR="00E571A1" w:rsidRPr="008A4E1A">
              <w:rPr>
                <w:rFonts w:ascii="Arial" w:hAnsi="Arial" w:cs="Arial"/>
                <w:b/>
                <w:noProof/>
                <w:webHidden/>
              </w:rPr>
              <w:instrText xml:space="preserve"> PAGEREF _Toc158567482 \h </w:instrText>
            </w:r>
            <w:r w:rsidR="00E571A1" w:rsidRPr="008A4E1A">
              <w:rPr>
                <w:rFonts w:ascii="Arial" w:hAnsi="Arial" w:cs="Arial"/>
                <w:b/>
                <w:noProof/>
                <w:webHidden/>
              </w:rPr>
            </w:r>
            <w:r w:rsidR="00E571A1" w:rsidRPr="008A4E1A">
              <w:rPr>
                <w:rFonts w:ascii="Arial" w:hAnsi="Arial" w:cs="Arial"/>
                <w:b/>
                <w:noProof/>
                <w:webHidden/>
              </w:rPr>
              <w:fldChar w:fldCharType="separate"/>
            </w:r>
            <w:r w:rsidR="00FD773B">
              <w:rPr>
                <w:rFonts w:ascii="Arial" w:hAnsi="Arial" w:cs="Arial"/>
                <w:b/>
                <w:noProof/>
                <w:webHidden/>
              </w:rPr>
              <w:t>35</w:t>
            </w:r>
            <w:r w:rsidR="00E571A1" w:rsidRPr="008A4E1A">
              <w:rPr>
                <w:rFonts w:ascii="Arial" w:hAnsi="Arial" w:cs="Arial"/>
                <w:b/>
                <w:noProof/>
                <w:webHidden/>
              </w:rPr>
              <w:fldChar w:fldCharType="end"/>
            </w:r>
          </w:hyperlink>
        </w:p>
        <w:p w14:paraId="0F2512D7" w14:textId="48CEA7C9" w:rsidR="00E571A1" w:rsidRPr="00F34061" w:rsidRDefault="00D33739" w:rsidP="00A06390">
          <w:pPr>
            <w:pStyle w:val="TDC2"/>
            <w:numPr>
              <w:ilvl w:val="0"/>
              <w:numId w:val="33"/>
            </w:numPr>
            <w:spacing w:line="360" w:lineRule="auto"/>
            <w:rPr>
              <w:rFonts w:eastAsiaTheme="minorEastAsia"/>
              <w:lang w:eastAsia="es-MX"/>
            </w:rPr>
          </w:pPr>
          <w:hyperlink w:anchor="_Toc158567484" w:history="1">
            <w:r w:rsidR="00D30470" w:rsidRPr="008A4E1A">
              <w:rPr>
                <w:rStyle w:val="Hipervnculo"/>
                <w:color w:val="auto"/>
              </w:rPr>
              <w:t>METODOLOGÍA PARA LA IDENTIFICACIÓN DE LAS ÁREAS CLAVES CON RIESGOS</w:t>
            </w:r>
            <w:r w:rsidR="00E565DF">
              <w:rPr>
                <w:rStyle w:val="Hipervnculo"/>
                <w:color w:val="auto"/>
              </w:rPr>
              <w:t xml:space="preserve">   </w:t>
            </w:r>
            <w:r w:rsidR="008A4E1A">
              <w:rPr>
                <w:rStyle w:val="Hipervnculo"/>
                <w:color w:val="auto"/>
              </w:rPr>
              <w:t>……………………………………………………………………………….</w:t>
            </w:r>
            <w:r w:rsidR="00E571A1" w:rsidRPr="00F34061">
              <w:rPr>
                <w:webHidden/>
              </w:rPr>
              <w:fldChar w:fldCharType="begin"/>
            </w:r>
            <w:r w:rsidR="00E571A1" w:rsidRPr="00F34061">
              <w:rPr>
                <w:webHidden/>
              </w:rPr>
              <w:instrText xml:space="preserve"> PAGEREF _Toc158567484 \h </w:instrText>
            </w:r>
            <w:r w:rsidR="00E571A1" w:rsidRPr="00F34061">
              <w:rPr>
                <w:webHidden/>
              </w:rPr>
            </w:r>
            <w:r w:rsidR="00E571A1" w:rsidRPr="00F34061">
              <w:rPr>
                <w:webHidden/>
              </w:rPr>
              <w:fldChar w:fldCharType="separate"/>
            </w:r>
            <w:r w:rsidR="00FD773B">
              <w:rPr>
                <w:webHidden/>
              </w:rPr>
              <w:t>36</w:t>
            </w:r>
            <w:r w:rsidR="00E571A1" w:rsidRPr="00F34061">
              <w:rPr>
                <w:webHidden/>
              </w:rPr>
              <w:fldChar w:fldCharType="end"/>
            </w:r>
          </w:hyperlink>
        </w:p>
        <w:p w14:paraId="1C507F2D" w14:textId="2D0998E9" w:rsidR="00E571A1" w:rsidRPr="00F34061" w:rsidRDefault="00D33739" w:rsidP="00A06390">
          <w:pPr>
            <w:pStyle w:val="TDC2"/>
            <w:numPr>
              <w:ilvl w:val="0"/>
              <w:numId w:val="33"/>
            </w:numPr>
            <w:spacing w:line="360" w:lineRule="auto"/>
            <w:rPr>
              <w:rFonts w:eastAsiaTheme="minorEastAsia"/>
              <w:lang w:eastAsia="es-MX"/>
            </w:rPr>
          </w:pPr>
          <w:hyperlink w:anchor="_Toc158567485" w:history="1">
            <w:r w:rsidR="00D30470" w:rsidRPr="008A4E1A">
              <w:rPr>
                <w:rStyle w:val="Hipervnculo"/>
                <w:color w:val="auto"/>
              </w:rPr>
              <w:t>RECOMENDACIONES GENERALES PARA LA MEJORA DE LA GESTIÓN DE LAS ENTIDADES FISCALIZADAS.</w:t>
            </w:r>
            <w:r w:rsidR="00D30470" w:rsidRPr="00F34061">
              <w:rPr>
                <w:webHidden/>
              </w:rPr>
              <w:tab/>
            </w:r>
            <w:r w:rsidR="00E571A1" w:rsidRPr="00F34061">
              <w:rPr>
                <w:webHidden/>
              </w:rPr>
              <w:fldChar w:fldCharType="begin"/>
            </w:r>
            <w:r w:rsidR="00E571A1" w:rsidRPr="00F34061">
              <w:rPr>
                <w:webHidden/>
              </w:rPr>
              <w:instrText xml:space="preserve"> PAGEREF _Toc158567485 \h </w:instrText>
            </w:r>
            <w:r w:rsidR="00E571A1" w:rsidRPr="00F34061">
              <w:rPr>
                <w:webHidden/>
              </w:rPr>
            </w:r>
            <w:r w:rsidR="00E571A1" w:rsidRPr="00F34061">
              <w:rPr>
                <w:webHidden/>
              </w:rPr>
              <w:fldChar w:fldCharType="separate"/>
            </w:r>
            <w:r w:rsidR="00FD773B">
              <w:rPr>
                <w:webHidden/>
              </w:rPr>
              <w:t>49</w:t>
            </w:r>
            <w:r w:rsidR="00E571A1" w:rsidRPr="00F34061">
              <w:rPr>
                <w:webHidden/>
              </w:rPr>
              <w:fldChar w:fldCharType="end"/>
            </w:r>
          </w:hyperlink>
        </w:p>
        <w:p w14:paraId="572B963F" w14:textId="67A068C6"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486" w:history="1">
            <w:r w:rsidR="00D30470" w:rsidRPr="00F34061">
              <w:rPr>
                <w:rStyle w:val="Hipervnculo"/>
                <w:rFonts w:ascii="Arial" w:eastAsia="Arial" w:hAnsi="Arial" w:cs="Arial"/>
                <w:b/>
                <w:noProof/>
                <w:color w:val="auto"/>
                <w:lang w:val="es-ES" w:eastAsia="es-ES" w:bidi="es-ES"/>
              </w:rPr>
              <w:t>CAPÍTULO 3</w:t>
            </w:r>
            <w:r w:rsidR="00E565DF">
              <w:rPr>
                <w:rStyle w:val="Hipervnculo"/>
                <w:rFonts w:ascii="Arial" w:eastAsia="Arial" w:hAnsi="Arial" w:cs="Arial"/>
                <w:b/>
                <w:noProof/>
                <w:color w:val="auto"/>
                <w:lang w:val="es-ES" w:eastAsia="es-ES" w:bidi="es-ES"/>
              </w:rPr>
              <w:t xml:space="preserve"> </w:t>
            </w:r>
            <w:r w:rsidR="00E565DF" w:rsidRPr="00E565DF">
              <w:rPr>
                <w:rStyle w:val="Hipervnculo"/>
                <w:rFonts w:ascii="Arial" w:eastAsia="Arial" w:hAnsi="Arial" w:cs="Arial"/>
                <w:b/>
                <w:noProof/>
                <w:color w:val="auto"/>
                <w:lang w:val="es-ES" w:eastAsia="es-ES" w:bidi="es-ES"/>
              </w:rPr>
              <w:t>RESUMEN DE RESULTADOS</w:t>
            </w:r>
            <w:r w:rsidR="00D30470" w:rsidRPr="00F34061">
              <w:rPr>
                <w:rFonts w:ascii="Arial" w:hAnsi="Arial" w:cs="Arial"/>
                <w:noProof/>
                <w:webHidden/>
              </w:rPr>
              <w:tab/>
            </w:r>
            <w:r w:rsidR="00E571A1" w:rsidRPr="00E565DF">
              <w:rPr>
                <w:rFonts w:ascii="Arial" w:hAnsi="Arial" w:cs="Arial"/>
                <w:b/>
                <w:noProof/>
                <w:webHidden/>
              </w:rPr>
              <w:fldChar w:fldCharType="begin"/>
            </w:r>
            <w:r w:rsidR="00E571A1" w:rsidRPr="00E565DF">
              <w:rPr>
                <w:rFonts w:ascii="Arial" w:hAnsi="Arial" w:cs="Arial"/>
                <w:b/>
                <w:noProof/>
                <w:webHidden/>
              </w:rPr>
              <w:instrText xml:space="preserve"> PAGEREF _Toc158567486 \h </w:instrText>
            </w:r>
            <w:r w:rsidR="00E571A1" w:rsidRPr="00E565DF">
              <w:rPr>
                <w:rFonts w:ascii="Arial" w:hAnsi="Arial" w:cs="Arial"/>
                <w:b/>
                <w:noProof/>
                <w:webHidden/>
              </w:rPr>
            </w:r>
            <w:r w:rsidR="00E571A1" w:rsidRPr="00E565DF">
              <w:rPr>
                <w:rFonts w:ascii="Arial" w:hAnsi="Arial" w:cs="Arial"/>
                <w:b/>
                <w:noProof/>
                <w:webHidden/>
              </w:rPr>
              <w:fldChar w:fldCharType="separate"/>
            </w:r>
            <w:r w:rsidR="00FD773B">
              <w:rPr>
                <w:rFonts w:ascii="Arial" w:hAnsi="Arial" w:cs="Arial"/>
                <w:b/>
                <w:noProof/>
                <w:webHidden/>
              </w:rPr>
              <w:t>51</w:t>
            </w:r>
            <w:r w:rsidR="00E571A1" w:rsidRPr="00E565DF">
              <w:rPr>
                <w:rFonts w:ascii="Arial" w:hAnsi="Arial" w:cs="Arial"/>
                <w:b/>
                <w:noProof/>
                <w:webHidden/>
              </w:rPr>
              <w:fldChar w:fldCharType="end"/>
            </w:r>
          </w:hyperlink>
        </w:p>
        <w:p w14:paraId="3E2FD1DE" w14:textId="30331544" w:rsidR="00E571A1" w:rsidRPr="00F34061" w:rsidRDefault="00D33739" w:rsidP="00A06390">
          <w:pPr>
            <w:pStyle w:val="TDC2"/>
            <w:numPr>
              <w:ilvl w:val="0"/>
              <w:numId w:val="34"/>
            </w:numPr>
            <w:spacing w:line="360" w:lineRule="auto"/>
            <w:rPr>
              <w:rFonts w:eastAsiaTheme="minorEastAsia"/>
              <w:lang w:eastAsia="es-MX"/>
            </w:rPr>
          </w:pPr>
          <w:hyperlink w:anchor="_Toc158567488" w:history="1">
            <w:r w:rsidR="00D30470" w:rsidRPr="00E565DF">
              <w:rPr>
                <w:rStyle w:val="Hipervnculo"/>
                <w:color w:val="auto"/>
              </w:rPr>
              <w:t>INFORME DE LA DEUDA PÚBLICA FISCALIZABLE DEL GOBIERNO DEL ESTADO DE QUINTANA ROO</w:t>
            </w:r>
            <w:r w:rsidR="00D30470" w:rsidRPr="00F34061">
              <w:rPr>
                <w:webHidden/>
              </w:rPr>
              <w:tab/>
            </w:r>
            <w:r w:rsidR="00E571A1" w:rsidRPr="00F34061">
              <w:rPr>
                <w:webHidden/>
              </w:rPr>
              <w:fldChar w:fldCharType="begin"/>
            </w:r>
            <w:r w:rsidR="00E571A1" w:rsidRPr="00F34061">
              <w:rPr>
                <w:webHidden/>
              </w:rPr>
              <w:instrText xml:space="preserve"> PAGEREF _Toc158567488 \h </w:instrText>
            </w:r>
            <w:r w:rsidR="00E571A1" w:rsidRPr="00F34061">
              <w:rPr>
                <w:webHidden/>
              </w:rPr>
            </w:r>
            <w:r w:rsidR="00E571A1" w:rsidRPr="00F34061">
              <w:rPr>
                <w:webHidden/>
              </w:rPr>
              <w:fldChar w:fldCharType="separate"/>
            </w:r>
            <w:r w:rsidR="00FD773B">
              <w:rPr>
                <w:webHidden/>
              </w:rPr>
              <w:t>55</w:t>
            </w:r>
            <w:r w:rsidR="00E571A1" w:rsidRPr="00F34061">
              <w:rPr>
                <w:webHidden/>
              </w:rPr>
              <w:fldChar w:fldCharType="end"/>
            </w:r>
          </w:hyperlink>
        </w:p>
        <w:p w14:paraId="4B930977" w14:textId="179E84E9" w:rsidR="00E571A1" w:rsidRPr="00F34061" w:rsidRDefault="00D33739" w:rsidP="00A06390">
          <w:pPr>
            <w:pStyle w:val="TDC2"/>
            <w:numPr>
              <w:ilvl w:val="0"/>
              <w:numId w:val="34"/>
            </w:numPr>
            <w:spacing w:line="360" w:lineRule="auto"/>
            <w:rPr>
              <w:rFonts w:eastAsiaTheme="minorEastAsia"/>
              <w:lang w:eastAsia="es-MX"/>
            </w:rPr>
          </w:pPr>
          <w:hyperlink w:anchor="_Toc158567489" w:history="1">
            <w:r w:rsidR="00D30470" w:rsidRPr="00E565DF">
              <w:rPr>
                <w:rStyle w:val="Hipervnculo"/>
                <w:rFonts w:eastAsiaTheme="majorEastAsia"/>
                <w:color w:val="auto"/>
              </w:rPr>
              <w:t>INFORME DE LA DEUDA PÚBLICA FISCALIZABLE DE LA COMISIÓN DE AGUA POTABLE Y ALCANTARILLADO DEL ESTADO DE QUINTANA ROO</w:t>
            </w:r>
            <w:r w:rsidR="00D30470" w:rsidRPr="00F34061">
              <w:rPr>
                <w:webHidden/>
              </w:rPr>
              <w:tab/>
            </w:r>
            <w:r w:rsidR="00E571A1" w:rsidRPr="00F34061">
              <w:rPr>
                <w:webHidden/>
              </w:rPr>
              <w:fldChar w:fldCharType="begin"/>
            </w:r>
            <w:r w:rsidR="00E571A1" w:rsidRPr="00F34061">
              <w:rPr>
                <w:webHidden/>
              </w:rPr>
              <w:instrText xml:space="preserve"> PAGEREF _Toc158567489 \h </w:instrText>
            </w:r>
            <w:r w:rsidR="00E571A1" w:rsidRPr="00F34061">
              <w:rPr>
                <w:webHidden/>
              </w:rPr>
            </w:r>
            <w:r w:rsidR="00E571A1" w:rsidRPr="00F34061">
              <w:rPr>
                <w:webHidden/>
              </w:rPr>
              <w:fldChar w:fldCharType="separate"/>
            </w:r>
            <w:r w:rsidR="00FD773B">
              <w:rPr>
                <w:webHidden/>
              </w:rPr>
              <w:t>61</w:t>
            </w:r>
            <w:r w:rsidR="00E571A1" w:rsidRPr="00F34061">
              <w:rPr>
                <w:webHidden/>
              </w:rPr>
              <w:fldChar w:fldCharType="end"/>
            </w:r>
          </w:hyperlink>
        </w:p>
        <w:p w14:paraId="62DEEF92" w14:textId="202DCDB9" w:rsidR="00E571A1" w:rsidRPr="00F34061" w:rsidRDefault="00D33739" w:rsidP="00A06390">
          <w:pPr>
            <w:pStyle w:val="TDC3"/>
            <w:numPr>
              <w:ilvl w:val="0"/>
              <w:numId w:val="34"/>
            </w:numPr>
            <w:spacing w:line="360" w:lineRule="auto"/>
            <w:rPr>
              <w:rFonts w:eastAsiaTheme="minorEastAsia"/>
              <w:noProof/>
              <w:lang w:eastAsia="es-MX"/>
            </w:rPr>
          </w:pPr>
          <w:hyperlink w:anchor="_Toc158567491" w:history="1">
            <w:r w:rsidR="00D30470" w:rsidRPr="00E565DF">
              <w:rPr>
                <w:rStyle w:val="Hipervnculo"/>
                <w:rFonts w:ascii="Arial" w:eastAsiaTheme="majorEastAsia" w:hAnsi="Arial" w:cs="Arial"/>
                <w:noProof/>
                <w:color w:val="auto"/>
              </w:rPr>
              <w:t>INFORME DE LA DEUDA PÚBLICA FISCALIZADA DE LOS MUNICIPIOS DEL ESTADO DE QUINTANA ROO</w:t>
            </w:r>
            <w:r w:rsidR="00D30470" w:rsidRPr="00F34061">
              <w:rPr>
                <w:noProof/>
                <w:webHidden/>
              </w:rPr>
              <w:tab/>
            </w:r>
            <w:r w:rsidR="00E571A1" w:rsidRPr="00F34061">
              <w:rPr>
                <w:noProof/>
                <w:webHidden/>
              </w:rPr>
              <w:fldChar w:fldCharType="begin"/>
            </w:r>
            <w:r w:rsidR="00E571A1" w:rsidRPr="00F34061">
              <w:rPr>
                <w:noProof/>
                <w:webHidden/>
              </w:rPr>
              <w:instrText xml:space="preserve"> PAGEREF _Toc158567491 \h </w:instrText>
            </w:r>
            <w:r w:rsidR="00E571A1" w:rsidRPr="00F34061">
              <w:rPr>
                <w:noProof/>
                <w:webHidden/>
              </w:rPr>
            </w:r>
            <w:r w:rsidR="00E571A1" w:rsidRPr="00F34061">
              <w:rPr>
                <w:noProof/>
                <w:webHidden/>
              </w:rPr>
              <w:fldChar w:fldCharType="separate"/>
            </w:r>
            <w:r w:rsidR="00FD773B">
              <w:rPr>
                <w:noProof/>
                <w:webHidden/>
              </w:rPr>
              <w:t>64</w:t>
            </w:r>
            <w:r w:rsidR="00E571A1" w:rsidRPr="00F34061">
              <w:rPr>
                <w:noProof/>
                <w:webHidden/>
              </w:rPr>
              <w:fldChar w:fldCharType="end"/>
            </w:r>
          </w:hyperlink>
        </w:p>
        <w:p w14:paraId="1D99AFF9" w14:textId="02C25E81"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493" w:history="1">
            <w:r w:rsidR="00D30470" w:rsidRPr="00F34061">
              <w:rPr>
                <w:rStyle w:val="Hipervnculo"/>
                <w:rFonts w:ascii="Arial" w:eastAsia="Arial" w:hAnsi="Arial" w:cs="Arial"/>
                <w:b/>
                <w:noProof/>
                <w:color w:val="auto"/>
                <w:lang w:val="es-ES" w:eastAsia="es-ES" w:bidi="es-ES"/>
              </w:rPr>
              <w:t>CAPÍTULO 4</w:t>
            </w:r>
            <w:r w:rsidR="00E565DF">
              <w:rPr>
                <w:rStyle w:val="Hipervnculo"/>
                <w:rFonts w:ascii="Arial" w:eastAsia="Arial" w:hAnsi="Arial" w:cs="Arial"/>
                <w:b/>
                <w:noProof/>
                <w:color w:val="auto"/>
                <w:lang w:val="es-ES" w:eastAsia="es-ES" w:bidi="es-ES"/>
              </w:rPr>
              <w:t xml:space="preserve"> </w:t>
            </w:r>
            <w:r w:rsidR="00E565DF" w:rsidRPr="00E565DF">
              <w:rPr>
                <w:rStyle w:val="Hipervnculo"/>
                <w:rFonts w:ascii="Arial" w:eastAsia="Arial" w:hAnsi="Arial" w:cs="Arial"/>
                <w:b/>
                <w:noProof/>
                <w:color w:val="auto"/>
                <w:lang w:val="es-ES" w:eastAsia="es-ES" w:bidi="es-ES"/>
              </w:rPr>
              <w:t>PROPUESTA Y MODIFICACIONES DE LEY</w:t>
            </w:r>
            <w:r w:rsidR="00D30470" w:rsidRPr="00F34061">
              <w:rPr>
                <w:rFonts w:ascii="Arial" w:hAnsi="Arial" w:cs="Arial"/>
                <w:noProof/>
                <w:webHidden/>
              </w:rPr>
              <w:tab/>
            </w:r>
            <w:r w:rsidR="00E571A1" w:rsidRPr="00E565DF">
              <w:rPr>
                <w:rFonts w:ascii="Arial" w:hAnsi="Arial" w:cs="Arial"/>
                <w:b/>
                <w:noProof/>
                <w:webHidden/>
              </w:rPr>
              <w:fldChar w:fldCharType="begin"/>
            </w:r>
            <w:r w:rsidR="00E571A1" w:rsidRPr="00E565DF">
              <w:rPr>
                <w:rFonts w:ascii="Arial" w:hAnsi="Arial" w:cs="Arial"/>
                <w:b/>
                <w:noProof/>
                <w:webHidden/>
              </w:rPr>
              <w:instrText xml:space="preserve"> PAGEREF _Toc158567493 \h </w:instrText>
            </w:r>
            <w:r w:rsidR="00E571A1" w:rsidRPr="00E565DF">
              <w:rPr>
                <w:rFonts w:ascii="Arial" w:hAnsi="Arial" w:cs="Arial"/>
                <w:b/>
                <w:noProof/>
                <w:webHidden/>
              </w:rPr>
            </w:r>
            <w:r w:rsidR="00E571A1" w:rsidRPr="00E565DF">
              <w:rPr>
                <w:rFonts w:ascii="Arial" w:hAnsi="Arial" w:cs="Arial"/>
                <w:b/>
                <w:noProof/>
                <w:webHidden/>
              </w:rPr>
              <w:fldChar w:fldCharType="separate"/>
            </w:r>
            <w:r w:rsidR="00FD773B">
              <w:rPr>
                <w:rFonts w:ascii="Arial" w:hAnsi="Arial" w:cs="Arial"/>
                <w:b/>
                <w:noProof/>
                <w:webHidden/>
              </w:rPr>
              <w:t>68</w:t>
            </w:r>
            <w:r w:rsidR="00E571A1" w:rsidRPr="00E565DF">
              <w:rPr>
                <w:rFonts w:ascii="Arial" w:hAnsi="Arial" w:cs="Arial"/>
                <w:b/>
                <w:noProof/>
                <w:webHidden/>
              </w:rPr>
              <w:fldChar w:fldCharType="end"/>
            </w:r>
          </w:hyperlink>
        </w:p>
        <w:p w14:paraId="2C00A792" w14:textId="048C7EA9"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495" w:history="1">
            <w:r w:rsidR="00D30470" w:rsidRPr="00F34061">
              <w:rPr>
                <w:rStyle w:val="Hipervnculo"/>
                <w:rFonts w:ascii="Arial" w:eastAsia="Arial" w:hAnsi="Arial" w:cs="Arial"/>
                <w:b/>
                <w:noProof/>
                <w:color w:val="auto"/>
                <w:lang w:val="es-ES" w:eastAsia="es-ES" w:bidi="es-ES"/>
              </w:rPr>
              <w:t>CAPÍTULO 5</w:t>
            </w:r>
            <w:r w:rsidR="00E565DF">
              <w:rPr>
                <w:rStyle w:val="Hipervnculo"/>
                <w:rFonts w:ascii="Arial" w:eastAsia="Arial" w:hAnsi="Arial" w:cs="Arial"/>
                <w:b/>
                <w:noProof/>
                <w:color w:val="auto"/>
                <w:lang w:val="es-ES" w:eastAsia="es-ES" w:bidi="es-ES"/>
              </w:rPr>
              <w:t xml:space="preserve"> </w:t>
            </w:r>
            <w:r w:rsidR="00E565DF" w:rsidRPr="00E565DF">
              <w:rPr>
                <w:rStyle w:val="Hipervnculo"/>
                <w:rFonts w:ascii="Arial" w:eastAsia="Arial" w:hAnsi="Arial" w:cs="Arial"/>
                <w:b/>
                <w:noProof/>
                <w:color w:val="auto"/>
                <w:lang w:val="es-ES" w:eastAsia="es-ES" w:bidi="es-ES"/>
              </w:rPr>
              <w:t xml:space="preserve">ANÁLISIS SOBRE LAS PROYECCIONES DE LAS FINANZAS </w:t>
            </w:r>
            <w:r w:rsidR="00E565DF">
              <w:rPr>
                <w:rStyle w:val="Hipervnculo"/>
                <w:rFonts w:ascii="Arial" w:eastAsia="Arial" w:hAnsi="Arial" w:cs="Arial"/>
                <w:b/>
                <w:noProof/>
                <w:color w:val="auto"/>
                <w:lang w:val="es-ES" w:eastAsia="es-ES" w:bidi="es-ES"/>
              </w:rPr>
              <w:t xml:space="preserve">   </w:t>
            </w:r>
            <w:r w:rsidR="00E565DF" w:rsidRPr="00E565DF">
              <w:rPr>
                <w:rStyle w:val="Hipervnculo"/>
                <w:rFonts w:ascii="Arial" w:eastAsia="Arial" w:hAnsi="Arial" w:cs="Arial"/>
                <w:b/>
                <w:noProof/>
                <w:color w:val="auto"/>
                <w:lang w:val="es-ES" w:eastAsia="es-ES" w:bidi="es-ES"/>
              </w:rPr>
              <w:t xml:space="preserve">PÚBICAS CONTENIDAS EN LOS CRITERIOS GENERALES DE POLÍTICA ECONÓMICA PARA EL EJERCICIO FISCAL 2022, Y LOS DATOS OBSERVADOS </w:t>
            </w:r>
            <w:r w:rsidR="00E565DF">
              <w:rPr>
                <w:rStyle w:val="Hipervnculo"/>
                <w:rFonts w:ascii="Arial" w:eastAsia="Arial" w:hAnsi="Arial" w:cs="Arial"/>
                <w:b/>
                <w:noProof/>
                <w:color w:val="auto"/>
                <w:lang w:val="es-ES" w:eastAsia="es-ES" w:bidi="es-ES"/>
              </w:rPr>
              <w:t xml:space="preserve">    </w:t>
            </w:r>
            <w:r w:rsidR="00E565DF" w:rsidRPr="00E565DF">
              <w:rPr>
                <w:rStyle w:val="Hipervnculo"/>
                <w:rFonts w:ascii="Arial" w:eastAsia="Arial" w:hAnsi="Arial" w:cs="Arial"/>
                <w:b/>
                <w:noProof/>
                <w:color w:val="auto"/>
                <w:lang w:val="es-ES" w:eastAsia="es-ES" w:bidi="es-ES"/>
              </w:rPr>
              <w:t>AL FINAL DEL MISMO</w:t>
            </w:r>
            <w:r w:rsidR="00D30470" w:rsidRPr="00F34061">
              <w:rPr>
                <w:rFonts w:ascii="Arial" w:hAnsi="Arial" w:cs="Arial"/>
                <w:noProof/>
                <w:webHidden/>
              </w:rPr>
              <w:tab/>
            </w:r>
            <w:r w:rsidR="00E571A1" w:rsidRPr="00E565DF">
              <w:rPr>
                <w:rFonts w:ascii="Arial" w:hAnsi="Arial" w:cs="Arial"/>
                <w:b/>
                <w:noProof/>
                <w:webHidden/>
              </w:rPr>
              <w:fldChar w:fldCharType="begin"/>
            </w:r>
            <w:r w:rsidR="00E571A1" w:rsidRPr="00E565DF">
              <w:rPr>
                <w:rFonts w:ascii="Arial" w:hAnsi="Arial" w:cs="Arial"/>
                <w:b/>
                <w:noProof/>
                <w:webHidden/>
              </w:rPr>
              <w:instrText xml:space="preserve"> PAGEREF _Toc158567495 \h </w:instrText>
            </w:r>
            <w:r w:rsidR="00E571A1" w:rsidRPr="00E565DF">
              <w:rPr>
                <w:rFonts w:ascii="Arial" w:hAnsi="Arial" w:cs="Arial"/>
                <w:b/>
                <w:noProof/>
                <w:webHidden/>
              </w:rPr>
            </w:r>
            <w:r w:rsidR="00E571A1" w:rsidRPr="00E565DF">
              <w:rPr>
                <w:rFonts w:ascii="Arial" w:hAnsi="Arial" w:cs="Arial"/>
                <w:b/>
                <w:noProof/>
                <w:webHidden/>
              </w:rPr>
              <w:fldChar w:fldCharType="separate"/>
            </w:r>
            <w:r w:rsidR="00FD773B">
              <w:rPr>
                <w:rFonts w:ascii="Arial" w:hAnsi="Arial" w:cs="Arial"/>
                <w:b/>
                <w:noProof/>
                <w:webHidden/>
              </w:rPr>
              <w:t>79</w:t>
            </w:r>
            <w:r w:rsidR="00E571A1" w:rsidRPr="00E565DF">
              <w:rPr>
                <w:rFonts w:ascii="Arial" w:hAnsi="Arial" w:cs="Arial"/>
                <w:b/>
                <w:noProof/>
                <w:webHidden/>
              </w:rPr>
              <w:fldChar w:fldCharType="end"/>
            </w:r>
          </w:hyperlink>
        </w:p>
        <w:p w14:paraId="302943C9" w14:textId="6AE990AA" w:rsidR="00E571A1" w:rsidRPr="00F34061" w:rsidRDefault="00D33739" w:rsidP="00A06390">
          <w:pPr>
            <w:pStyle w:val="TDC2"/>
            <w:numPr>
              <w:ilvl w:val="0"/>
              <w:numId w:val="35"/>
            </w:numPr>
            <w:spacing w:line="360" w:lineRule="auto"/>
            <w:rPr>
              <w:rFonts w:eastAsiaTheme="minorEastAsia"/>
              <w:lang w:eastAsia="es-MX"/>
            </w:rPr>
          </w:pPr>
          <w:hyperlink w:anchor="_Toc158567497" w:history="1">
            <w:r w:rsidR="00D30470" w:rsidRPr="00585D3F">
              <w:rPr>
                <w:rStyle w:val="Hipervnculo"/>
                <w:rFonts w:eastAsia="Times New Roman"/>
                <w:color w:val="auto"/>
              </w:rPr>
              <w:t>ESTIMACIONES Y RESULTADOS MACROECONÓMICOS PARA EL EJERCICIO FISCAL 2022</w:t>
            </w:r>
            <w:r w:rsidR="00D30470" w:rsidRPr="00F34061">
              <w:rPr>
                <w:webHidden/>
              </w:rPr>
              <w:tab/>
            </w:r>
            <w:r w:rsidR="00E571A1" w:rsidRPr="00F34061">
              <w:rPr>
                <w:webHidden/>
              </w:rPr>
              <w:fldChar w:fldCharType="begin"/>
            </w:r>
            <w:r w:rsidR="00E571A1" w:rsidRPr="00F34061">
              <w:rPr>
                <w:webHidden/>
              </w:rPr>
              <w:instrText xml:space="preserve"> PAGEREF _Toc158567497 \h </w:instrText>
            </w:r>
            <w:r w:rsidR="00E571A1" w:rsidRPr="00F34061">
              <w:rPr>
                <w:webHidden/>
              </w:rPr>
            </w:r>
            <w:r w:rsidR="00E571A1" w:rsidRPr="00F34061">
              <w:rPr>
                <w:webHidden/>
              </w:rPr>
              <w:fldChar w:fldCharType="separate"/>
            </w:r>
            <w:r w:rsidR="00FD773B">
              <w:rPr>
                <w:webHidden/>
              </w:rPr>
              <w:t>80</w:t>
            </w:r>
            <w:r w:rsidR="00E571A1" w:rsidRPr="00F34061">
              <w:rPr>
                <w:webHidden/>
              </w:rPr>
              <w:fldChar w:fldCharType="end"/>
            </w:r>
          </w:hyperlink>
        </w:p>
        <w:p w14:paraId="3A1A5541" w14:textId="7AF6E099" w:rsidR="00E571A1" w:rsidRPr="00F34061" w:rsidRDefault="00D33739" w:rsidP="00A06390">
          <w:pPr>
            <w:pStyle w:val="TDC2"/>
            <w:numPr>
              <w:ilvl w:val="0"/>
              <w:numId w:val="35"/>
            </w:numPr>
            <w:spacing w:line="360" w:lineRule="auto"/>
            <w:rPr>
              <w:rFonts w:eastAsiaTheme="minorEastAsia"/>
              <w:lang w:eastAsia="es-MX"/>
            </w:rPr>
          </w:pPr>
          <w:hyperlink w:anchor="_Toc158567499" w:history="1">
            <w:r w:rsidR="00D30470" w:rsidRPr="00585D3F">
              <w:rPr>
                <w:rStyle w:val="Hipervnculo"/>
                <w:rFonts w:eastAsia="Times New Roman"/>
                <w:color w:val="auto"/>
              </w:rPr>
              <w:t>PRINCIPALES INDICADORES DE LA POSTURA FISCAL DEL EJERCICIO FISCAL 2022 EN EL ESTADO DE QUINTANA ROO.</w:t>
            </w:r>
            <w:r w:rsidR="00D30470" w:rsidRPr="00F34061">
              <w:rPr>
                <w:webHidden/>
              </w:rPr>
              <w:tab/>
            </w:r>
            <w:r w:rsidR="00E571A1" w:rsidRPr="00F34061">
              <w:rPr>
                <w:webHidden/>
              </w:rPr>
              <w:fldChar w:fldCharType="begin"/>
            </w:r>
            <w:r w:rsidR="00E571A1" w:rsidRPr="00F34061">
              <w:rPr>
                <w:webHidden/>
              </w:rPr>
              <w:instrText xml:space="preserve"> PAGEREF _Toc158567499 \h </w:instrText>
            </w:r>
            <w:r w:rsidR="00E571A1" w:rsidRPr="00F34061">
              <w:rPr>
                <w:webHidden/>
              </w:rPr>
            </w:r>
            <w:r w:rsidR="00E571A1" w:rsidRPr="00F34061">
              <w:rPr>
                <w:webHidden/>
              </w:rPr>
              <w:fldChar w:fldCharType="separate"/>
            </w:r>
            <w:r w:rsidR="00FD773B">
              <w:rPr>
                <w:webHidden/>
              </w:rPr>
              <w:t>83</w:t>
            </w:r>
            <w:r w:rsidR="00E571A1" w:rsidRPr="00F34061">
              <w:rPr>
                <w:webHidden/>
              </w:rPr>
              <w:fldChar w:fldCharType="end"/>
            </w:r>
          </w:hyperlink>
        </w:p>
        <w:p w14:paraId="1F457349" w14:textId="3C5101B2" w:rsidR="00E571A1" w:rsidRPr="00F34061" w:rsidRDefault="00D33739" w:rsidP="00A06390">
          <w:pPr>
            <w:pStyle w:val="TDC2"/>
            <w:numPr>
              <w:ilvl w:val="0"/>
              <w:numId w:val="35"/>
            </w:numPr>
            <w:spacing w:line="360" w:lineRule="auto"/>
            <w:rPr>
              <w:rFonts w:eastAsiaTheme="minorEastAsia"/>
              <w:lang w:eastAsia="es-MX"/>
            </w:rPr>
          </w:pPr>
          <w:hyperlink w:anchor="_Toc158567500" w:history="1">
            <w:r w:rsidR="00D30470" w:rsidRPr="00585D3F">
              <w:rPr>
                <w:rStyle w:val="Hipervnculo"/>
                <w:rFonts w:eastAsia="Times New Roman"/>
                <w:color w:val="auto"/>
              </w:rPr>
              <w:t>INGRESOS PRESUPUESTARIOS</w:t>
            </w:r>
            <w:r w:rsidR="00D30470" w:rsidRPr="00F34061">
              <w:rPr>
                <w:webHidden/>
              </w:rPr>
              <w:tab/>
            </w:r>
            <w:r w:rsidR="00E571A1" w:rsidRPr="00F34061">
              <w:rPr>
                <w:webHidden/>
              </w:rPr>
              <w:fldChar w:fldCharType="begin"/>
            </w:r>
            <w:r w:rsidR="00E571A1" w:rsidRPr="00F34061">
              <w:rPr>
                <w:webHidden/>
              </w:rPr>
              <w:instrText xml:space="preserve"> PAGEREF _Toc158567500 \h </w:instrText>
            </w:r>
            <w:r w:rsidR="00E571A1" w:rsidRPr="00F34061">
              <w:rPr>
                <w:webHidden/>
              </w:rPr>
            </w:r>
            <w:r w:rsidR="00E571A1" w:rsidRPr="00F34061">
              <w:rPr>
                <w:webHidden/>
              </w:rPr>
              <w:fldChar w:fldCharType="separate"/>
            </w:r>
            <w:r w:rsidR="00FD773B">
              <w:rPr>
                <w:webHidden/>
              </w:rPr>
              <w:t>85</w:t>
            </w:r>
            <w:r w:rsidR="00E571A1" w:rsidRPr="00F34061">
              <w:rPr>
                <w:webHidden/>
              </w:rPr>
              <w:fldChar w:fldCharType="end"/>
            </w:r>
          </w:hyperlink>
        </w:p>
        <w:p w14:paraId="466474BC" w14:textId="3C5538F4" w:rsidR="00E571A1" w:rsidRPr="00F34061" w:rsidRDefault="00D33739" w:rsidP="00A06390">
          <w:pPr>
            <w:pStyle w:val="TDC2"/>
            <w:numPr>
              <w:ilvl w:val="0"/>
              <w:numId w:val="35"/>
            </w:numPr>
            <w:spacing w:line="360" w:lineRule="auto"/>
            <w:rPr>
              <w:rFonts w:eastAsiaTheme="minorEastAsia"/>
              <w:lang w:eastAsia="es-MX"/>
            </w:rPr>
          </w:pPr>
          <w:hyperlink w:anchor="_Toc158567504" w:history="1">
            <w:r w:rsidR="00D30470" w:rsidRPr="00585D3F">
              <w:rPr>
                <w:rStyle w:val="Hipervnculo"/>
                <w:rFonts w:eastAsia="Times New Roman"/>
                <w:color w:val="auto"/>
              </w:rPr>
              <w:t>GASTO PRESUPUESTARIO</w:t>
            </w:r>
            <w:r w:rsidR="00D30470" w:rsidRPr="00F34061">
              <w:rPr>
                <w:webHidden/>
              </w:rPr>
              <w:tab/>
            </w:r>
            <w:r w:rsidR="00E571A1" w:rsidRPr="00F34061">
              <w:rPr>
                <w:webHidden/>
              </w:rPr>
              <w:fldChar w:fldCharType="begin"/>
            </w:r>
            <w:r w:rsidR="00E571A1" w:rsidRPr="00F34061">
              <w:rPr>
                <w:webHidden/>
              </w:rPr>
              <w:instrText xml:space="preserve"> PAGEREF _Toc158567504 \h </w:instrText>
            </w:r>
            <w:r w:rsidR="00E571A1" w:rsidRPr="00F34061">
              <w:rPr>
                <w:webHidden/>
              </w:rPr>
            </w:r>
            <w:r w:rsidR="00E571A1" w:rsidRPr="00F34061">
              <w:rPr>
                <w:webHidden/>
              </w:rPr>
              <w:fldChar w:fldCharType="separate"/>
            </w:r>
            <w:r w:rsidR="00FD773B">
              <w:rPr>
                <w:webHidden/>
              </w:rPr>
              <w:t>88</w:t>
            </w:r>
            <w:r w:rsidR="00E571A1" w:rsidRPr="00F34061">
              <w:rPr>
                <w:webHidden/>
              </w:rPr>
              <w:fldChar w:fldCharType="end"/>
            </w:r>
          </w:hyperlink>
          <w:r w:rsidR="00851809">
            <w:t>9</w:t>
          </w:r>
        </w:p>
        <w:p w14:paraId="16DF3980" w14:textId="61B10A22"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507" w:history="1">
            <w:r w:rsidR="00D30470" w:rsidRPr="00F34061">
              <w:rPr>
                <w:rStyle w:val="Hipervnculo"/>
                <w:rFonts w:ascii="Arial" w:eastAsia="Arial" w:hAnsi="Arial" w:cs="Arial"/>
                <w:b/>
                <w:noProof/>
                <w:color w:val="auto"/>
                <w:lang w:val="es-ES" w:eastAsia="es-ES" w:bidi="es-ES"/>
              </w:rPr>
              <w:t>CAPÍTULO 6</w:t>
            </w:r>
            <w:r w:rsidR="00585D3F">
              <w:rPr>
                <w:rStyle w:val="Hipervnculo"/>
                <w:rFonts w:ascii="Arial" w:eastAsia="Arial" w:hAnsi="Arial" w:cs="Arial"/>
                <w:b/>
                <w:noProof/>
                <w:color w:val="auto"/>
                <w:lang w:val="es-ES" w:eastAsia="es-ES" w:bidi="es-ES"/>
              </w:rPr>
              <w:t xml:space="preserve"> </w:t>
            </w:r>
            <w:r w:rsidR="00585D3F" w:rsidRPr="00585D3F">
              <w:rPr>
                <w:rStyle w:val="Hipervnculo"/>
                <w:rFonts w:ascii="Arial" w:eastAsia="Arial" w:hAnsi="Arial" w:cs="Arial"/>
                <w:b/>
                <w:noProof/>
                <w:color w:val="auto"/>
                <w:lang w:val="es-ES" w:eastAsia="es-ES" w:bidi="es-ES"/>
              </w:rPr>
              <w:t>RESUMEN DE LOS ANÁLISIS A LOS INFORMES DE AVANCE DE GESTIÓN, CORRESPONDIENTES AL EJERCICIO FISCAL 2022</w:t>
            </w:r>
            <w:r w:rsidR="00D30470" w:rsidRPr="00F34061">
              <w:rPr>
                <w:rFonts w:ascii="Arial" w:hAnsi="Arial" w:cs="Arial"/>
                <w:noProof/>
                <w:webHidden/>
              </w:rPr>
              <w:tab/>
            </w:r>
            <w:r w:rsidR="00E571A1" w:rsidRPr="00E97B65">
              <w:rPr>
                <w:rFonts w:ascii="Arial" w:hAnsi="Arial" w:cs="Arial"/>
                <w:b/>
                <w:noProof/>
                <w:webHidden/>
              </w:rPr>
              <w:fldChar w:fldCharType="begin"/>
            </w:r>
            <w:r w:rsidR="00E571A1" w:rsidRPr="00E97B65">
              <w:rPr>
                <w:rFonts w:ascii="Arial" w:hAnsi="Arial" w:cs="Arial"/>
                <w:b/>
                <w:noProof/>
                <w:webHidden/>
              </w:rPr>
              <w:instrText xml:space="preserve"> PAGEREF _Toc158567507 \h </w:instrText>
            </w:r>
            <w:r w:rsidR="00E571A1" w:rsidRPr="00E97B65">
              <w:rPr>
                <w:rFonts w:ascii="Arial" w:hAnsi="Arial" w:cs="Arial"/>
                <w:b/>
                <w:noProof/>
                <w:webHidden/>
              </w:rPr>
            </w:r>
            <w:r w:rsidR="00E571A1" w:rsidRPr="00E97B65">
              <w:rPr>
                <w:rFonts w:ascii="Arial" w:hAnsi="Arial" w:cs="Arial"/>
                <w:b/>
                <w:noProof/>
                <w:webHidden/>
              </w:rPr>
              <w:fldChar w:fldCharType="separate"/>
            </w:r>
            <w:r w:rsidR="00FD773B">
              <w:rPr>
                <w:rFonts w:ascii="Arial" w:hAnsi="Arial" w:cs="Arial"/>
                <w:b/>
                <w:noProof/>
                <w:webHidden/>
              </w:rPr>
              <w:t>91</w:t>
            </w:r>
            <w:r w:rsidR="00E571A1" w:rsidRPr="00E97B65">
              <w:rPr>
                <w:rFonts w:ascii="Arial" w:hAnsi="Arial" w:cs="Arial"/>
                <w:b/>
                <w:noProof/>
                <w:webHidden/>
              </w:rPr>
              <w:fldChar w:fldCharType="end"/>
            </w:r>
          </w:hyperlink>
        </w:p>
        <w:p w14:paraId="0CAD97E1" w14:textId="7971E743"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510" w:history="1">
            <w:r w:rsidR="00D30470" w:rsidRPr="00F34061">
              <w:rPr>
                <w:rStyle w:val="Hipervnculo"/>
                <w:rFonts w:ascii="Arial" w:eastAsia="Arial" w:hAnsi="Arial" w:cs="Arial"/>
                <w:b/>
                <w:noProof/>
                <w:color w:val="auto"/>
                <w:lang w:val="es-ES" w:eastAsia="es-ES" w:bidi="es-ES"/>
              </w:rPr>
              <w:t>ANEXO 1</w:t>
            </w:r>
            <w:r w:rsidR="00585D3F">
              <w:rPr>
                <w:rStyle w:val="Hipervnculo"/>
                <w:rFonts w:ascii="Arial" w:eastAsia="Arial" w:hAnsi="Arial" w:cs="Arial"/>
                <w:b/>
                <w:noProof/>
                <w:color w:val="auto"/>
                <w:lang w:val="es-ES" w:eastAsia="es-ES" w:bidi="es-ES"/>
              </w:rPr>
              <w:t xml:space="preserve"> </w:t>
            </w:r>
            <w:r w:rsidR="00585D3F" w:rsidRPr="00585D3F">
              <w:rPr>
                <w:rStyle w:val="Hipervnculo"/>
                <w:rFonts w:ascii="Arial" w:eastAsia="Arial" w:hAnsi="Arial" w:cs="Arial"/>
                <w:b/>
                <w:noProof/>
                <w:color w:val="auto"/>
                <w:lang w:val="es-ES" w:eastAsia="es-ES" w:bidi="es-ES"/>
              </w:rPr>
              <w:t>NOTA METODOLÓGICA</w:t>
            </w:r>
            <w:r w:rsidR="00D30470" w:rsidRPr="00F34061">
              <w:rPr>
                <w:rFonts w:ascii="Arial" w:hAnsi="Arial" w:cs="Arial"/>
                <w:noProof/>
                <w:webHidden/>
              </w:rPr>
              <w:tab/>
            </w:r>
            <w:r w:rsidR="00E571A1" w:rsidRPr="00E97B65">
              <w:rPr>
                <w:rFonts w:ascii="Arial" w:hAnsi="Arial" w:cs="Arial"/>
                <w:b/>
                <w:noProof/>
                <w:webHidden/>
              </w:rPr>
              <w:fldChar w:fldCharType="begin"/>
            </w:r>
            <w:r w:rsidR="00E571A1" w:rsidRPr="00E97B65">
              <w:rPr>
                <w:rFonts w:ascii="Arial" w:hAnsi="Arial" w:cs="Arial"/>
                <w:b/>
                <w:noProof/>
                <w:webHidden/>
              </w:rPr>
              <w:instrText xml:space="preserve"> PAGEREF _Toc158567510 \h </w:instrText>
            </w:r>
            <w:r w:rsidR="00E571A1" w:rsidRPr="00E97B65">
              <w:rPr>
                <w:rFonts w:ascii="Arial" w:hAnsi="Arial" w:cs="Arial"/>
                <w:b/>
                <w:noProof/>
                <w:webHidden/>
              </w:rPr>
            </w:r>
            <w:r w:rsidR="00E571A1" w:rsidRPr="00E97B65">
              <w:rPr>
                <w:rFonts w:ascii="Arial" w:hAnsi="Arial" w:cs="Arial"/>
                <w:b/>
                <w:noProof/>
                <w:webHidden/>
              </w:rPr>
              <w:fldChar w:fldCharType="separate"/>
            </w:r>
            <w:r w:rsidR="00FD773B">
              <w:rPr>
                <w:rFonts w:ascii="Arial" w:hAnsi="Arial" w:cs="Arial"/>
                <w:b/>
                <w:noProof/>
                <w:webHidden/>
              </w:rPr>
              <w:t>145</w:t>
            </w:r>
            <w:r w:rsidR="00E571A1" w:rsidRPr="00E97B65">
              <w:rPr>
                <w:rFonts w:ascii="Arial" w:hAnsi="Arial" w:cs="Arial"/>
                <w:b/>
                <w:noProof/>
                <w:webHidden/>
              </w:rPr>
              <w:fldChar w:fldCharType="end"/>
            </w:r>
          </w:hyperlink>
        </w:p>
        <w:p w14:paraId="7AA844F0" w14:textId="27FE725E"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512" w:history="1">
            <w:r w:rsidR="00D30470" w:rsidRPr="00F34061">
              <w:rPr>
                <w:rStyle w:val="Hipervnculo"/>
                <w:rFonts w:ascii="Arial" w:eastAsia="Arial" w:hAnsi="Arial" w:cs="Arial"/>
                <w:b/>
                <w:noProof/>
                <w:color w:val="auto"/>
                <w:lang w:val="es-ES" w:eastAsia="es-ES" w:bidi="es-ES"/>
              </w:rPr>
              <w:t>ANEXO 2</w:t>
            </w:r>
            <w:r w:rsidR="00585D3F">
              <w:rPr>
                <w:rStyle w:val="Hipervnculo"/>
                <w:rFonts w:ascii="Arial" w:eastAsia="Arial" w:hAnsi="Arial" w:cs="Arial"/>
                <w:b/>
                <w:noProof/>
                <w:color w:val="auto"/>
                <w:lang w:val="es-ES" w:eastAsia="es-ES" w:bidi="es-ES"/>
              </w:rPr>
              <w:t xml:space="preserve"> </w:t>
            </w:r>
            <w:r w:rsidR="00585D3F" w:rsidRPr="00585D3F">
              <w:rPr>
                <w:rStyle w:val="Hipervnculo"/>
                <w:rFonts w:ascii="Arial" w:eastAsia="Arial" w:hAnsi="Arial" w:cs="Arial"/>
                <w:b/>
                <w:noProof/>
                <w:color w:val="auto"/>
                <w:lang w:val="es-ES" w:eastAsia="es-ES" w:bidi="es-ES"/>
              </w:rPr>
              <w:t>PAAVI</w:t>
            </w:r>
            <w:r w:rsidR="00D30470" w:rsidRPr="00F34061">
              <w:rPr>
                <w:rFonts w:ascii="Arial" w:hAnsi="Arial" w:cs="Arial"/>
                <w:noProof/>
                <w:webHidden/>
              </w:rPr>
              <w:tab/>
            </w:r>
            <w:r w:rsidR="00E571A1" w:rsidRPr="00E97B65">
              <w:rPr>
                <w:rFonts w:ascii="Arial" w:hAnsi="Arial" w:cs="Arial"/>
                <w:b/>
                <w:noProof/>
                <w:webHidden/>
              </w:rPr>
              <w:fldChar w:fldCharType="begin"/>
            </w:r>
            <w:r w:rsidR="00E571A1" w:rsidRPr="00E97B65">
              <w:rPr>
                <w:rFonts w:ascii="Arial" w:hAnsi="Arial" w:cs="Arial"/>
                <w:b/>
                <w:noProof/>
                <w:webHidden/>
              </w:rPr>
              <w:instrText xml:space="preserve"> PAGEREF _Toc158567512 \h </w:instrText>
            </w:r>
            <w:r w:rsidR="00E571A1" w:rsidRPr="00E97B65">
              <w:rPr>
                <w:rFonts w:ascii="Arial" w:hAnsi="Arial" w:cs="Arial"/>
                <w:b/>
                <w:noProof/>
                <w:webHidden/>
              </w:rPr>
            </w:r>
            <w:r w:rsidR="00E571A1" w:rsidRPr="00E97B65">
              <w:rPr>
                <w:rFonts w:ascii="Arial" w:hAnsi="Arial" w:cs="Arial"/>
                <w:b/>
                <w:noProof/>
                <w:webHidden/>
              </w:rPr>
              <w:fldChar w:fldCharType="separate"/>
            </w:r>
            <w:r w:rsidR="00FD773B">
              <w:rPr>
                <w:rFonts w:ascii="Arial" w:hAnsi="Arial" w:cs="Arial"/>
                <w:b/>
                <w:noProof/>
                <w:webHidden/>
              </w:rPr>
              <w:t>149</w:t>
            </w:r>
            <w:r w:rsidR="00E571A1" w:rsidRPr="00E97B65">
              <w:rPr>
                <w:rFonts w:ascii="Arial" w:hAnsi="Arial" w:cs="Arial"/>
                <w:b/>
                <w:noProof/>
                <w:webHidden/>
              </w:rPr>
              <w:fldChar w:fldCharType="end"/>
            </w:r>
          </w:hyperlink>
        </w:p>
        <w:p w14:paraId="24699FDA" w14:textId="3F0017C5" w:rsidR="00E571A1" w:rsidRPr="00F34061" w:rsidRDefault="00D33739" w:rsidP="00585D3F">
          <w:pPr>
            <w:pStyle w:val="TDC1"/>
            <w:tabs>
              <w:tab w:val="right" w:leader="dot" w:pos="8828"/>
            </w:tabs>
            <w:spacing w:line="360" w:lineRule="auto"/>
            <w:rPr>
              <w:rFonts w:ascii="Arial" w:eastAsiaTheme="minorEastAsia" w:hAnsi="Arial" w:cs="Arial"/>
              <w:noProof/>
              <w:lang w:eastAsia="es-MX"/>
            </w:rPr>
          </w:pPr>
          <w:hyperlink w:anchor="_Toc158567514" w:history="1">
            <w:r w:rsidR="00D30470" w:rsidRPr="00F34061">
              <w:rPr>
                <w:rStyle w:val="Hipervnculo"/>
                <w:rFonts w:ascii="Arial" w:eastAsia="Arial" w:hAnsi="Arial" w:cs="Arial"/>
                <w:b/>
                <w:noProof/>
                <w:color w:val="auto"/>
                <w:lang w:val="es-ES" w:eastAsia="es-ES" w:bidi="es-ES"/>
              </w:rPr>
              <w:t>ANEXO 3</w:t>
            </w:r>
            <w:r w:rsidR="00585D3F">
              <w:rPr>
                <w:rStyle w:val="Hipervnculo"/>
                <w:rFonts w:ascii="Arial" w:eastAsia="Arial" w:hAnsi="Arial" w:cs="Arial"/>
                <w:b/>
                <w:noProof/>
                <w:color w:val="auto"/>
                <w:lang w:val="es-ES" w:eastAsia="es-ES" w:bidi="es-ES"/>
              </w:rPr>
              <w:t xml:space="preserve"> </w:t>
            </w:r>
            <w:r w:rsidR="00585D3F" w:rsidRPr="00585D3F">
              <w:rPr>
                <w:rStyle w:val="Hipervnculo"/>
                <w:rFonts w:ascii="Arial" w:eastAsia="Arial" w:hAnsi="Arial" w:cs="Arial"/>
                <w:b/>
                <w:noProof/>
                <w:color w:val="auto"/>
                <w:lang w:val="es-ES" w:eastAsia="es-ES" w:bidi="es-ES"/>
              </w:rPr>
              <w:t>INFOGRAFÍAS</w:t>
            </w:r>
            <w:r w:rsidR="00D30470" w:rsidRPr="00F34061">
              <w:rPr>
                <w:rFonts w:ascii="Arial" w:hAnsi="Arial" w:cs="Arial"/>
                <w:noProof/>
                <w:webHidden/>
              </w:rPr>
              <w:tab/>
            </w:r>
            <w:r w:rsidR="00E571A1" w:rsidRPr="00E97B65">
              <w:rPr>
                <w:rFonts w:ascii="Arial" w:hAnsi="Arial" w:cs="Arial"/>
                <w:b/>
                <w:noProof/>
                <w:webHidden/>
              </w:rPr>
              <w:fldChar w:fldCharType="begin"/>
            </w:r>
            <w:r w:rsidR="00E571A1" w:rsidRPr="00E97B65">
              <w:rPr>
                <w:rFonts w:ascii="Arial" w:hAnsi="Arial" w:cs="Arial"/>
                <w:b/>
                <w:noProof/>
                <w:webHidden/>
              </w:rPr>
              <w:instrText xml:space="preserve"> PAGEREF _Toc158567514 \h </w:instrText>
            </w:r>
            <w:r w:rsidR="00E571A1" w:rsidRPr="00E97B65">
              <w:rPr>
                <w:rFonts w:ascii="Arial" w:hAnsi="Arial" w:cs="Arial"/>
                <w:b/>
                <w:noProof/>
                <w:webHidden/>
              </w:rPr>
            </w:r>
            <w:r w:rsidR="00E571A1" w:rsidRPr="00E97B65">
              <w:rPr>
                <w:rFonts w:ascii="Arial" w:hAnsi="Arial" w:cs="Arial"/>
                <w:b/>
                <w:noProof/>
                <w:webHidden/>
              </w:rPr>
              <w:fldChar w:fldCharType="separate"/>
            </w:r>
            <w:r w:rsidR="00FD773B">
              <w:rPr>
                <w:rFonts w:ascii="Arial" w:hAnsi="Arial" w:cs="Arial"/>
                <w:b/>
                <w:noProof/>
                <w:webHidden/>
              </w:rPr>
              <w:t>164</w:t>
            </w:r>
            <w:r w:rsidR="00E571A1" w:rsidRPr="00E97B65">
              <w:rPr>
                <w:rFonts w:ascii="Arial" w:hAnsi="Arial" w:cs="Arial"/>
                <w:b/>
                <w:noProof/>
                <w:webHidden/>
              </w:rPr>
              <w:fldChar w:fldCharType="end"/>
            </w:r>
          </w:hyperlink>
        </w:p>
        <w:p w14:paraId="032640FF" w14:textId="77777777" w:rsidR="002863E8" w:rsidRDefault="002863E8" w:rsidP="00585D3F">
          <w:pPr>
            <w:spacing w:line="360" w:lineRule="auto"/>
          </w:pPr>
          <w:r w:rsidRPr="00F34061">
            <w:rPr>
              <w:rFonts w:ascii="Arial" w:hAnsi="Arial" w:cs="Arial"/>
              <w:b/>
              <w:bCs/>
              <w:lang w:val="es-ES"/>
            </w:rPr>
            <w:fldChar w:fldCharType="end"/>
          </w:r>
        </w:p>
      </w:sdtContent>
    </w:sdt>
    <w:p w14:paraId="6D981F18" w14:textId="77777777" w:rsidR="00EE24F5" w:rsidRDefault="00EE24F5" w:rsidP="006F722B">
      <w:pPr>
        <w:rPr>
          <w:lang w:val="es-ES" w:eastAsia="es-ES" w:bidi="es-ES"/>
        </w:rPr>
        <w:sectPr w:rsidR="00EE24F5" w:rsidSect="00D33739">
          <w:headerReference w:type="default" r:id="rId9"/>
          <w:footerReference w:type="default" r:id="rId10"/>
          <w:pgSz w:w="12240" w:h="15840"/>
          <w:pgMar w:top="1404" w:right="1701" w:bottom="993" w:left="1701" w:header="426" w:footer="708" w:gutter="0"/>
          <w:pgNumType w:start="0"/>
          <w:cols w:space="708"/>
          <w:titlePg/>
          <w:docGrid w:linePitch="360"/>
        </w:sectPr>
      </w:pPr>
    </w:p>
    <w:p w14:paraId="7FEDDF37" w14:textId="77777777" w:rsidR="006F722B" w:rsidRDefault="007F180B" w:rsidP="007F180B">
      <w:pPr>
        <w:pStyle w:val="Ttulo1"/>
        <w:rPr>
          <w:rFonts w:ascii="Arial" w:hAnsi="Arial" w:cs="Arial"/>
          <w:b/>
          <w:color w:val="auto"/>
          <w:sz w:val="28"/>
          <w:szCs w:val="24"/>
          <w:lang w:val="es-ES" w:eastAsia="es-ES" w:bidi="es-ES"/>
        </w:rPr>
      </w:pPr>
      <w:bookmarkStart w:id="0" w:name="_Toc158567464"/>
      <w:r w:rsidRPr="007F180B">
        <w:rPr>
          <w:rFonts w:ascii="Arial" w:hAnsi="Arial" w:cs="Arial"/>
          <w:b/>
          <w:color w:val="auto"/>
          <w:sz w:val="28"/>
          <w:szCs w:val="24"/>
          <w:lang w:val="es-ES" w:eastAsia="es-ES" w:bidi="es-ES"/>
        </w:rPr>
        <w:lastRenderedPageBreak/>
        <w:t>Acrónimos y Siglas</w:t>
      </w:r>
      <w:bookmarkEnd w:id="0"/>
    </w:p>
    <w:p w14:paraId="63994FB8" w14:textId="77777777" w:rsidR="007F180B" w:rsidRPr="007F180B" w:rsidRDefault="007F180B" w:rsidP="007F180B">
      <w:pPr>
        <w:rPr>
          <w:lang w:val="es-ES" w:eastAsia="es-ES" w:bidi="es-ES"/>
        </w:rPr>
      </w:pPr>
    </w:p>
    <w:p w14:paraId="0B9420BC" w14:textId="77777777" w:rsidR="002A244C" w:rsidRDefault="002A244C" w:rsidP="002A244C">
      <w:pPr>
        <w:jc w:val="center"/>
        <w:rPr>
          <w:rFonts w:ascii="Arial" w:hAnsi="Arial" w:cs="Arial"/>
          <w:b/>
          <w:sz w:val="44"/>
          <w:lang w:val="es-ES" w:eastAsia="es-ES" w:bidi="es-ES"/>
        </w:rPr>
      </w:pPr>
      <w:r w:rsidRPr="002A244C">
        <w:rPr>
          <w:rFonts w:ascii="Arial" w:hAnsi="Arial" w:cs="Arial"/>
          <w:b/>
          <w:sz w:val="44"/>
          <w:lang w:val="es-ES" w:eastAsia="es-ES" w:bidi="es-ES"/>
        </w:rPr>
        <w:t>A</w:t>
      </w:r>
    </w:p>
    <w:p w14:paraId="4CB88C6F" w14:textId="77777777" w:rsidR="002A244C" w:rsidRPr="007354DD" w:rsidRDefault="002A244C" w:rsidP="007354DD">
      <w:pPr>
        <w:spacing w:after="0"/>
        <w:jc w:val="both"/>
        <w:rPr>
          <w:rFonts w:ascii="Arial" w:hAnsi="Arial" w:cs="Arial"/>
          <w:b/>
          <w:sz w:val="20"/>
          <w:lang w:val="es-ES" w:eastAsia="es-ES" w:bidi="es-ES"/>
        </w:rPr>
      </w:pPr>
      <w:r w:rsidRPr="007354DD">
        <w:rPr>
          <w:rFonts w:ascii="Arial" w:eastAsia="Times New Roman" w:hAnsi="Arial" w:cs="Arial"/>
          <w:b/>
          <w:iCs/>
          <w:color w:val="000000"/>
          <w:szCs w:val="24"/>
          <w:lang w:eastAsia="es-MX"/>
        </w:rPr>
        <w:t>ADEFAS</w:t>
      </w:r>
    </w:p>
    <w:p w14:paraId="5EF06ABE" w14:textId="77777777" w:rsidR="002A244C" w:rsidRPr="007354DD" w:rsidRDefault="002A244C" w:rsidP="007354DD">
      <w:pPr>
        <w:spacing w:after="0"/>
        <w:jc w:val="both"/>
        <w:rPr>
          <w:rFonts w:ascii="Arial" w:eastAsia="Times New Roman" w:hAnsi="Arial" w:cs="Arial"/>
          <w:iCs/>
          <w:color w:val="000000"/>
          <w:szCs w:val="24"/>
          <w:lang w:eastAsia="es-MX"/>
        </w:rPr>
      </w:pPr>
      <w:r w:rsidRPr="007354DD">
        <w:rPr>
          <w:rFonts w:ascii="Arial" w:eastAsia="Times New Roman" w:hAnsi="Arial" w:cs="Arial"/>
          <w:iCs/>
          <w:color w:val="000000"/>
          <w:szCs w:val="24"/>
          <w:lang w:eastAsia="es-MX"/>
        </w:rPr>
        <w:t>Adeudos de</w:t>
      </w:r>
      <w:r w:rsidR="00637E19">
        <w:rPr>
          <w:rFonts w:ascii="Arial" w:eastAsia="Times New Roman" w:hAnsi="Arial" w:cs="Arial"/>
          <w:iCs/>
          <w:color w:val="000000"/>
          <w:szCs w:val="24"/>
          <w:lang w:eastAsia="es-MX"/>
        </w:rPr>
        <w:t xml:space="preserve"> Ejercicios Fiscales Anteriores</w:t>
      </w:r>
    </w:p>
    <w:p w14:paraId="483BF4DB" w14:textId="77777777" w:rsidR="002A244C" w:rsidRPr="007354DD" w:rsidRDefault="002A244C" w:rsidP="007354DD">
      <w:pPr>
        <w:spacing w:after="0"/>
        <w:rPr>
          <w:sz w:val="20"/>
          <w:lang w:val="es-ES" w:eastAsia="es-ES" w:bidi="es-ES"/>
        </w:rPr>
      </w:pPr>
    </w:p>
    <w:p w14:paraId="3F2D5CBC" w14:textId="77777777" w:rsidR="00394641" w:rsidRPr="007354DD" w:rsidRDefault="00394641" w:rsidP="007354DD">
      <w:pPr>
        <w:spacing w:after="0"/>
        <w:jc w:val="both"/>
        <w:rPr>
          <w:rFonts w:ascii="Arial" w:eastAsia="Times New Roman" w:hAnsi="Arial" w:cs="Arial"/>
          <w:b/>
          <w:iCs/>
          <w:color w:val="000000"/>
          <w:szCs w:val="24"/>
          <w:lang w:eastAsia="es-MX"/>
        </w:rPr>
      </w:pPr>
      <w:r w:rsidRPr="007354DD">
        <w:rPr>
          <w:rFonts w:ascii="Arial" w:eastAsia="Times New Roman" w:hAnsi="Arial" w:cs="Arial"/>
          <w:b/>
          <w:iCs/>
          <w:color w:val="000000"/>
          <w:szCs w:val="24"/>
          <w:lang w:eastAsia="es-MX"/>
        </w:rPr>
        <w:t>AGEPRO</w:t>
      </w:r>
      <w:r w:rsidRPr="007354DD">
        <w:rPr>
          <w:rFonts w:ascii="Arial" w:eastAsia="Times New Roman" w:hAnsi="Arial" w:cs="Arial"/>
          <w:b/>
          <w:iCs/>
          <w:color w:val="000000"/>
          <w:szCs w:val="24"/>
          <w:lang w:eastAsia="es-MX"/>
        </w:rPr>
        <w:tab/>
      </w:r>
    </w:p>
    <w:p w14:paraId="4A4B76B5" w14:textId="77777777" w:rsidR="00394641" w:rsidRDefault="00394641" w:rsidP="007354DD">
      <w:pPr>
        <w:spacing w:after="0"/>
        <w:jc w:val="both"/>
        <w:rPr>
          <w:rFonts w:ascii="Arial" w:eastAsia="Times New Roman" w:hAnsi="Arial" w:cs="Arial"/>
          <w:iCs/>
          <w:color w:val="000000"/>
          <w:szCs w:val="24"/>
          <w:lang w:eastAsia="es-MX"/>
        </w:rPr>
      </w:pPr>
      <w:r w:rsidRPr="007354DD">
        <w:rPr>
          <w:rFonts w:ascii="Arial" w:eastAsia="Times New Roman" w:hAnsi="Arial" w:cs="Arial"/>
          <w:iCs/>
          <w:color w:val="000000"/>
          <w:szCs w:val="24"/>
          <w:lang w:eastAsia="es-MX"/>
        </w:rPr>
        <w:t xml:space="preserve">Agencia de Proyectos Estratégicos del Estado de Quintana Roo </w:t>
      </w:r>
    </w:p>
    <w:p w14:paraId="4C15D27F" w14:textId="77777777" w:rsidR="007354DD" w:rsidRPr="007354DD" w:rsidRDefault="007354DD" w:rsidP="007354DD">
      <w:pPr>
        <w:spacing w:after="0"/>
        <w:jc w:val="both"/>
        <w:rPr>
          <w:rFonts w:ascii="Arial" w:eastAsia="Times New Roman" w:hAnsi="Arial" w:cs="Arial"/>
          <w:iCs/>
          <w:color w:val="000000"/>
          <w:szCs w:val="24"/>
          <w:lang w:eastAsia="es-MX"/>
        </w:rPr>
      </w:pPr>
    </w:p>
    <w:p w14:paraId="7C393CAE" w14:textId="77777777" w:rsidR="00394641" w:rsidRPr="007354DD" w:rsidRDefault="00394641" w:rsidP="007354DD">
      <w:pPr>
        <w:spacing w:after="0"/>
        <w:jc w:val="both"/>
        <w:rPr>
          <w:rFonts w:ascii="Arial" w:eastAsia="Times New Roman" w:hAnsi="Arial" w:cs="Arial"/>
          <w:b/>
          <w:iCs/>
          <w:color w:val="000000"/>
          <w:szCs w:val="24"/>
          <w:lang w:eastAsia="es-MX"/>
        </w:rPr>
      </w:pPr>
      <w:r w:rsidRPr="007354DD">
        <w:rPr>
          <w:rFonts w:ascii="Arial" w:eastAsia="Times New Roman" w:hAnsi="Arial" w:cs="Arial"/>
          <w:b/>
          <w:iCs/>
          <w:color w:val="000000"/>
          <w:szCs w:val="24"/>
          <w:lang w:eastAsia="es-MX"/>
        </w:rPr>
        <w:t>APIQROO</w:t>
      </w:r>
      <w:r w:rsidRPr="007354DD">
        <w:rPr>
          <w:rFonts w:ascii="Arial" w:eastAsia="Times New Roman" w:hAnsi="Arial" w:cs="Arial"/>
          <w:b/>
          <w:iCs/>
          <w:color w:val="000000"/>
          <w:szCs w:val="24"/>
          <w:lang w:eastAsia="es-MX"/>
        </w:rPr>
        <w:tab/>
      </w:r>
    </w:p>
    <w:p w14:paraId="3AD9EAA7" w14:textId="77777777" w:rsidR="00394641" w:rsidRDefault="00394641" w:rsidP="007354DD">
      <w:pPr>
        <w:spacing w:after="0"/>
        <w:jc w:val="both"/>
        <w:rPr>
          <w:rFonts w:ascii="Arial" w:eastAsia="Times New Roman" w:hAnsi="Arial" w:cs="Arial"/>
          <w:iCs/>
          <w:color w:val="000000"/>
          <w:szCs w:val="24"/>
          <w:lang w:eastAsia="es-MX"/>
        </w:rPr>
      </w:pPr>
      <w:r w:rsidRPr="007354DD">
        <w:rPr>
          <w:rFonts w:ascii="Arial" w:eastAsia="Times New Roman" w:hAnsi="Arial" w:cs="Arial"/>
          <w:iCs/>
          <w:color w:val="000000"/>
          <w:szCs w:val="24"/>
          <w:lang w:eastAsia="es-MX"/>
        </w:rPr>
        <w:t xml:space="preserve">Administración Portuaria Integral de Quintana Roo S.A. de C.V. </w:t>
      </w:r>
    </w:p>
    <w:p w14:paraId="550BE3DB" w14:textId="77777777" w:rsidR="007354DD" w:rsidRPr="007354DD" w:rsidRDefault="007354DD" w:rsidP="007354DD">
      <w:pPr>
        <w:spacing w:after="0"/>
        <w:jc w:val="both"/>
        <w:rPr>
          <w:rFonts w:ascii="Arial" w:eastAsia="Times New Roman" w:hAnsi="Arial" w:cs="Arial"/>
          <w:iCs/>
          <w:color w:val="000000"/>
          <w:szCs w:val="24"/>
          <w:lang w:eastAsia="es-MX"/>
        </w:rPr>
      </w:pPr>
    </w:p>
    <w:p w14:paraId="44312492" w14:textId="77777777" w:rsidR="00394641" w:rsidRPr="007354DD" w:rsidRDefault="00394641" w:rsidP="007354DD">
      <w:pPr>
        <w:spacing w:after="0"/>
        <w:jc w:val="both"/>
        <w:rPr>
          <w:rFonts w:ascii="Arial" w:eastAsia="Times New Roman" w:hAnsi="Arial" w:cs="Arial"/>
          <w:b/>
          <w:iCs/>
          <w:color w:val="000000"/>
          <w:szCs w:val="24"/>
          <w:lang w:eastAsia="es-MX"/>
        </w:rPr>
      </w:pPr>
      <w:r w:rsidRPr="007354DD">
        <w:rPr>
          <w:rFonts w:ascii="Arial" w:eastAsia="Times New Roman" w:hAnsi="Arial" w:cs="Arial"/>
          <w:b/>
          <w:iCs/>
          <w:color w:val="000000"/>
          <w:szCs w:val="24"/>
          <w:lang w:eastAsia="es-MX"/>
        </w:rPr>
        <w:t>ASEQROO</w:t>
      </w:r>
      <w:r w:rsidRPr="007354DD">
        <w:rPr>
          <w:rFonts w:ascii="Arial" w:eastAsia="Times New Roman" w:hAnsi="Arial" w:cs="Arial"/>
          <w:b/>
          <w:iCs/>
          <w:color w:val="000000"/>
          <w:szCs w:val="24"/>
          <w:lang w:eastAsia="es-MX"/>
        </w:rPr>
        <w:tab/>
      </w:r>
    </w:p>
    <w:p w14:paraId="2C54D0FA" w14:textId="77777777" w:rsidR="00394641" w:rsidRPr="007354DD" w:rsidRDefault="00394641" w:rsidP="007354DD">
      <w:pPr>
        <w:spacing w:after="0"/>
        <w:jc w:val="both"/>
        <w:rPr>
          <w:rFonts w:ascii="Arial" w:eastAsia="Times New Roman" w:hAnsi="Arial" w:cs="Arial"/>
          <w:iCs/>
          <w:color w:val="000000"/>
          <w:szCs w:val="24"/>
          <w:lang w:eastAsia="es-MX"/>
        </w:rPr>
      </w:pPr>
      <w:r w:rsidRPr="007354DD">
        <w:rPr>
          <w:rFonts w:ascii="Arial" w:eastAsia="Times New Roman" w:hAnsi="Arial" w:cs="Arial"/>
          <w:iCs/>
          <w:color w:val="000000"/>
          <w:szCs w:val="24"/>
          <w:lang w:eastAsia="es-MX"/>
        </w:rPr>
        <w:t>Auditoría Superior del Estado de Quintana Roo</w:t>
      </w:r>
    </w:p>
    <w:p w14:paraId="4CE1DBCA" w14:textId="77777777" w:rsidR="00394641" w:rsidRPr="0050178A" w:rsidRDefault="00394641" w:rsidP="00394641">
      <w:pPr>
        <w:rPr>
          <w:sz w:val="24"/>
          <w:lang w:val="es-ES" w:eastAsia="es-ES" w:bidi="es-ES"/>
        </w:rPr>
      </w:pPr>
    </w:p>
    <w:p w14:paraId="0FB9AD7A" w14:textId="77777777" w:rsidR="00394641" w:rsidRPr="00394641" w:rsidRDefault="00394641" w:rsidP="00394641">
      <w:pPr>
        <w:jc w:val="center"/>
        <w:rPr>
          <w:rFonts w:ascii="Arial" w:hAnsi="Arial" w:cs="Arial"/>
          <w:b/>
          <w:sz w:val="44"/>
          <w:lang w:val="es-ES" w:eastAsia="es-ES" w:bidi="es-ES"/>
        </w:rPr>
      </w:pPr>
      <w:r>
        <w:rPr>
          <w:rFonts w:ascii="Arial" w:hAnsi="Arial" w:cs="Arial"/>
          <w:b/>
          <w:sz w:val="44"/>
          <w:lang w:val="es-ES" w:eastAsia="es-ES" w:bidi="es-ES"/>
        </w:rPr>
        <w:t>C</w:t>
      </w:r>
    </w:p>
    <w:p w14:paraId="6140D3AC"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CAPA</w:t>
      </w:r>
      <w:r w:rsidRPr="007432CD">
        <w:rPr>
          <w:rFonts w:ascii="Arial" w:eastAsia="Times New Roman" w:hAnsi="Arial" w:cs="Arial"/>
          <w:b/>
          <w:iCs/>
          <w:color w:val="000000"/>
          <w:szCs w:val="24"/>
          <w:lang w:eastAsia="es-MX"/>
        </w:rPr>
        <w:tab/>
      </w:r>
    </w:p>
    <w:p w14:paraId="0F0549B9"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Comisión de Agua Potable y Alcantarillado </w:t>
      </w:r>
    </w:p>
    <w:p w14:paraId="58EA08AF" w14:textId="77777777" w:rsidR="007432CD" w:rsidRPr="007432CD" w:rsidRDefault="007432CD" w:rsidP="007432CD">
      <w:pPr>
        <w:spacing w:after="0"/>
        <w:jc w:val="both"/>
        <w:rPr>
          <w:rFonts w:ascii="Arial" w:eastAsia="Times New Roman" w:hAnsi="Arial" w:cs="Arial"/>
          <w:iCs/>
          <w:color w:val="000000"/>
          <w:szCs w:val="24"/>
          <w:lang w:eastAsia="es-MX"/>
        </w:rPr>
      </w:pPr>
    </w:p>
    <w:p w14:paraId="255C108C"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CDHEQROO</w:t>
      </w:r>
      <w:r w:rsidRPr="007432CD">
        <w:rPr>
          <w:rFonts w:ascii="Arial" w:eastAsia="Times New Roman" w:hAnsi="Arial" w:cs="Arial"/>
          <w:b/>
          <w:iCs/>
          <w:color w:val="000000"/>
          <w:szCs w:val="24"/>
          <w:lang w:eastAsia="es-MX"/>
        </w:rPr>
        <w:tab/>
      </w:r>
    </w:p>
    <w:p w14:paraId="57F37EB5"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Comisión de </w:t>
      </w:r>
      <w:r w:rsidR="00637E19">
        <w:rPr>
          <w:rFonts w:ascii="Arial" w:eastAsia="Times New Roman" w:hAnsi="Arial" w:cs="Arial"/>
          <w:iCs/>
          <w:color w:val="000000"/>
          <w:szCs w:val="24"/>
          <w:lang w:eastAsia="es-MX"/>
        </w:rPr>
        <w:t xml:space="preserve">los </w:t>
      </w:r>
      <w:r w:rsidRPr="007432CD">
        <w:rPr>
          <w:rFonts w:ascii="Arial" w:eastAsia="Times New Roman" w:hAnsi="Arial" w:cs="Arial"/>
          <w:iCs/>
          <w:color w:val="000000"/>
          <w:szCs w:val="24"/>
          <w:lang w:eastAsia="es-MX"/>
        </w:rPr>
        <w:t>Derechos Humanos del Estado de Quintana Roo</w:t>
      </w:r>
    </w:p>
    <w:p w14:paraId="3350DA45" w14:textId="77777777" w:rsidR="007432CD" w:rsidRPr="007432CD" w:rsidRDefault="007432CD" w:rsidP="007432CD">
      <w:pPr>
        <w:spacing w:after="0"/>
        <w:jc w:val="both"/>
        <w:rPr>
          <w:rFonts w:ascii="Arial" w:eastAsia="Times New Roman" w:hAnsi="Arial" w:cs="Arial"/>
          <w:iCs/>
          <w:color w:val="000000"/>
          <w:szCs w:val="24"/>
          <w:lang w:eastAsia="es-MX"/>
        </w:rPr>
      </w:pPr>
    </w:p>
    <w:p w14:paraId="3FD24DDA"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CEAVEQROO</w:t>
      </w:r>
      <w:r w:rsidRPr="007432CD">
        <w:rPr>
          <w:rFonts w:ascii="Arial" w:eastAsia="Times New Roman" w:hAnsi="Arial" w:cs="Arial"/>
          <w:b/>
          <w:iCs/>
          <w:color w:val="000000"/>
          <w:szCs w:val="24"/>
          <w:lang w:eastAsia="es-MX"/>
        </w:rPr>
        <w:tab/>
      </w:r>
    </w:p>
    <w:p w14:paraId="0201744C"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Comisión Ejecutiva de Atención a Víctimas del Estado de Quintana Roo</w:t>
      </w:r>
    </w:p>
    <w:p w14:paraId="0CD741C2" w14:textId="77777777" w:rsidR="007432CD" w:rsidRPr="007432CD" w:rsidRDefault="007432CD" w:rsidP="007432CD">
      <w:pPr>
        <w:spacing w:after="0"/>
        <w:jc w:val="both"/>
        <w:rPr>
          <w:rFonts w:ascii="Arial" w:eastAsia="Times New Roman" w:hAnsi="Arial" w:cs="Arial"/>
          <w:iCs/>
          <w:color w:val="000000"/>
          <w:szCs w:val="24"/>
          <w:lang w:eastAsia="es-MX"/>
        </w:rPr>
      </w:pPr>
    </w:p>
    <w:p w14:paraId="39026128"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CECYTE</w:t>
      </w:r>
      <w:r w:rsidRPr="007432CD">
        <w:rPr>
          <w:rFonts w:ascii="Arial" w:eastAsia="Times New Roman" w:hAnsi="Arial" w:cs="Arial"/>
          <w:b/>
          <w:iCs/>
          <w:color w:val="000000"/>
          <w:szCs w:val="24"/>
          <w:lang w:eastAsia="es-MX"/>
        </w:rPr>
        <w:tab/>
      </w:r>
    </w:p>
    <w:p w14:paraId="2B561669"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Colegio de Estudios Científicos y Tecnológicos de Quintana Roo </w:t>
      </w:r>
    </w:p>
    <w:p w14:paraId="20A6915D" w14:textId="77777777" w:rsidR="007432CD" w:rsidRPr="007432CD" w:rsidRDefault="007432CD" w:rsidP="007432CD">
      <w:pPr>
        <w:spacing w:after="0"/>
        <w:jc w:val="both"/>
        <w:rPr>
          <w:rFonts w:ascii="Arial" w:eastAsia="Times New Roman" w:hAnsi="Arial" w:cs="Arial"/>
          <w:iCs/>
          <w:color w:val="000000"/>
          <w:szCs w:val="24"/>
          <w:lang w:eastAsia="es-MX"/>
        </w:rPr>
      </w:pPr>
    </w:p>
    <w:p w14:paraId="312360BF"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CETES</w:t>
      </w:r>
      <w:r w:rsidRPr="007432CD">
        <w:rPr>
          <w:rFonts w:ascii="Arial" w:eastAsia="Times New Roman" w:hAnsi="Arial" w:cs="Arial"/>
          <w:b/>
          <w:iCs/>
          <w:color w:val="000000"/>
          <w:szCs w:val="24"/>
          <w:lang w:eastAsia="es-MX"/>
        </w:rPr>
        <w:tab/>
      </w:r>
    </w:p>
    <w:p w14:paraId="35434F90"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Certificados de la Tesorería de la Federación</w:t>
      </w:r>
    </w:p>
    <w:p w14:paraId="7250086C" w14:textId="77777777" w:rsidR="007432CD" w:rsidRPr="007432CD" w:rsidRDefault="007432CD" w:rsidP="007432CD">
      <w:pPr>
        <w:spacing w:after="0"/>
        <w:jc w:val="both"/>
        <w:rPr>
          <w:rFonts w:ascii="Arial" w:eastAsia="Times New Roman" w:hAnsi="Arial" w:cs="Arial"/>
          <w:iCs/>
          <w:color w:val="000000"/>
          <w:szCs w:val="24"/>
          <w:lang w:eastAsia="es-MX"/>
        </w:rPr>
      </w:pPr>
    </w:p>
    <w:p w14:paraId="03601185"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CGC</w:t>
      </w:r>
      <w:r w:rsidRPr="007432CD">
        <w:rPr>
          <w:rFonts w:ascii="Arial" w:eastAsia="Times New Roman" w:hAnsi="Arial" w:cs="Arial"/>
          <w:b/>
          <w:iCs/>
          <w:color w:val="000000"/>
          <w:szCs w:val="24"/>
          <w:lang w:eastAsia="es-MX"/>
        </w:rPr>
        <w:tab/>
      </w:r>
    </w:p>
    <w:p w14:paraId="178CDF94"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Coordinación General de Comunicación</w:t>
      </w:r>
    </w:p>
    <w:p w14:paraId="1269F674" w14:textId="77777777" w:rsidR="007432CD" w:rsidRPr="007432CD" w:rsidRDefault="007432CD" w:rsidP="007432CD">
      <w:pPr>
        <w:spacing w:after="0"/>
        <w:jc w:val="both"/>
        <w:rPr>
          <w:rFonts w:ascii="Arial" w:eastAsia="Times New Roman" w:hAnsi="Arial" w:cs="Arial"/>
          <w:iCs/>
          <w:color w:val="000000"/>
          <w:szCs w:val="24"/>
          <w:lang w:eastAsia="es-MX"/>
        </w:rPr>
      </w:pPr>
    </w:p>
    <w:p w14:paraId="062070C6"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CGPE</w:t>
      </w:r>
      <w:r w:rsidRPr="007432CD">
        <w:rPr>
          <w:rFonts w:ascii="Arial" w:eastAsia="Times New Roman" w:hAnsi="Arial" w:cs="Arial"/>
          <w:b/>
          <w:iCs/>
          <w:color w:val="000000"/>
          <w:szCs w:val="24"/>
          <w:lang w:eastAsia="es-MX"/>
        </w:rPr>
        <w:tab/>
      </w:r>
    </w:p>
    <w:p w14:paraId="25930AFD"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Criterios Generales de Política Económica</w:t>
      </w:r>
    </w:p>
    <w:p w14:paraId="15194216" w14:textId="77777777" w:rsidR="007432CD" w:rsidRPr="007432CD" w:rsidRDefault="007432CD" w:rsidP="007432CD">
      <w:pPr>
        <w:spacing w:after="0"/>
        <w:jc w:val="both"/>
        <w:rPr>
          <w:rFonts w:ascii="Arial" w:eastAsia="Times New Roman" w:hAnsi="Arial" w:cs="Arial"/>
          <w:iCs/>
          <w:color w:val="000000"/>
          <w:szCs w:val="24"/>
          <w:lang w:eastAsia="es-MX"/>
        </w:rPr>
      </w:pPr>
    </w:p>
    <w:p w14:paraId="050905FC"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CJPE</w:t>
      </w:r>
      <w:r w:rsidRPr="007432CD">
        <w:rPr>
          <w:rFonts w:ascii="Arial" w:eastAsia="Times New Roman" w:hAnsi="Arial" w:cs="Arial"/>
          <w:b/>
          <w:iCs/>
          <w:color w:val="000000"/>
          <w:szCs w:val="24"/>
          <w:lang w:eastAsia="es-MX"/>
        </w:rPr>
        <w:tab/>
      </w:r>
    </w:p>
    <w:p w14:paraId="46374CAB"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Consejería Jurídica del Poder Ejecutivo</w:t>
      </w:r>
      <w:r w:rsidR="00637E19">
        <w:rPr>
          <w:rFonts w:ascii="Arial" w:eastAsia="Times New Roman" w:hAnsi="Arial" w:cs="Arial"/>
          <w:iCs/>
          <w:color w:val="000000"/>
          <w:szCs w:val="24"/>
          <w:lang w:eastAsia="es-MX"/>
        </w:rPr>
        <w:t xml:space="preserve"> del Estado</w:t>
      </w:r>
    </w:p>
    <w:p w14:paraId="528517D5" w14:textId="77777777" w:rsidR="007432CD" w:rsidRPr="007432CD" w:rsidRDefault="007432CD" w:rsidP="007432CD">
      <w:pPr>
        <w:spacing w:after="0"/>
        <w:jc w:val="both"/>
        <w:rPr>
          <w:rFonts w:ascii="Arial" w:eastAsia="Times New Roman" w:hAnsi="Arial" w:cs="Arial"/>
          <w:iCs/>
          <w:color w:val="000000"/>
          <w:szCs w:val="24"/>
          <w:lang w:eastAsia="es-MX"/>
        </w:rPr>
      </w:pPr>
    </w:p>
    <w:p w14:paraId="56F02CCE"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COBAQROO</w:t>
      </w:r>
      <w:r w:rsidRPr="007432CD">
        <w:rPr>
          <w:rFonts w:ascii="Arial" w:eastAsia="Times New Roman" w:hAnsi="Arial" w:cs="Arial"/>
          <w:b/>
          <w:iCs/>
          <w:color w:val="000000"/>
          <w:szCs w:val="24"/>
          <w:lang w:eastAsia="es-MX"/>
        </w:rPr>
        <w:tab/>
      </w:r>
    </w:p>
    <w:p w14:paraId="56F3C04A"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Colegio de Bachilleres del Estado de Quintana Roo </w:t>
      </w:r>
    </w:p>
    <w:p w14:paraId="6024AE79" w14:textId="77777777" w:rsidR="007432CD" w:rsidRPr="007432CD" w:rsidRDefault="007432CD" w:rsidP="007432CD">
      <w:pPr>
        <w:spacing w:after="0"/>
        <w:jc w:val="both"/>
        <w:rPr>
          <w:rFonts w:ascii="Arial" w:eastAsia="Times New Roman" w:hAnsi="Arial" w:cs="Arial"/>
          <w:iCs/>
          <w:color w:val="000000"/>
          <w:szCs w:val="24"/>
          <w:lang w:eastAsia="es-MX"/>
        </w:rPr>
      </w:pPr>
    </w:p>
    <w:p w14:paraId="7A463EC1"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COJUDEQ</w:t>
      </w:r>
      <w:r w:rsidRPr="007432CD">
        <w:rPr>
          <w:rFonts w:ascii="Arial" w:eastAsia="Times New Roman" w:hAnsi="Arial" w:cs="Arial"/>
          <w:b/>
          <w:iCs/>
          <w:color w:val="000000"/>
          <w:szCs w:val="24"/>
          <w:lang w:eastAsia="es-MX"/>
        </w:rPr>
        <w:tab/>
      </w:r>
    </w:p>
    <w:p w14:paraId="73E27A68"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Comisión para la Juventud y el Deporte de Quintana Roo </w:t>
      </w:r>
    </w:p>
    <w:p w14:paraId="527ED134" w14:textId="77777777" w:rsidR="007432CD" w:rsidRPr="007432CD" w:rsidRDefault="007432CD" w:rsidP="007432CD">
      <w:pPr>
        <w:spacing w:after="0"/>
        <w:jc w:val="both"/>
        <w:rPr>
          <w:rFonts w:ascii="Arial" w:eastAsia="Times New Roman" w:hAnsi="Arial" w:cs="Arial"/>
          <w:iCs/>
          <w:color w:val="000000"/>
          <w:szCs w:val="24"/>
          <w:lang w:eastAsia="es-MX"/>
        </w:rPr>
      </w:pPr>
    </w:p>
    <w:p w14:paraId="662CA79B"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CONAC</w:t>
      </w:r>
      <w:r w:rsidRPr="007432CD">
        <w:rPr>
          <w:rFonts w:ascii="Arial" w:eastAsia="Times New Roman" w:hAnsi="Arial" w:cs="Arial"/>
          <w:b/>
          <w:iCs/>
          <w:color w:val="000000"/>
          <w:szCs w:val="24"/>
          <w:lang w:eastAsia="es-MX"/>
        </w:rPr>
        <w:tab/>
      </w:r>
    </w:p>
    <w:p w14:paraId="5A26DED7"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Consejo Nacional de Armonización Contable</w:t>
      </w:r>
    </w:p>
    <w:p w14:paraId="203FCFC6" w14:textId="77777777" w:rsidR="007432CD" w:rsidRPr="007432CD" w:rsidRDefault="007432CD" w:rsidP="007432CD">
      <w:pPr>
        <w:spacing w:after="0"/>
        <w:jc w:val="both"/>
        <w:rPr>
          <w:rFonts w:ascii="Arial" w:eastAsia="Times New Roman" w:hAnsi="Arial" w:cs="Arial"/>
          <w:iCs/>
          <w:color w:val="000000"/>
          <w:szCs w:val="24"/>
          <w:lang w:eastAsia="es-MX"/>
        </w:rPr>
      </w:pPr>
    </w:p>
    <w:p w14:paraId="4B12A776"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CONALEP QUINTANA ROO</w:t>
      </w:r>
      <w:r w:rsidRPr="007432CD">
        <w:rPr>
          <w:rFonts w:ascii="Arial" w:eastAsia="Times New Roman" w:hAnsi="Arial" w:cs="Arial"/>
          <w:b/>
          <w:iCs/>
          <w:color w:val="000000"/>
          <w:szCs w:val="24"/>
          <w:lang w:eastAsia="es-MX"/>
        </w:rPr>
        <w:tab/>
      </w:r>
    </w:p>
    <w:p w14:paraId="25AF2D1D"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Colegio de Educación Profesional Técnica del Estado de Quintana Roo </w:t>
      </w:r>
    </w:p>
    <w:p w14:paraId="4C6283CE" w14:textId="77777777" w:rsidR="007432CD" w:rsidRPr="007432CD" w:rsidRDefault="007432CD" w:rsidP="007432CD">
      <w:pPr>
        <w:spacing w:after="0"/>
        <w:jc w:val="both"/>
        <w:rPr>
          <w:rFonts w:ascii="Arial" w:eastAsia="Times New Roman" w:hAnsi="Arial" w:cs="Arial"/>
          <w:iCs/>
          <w:color w:val="000000"/>
          <w:szCs w:val="24"/>
          <w:lang w:eastAsia="es-MX"/>
        </w:rPr>
      </w:pPr>
    </w:p>
    <w:p w14:paraId="7A67609B"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COQCYT</w:t>
      </w:r>
      <w:r w:rsidRPr="007432CD">
        <w:rPr>
          <w:rFonts w:ascii="Arial" w:eastAsia="Times New Roman" w:hAnsi="Arial" w:cs="Arial"/>
          <w:b/>
          <w:iCs/>
          <w:color w:val="000000"/>
          <w:szCs w:val="24"/>
          <w:lang w:eastAsia="es-MX"/>
        </w:rPr>
        <w:tab/>
      </w:r>
    </w:p>
    <w:p w14:paraId="6AF2144A"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Consejo Quintanarroense de Ciencia y Tecnología </w:t>
      </w:r>
    </w:p>
    <w:p w14:paraId="64014FFE" w14:textId="77777777" w:rsidR="007432CD" w:rsidRPr="007432CD" w:rsidRDefault="007432CD" w:rsidP="007432CD">
      <w:pPr>
        <w:spacing w:after="0"/>
        <w:jc w:val="both"/>
        <w:rPr>
          <w:rFonts w:ascii="Arial" w:eastAsia="Times New Roman" w:hAnsi="Arial" w:cs="Arial"/>
          <w:iCs/>
          <w:color w:val="000000"/>
          <w:szCs w:val="24"/>
          <w:lang w:eastAsia="es-MX"/>
        </w:rPr>
      </w:pPr>
    </w:p>
    <w:p w14:paraId="2166BFE2"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CPTQ</w:t>
      </w:r>
      <w:r w:rsidRPr="007432CD">
        <w:rPr>
          <w:rFonts w:ascii="Arial" w:eastAsia="Times New Roman" w:hAnsi="Arial" w:cs="Arial"/>
          <w:b/>
          <w:iCs/>
          <w:color w:val="000000"/>
          <w:szCs w:val="24"/>
          <w:lang w:eastAsia="es-MX"/>
        </w:rPr>
        <w:tab/>
      </w:r>
    </w:p>
    <w:p w14:paraId="7DDBF732"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Consejo de Promoción Turística de Quintana Roo</w:t>
      </w:r>
    </w:p>
    <w:p w14:paraId="7AA73EE8" w14:textId="77777777" w:rsidR="007432CD" w:rsidRPr="007432CD" w:rsidRDefault="007432CD" w:rsidP="007432CD">
      <w:pPr>
        <w:spacing w:after="0"/>
        <w:jc w:val="both"/>
        <w:rPr>
          <w:rFonts w:ascii="Arial" w:eastAsia="Times New Roman" w:hAnsi="Arial" w:cs="Arial"/>
          <w:iCs/>
          <w:color w:val="000000"/>
          <w:szCs w:val="24"/>
          <w:lang w:eastAsia="es-MX"/>
        </w:rPr>
      </w:pPr>
    </w:p>
    <w:p w14:paraId="7D255352"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CRI</w:t>
      </w:r>
      <w:r w:rsidRPr="007432CD">
        <w:rPr>
          <w:rFonts w:ascii="Arial" w:eastAsia="Times New Roman" w:hAnsi="Arial" w:cs="Arial"/>
          <w:b/>
          <w:iCs/>
          <w:color w:val="000000"/>
          <w:szCs w:val="24"/>
          <w:lang w:eastAsia="es-MX"/>
        </w:rPr>
        <w:tab/>
      </w:r>
    </w:p>
    <w:p w14:paraId="1BFA7989" w14:textId="77777777" w:rsidR="00394641" w:rsidRPr="007354DD" w:rsidRDefault="00394641" w:rsidP="007432CD">
      <w:pPr>
        <w:spacing w:after="0"/>
        <w:jc w:val="both"/>
        <w:rPr>
          <w:rFonts w:ascii="Arial" w:eastAsia="Times New Roman" w:hAnsi="Arial" w:cs="Arial"/>
          <w:iCs/>
          <w:color w:val="000000"/>
          <w:sz w:val="24"/>
          <w:szCs w:val="24"/>
          <w:lang w:eastAsia="es-MX"/>
        </w:rPr>
      </w:pPr>
      <w:r w:rsidRPr="007432CD">
        <w:rPr>
          <w:rFonts w:ascii="Arial" w:eastAsia="Times New Roman" w:hAnsi="Arial" w:cs="Arial"/>
          <w:iCs/>
          <w:color w:val="000000"/>
          <w:szCs w:val="24"/>
          <w:lang w:eastAsia="es-MX"/>
        </w:rPr>
        <w:t>Clasificador por Rubros de Ingresos</w:t>
      </w:r>
    </w:p>
    <w:p w14:paraId="73154346" w14:textId="77777777" w:rsidR="00394641" w:rsidRPr="0050178A" w:rsidRDefault="00394641" w:rsidP="00394641">
      <w:pPr>
        <w:rPr>
          <w:sz w:val="24"/>
          <w:lang w:val="es-ES" w:eastAsia="es-ES" w:bidi="es-ES"/>
        </w:rPr>
      </w:pPr>
    </w:p>
    <w:p w14:paraId="11C2D1B7" w14:textId="77777777" w:rsidR="00394641" w:rsidRPr="00394641" w:rsidRDefault="00394641" w:rsidP="00394641">
      <w:pPr>
        <w:jc w:val="center"/>
        <w:rPr>
          <w:rFonts w:ascii="Arial" w:hAnsi="Arial" w:cs="Arial"/>
          <w:b/>
          <w:sz w:val="44"/>
          <w:lang w:val="es-ES" w:eastAsia="es-ES" w:bidi="es-ES"/>
        </w:rPr>
      </w:pPr>
      <w:r>
        <w:rPr>
          <w:rFonts w:ascii="Arial" w:hAnsi="Arial" w:cs="Arial"/>
          <w:b/>
          <w:sz w:val="44"/>
          <w:lang w:val="es-ES" w:eastAsia="es-ES" w:bidi="es-ES"/>
        </w:rPr>
        <w:t>D</w:t>
      </w:r>
    </w:p>
    <w:p w14:paraId="79F40190" w14:textId="77777777" w:rsidR="00394641" w:rsidRPr="00EE243C" w:rsidRDefault="00394641" w:rsidP="007432CD">
      <w:pPr>
        <w:spacing w:after="0"/>
        <w:jc w:val="both"/>
        <w:rPr>
          <w:rFonts w:ascii="Arial" w:eastAsia="Times New Roman" w:hAnsi="Arial" w:cs="Arial"/>
          <w:b/>
          <w:iCs/>
          <w:color w:val="000000"/>
          <w:szCs w:val="24"/>
          <w:lang w:eastAsia="es-MX"/>
        </w:rPr>
      </w:pPr>
      <w:r w:rsidRPr="00EE243C">
        <w:rPr>
          <w:rFonts w:ascii="Arial" w:eastAsia="Times New Roman" w:hAnsi="Arial" w:cs="Arial"/>
          <w:b/>
          <w:iCs/>
          <w:color w:val="000000"/>
          <w:szCs w:val="24"/>
          <w:lang w:eastAsia="es-MX"/>
        </w:rPr>
        <w:t>D</w:t>
      </w:r>
      <w:r w:rsidR="0063316F">
        <w:rPr>
          <w:rFonts w:ascii="Arial" w:eastAsia="Times New Roman" w:hAnsi="Arial" w:cs="Arial"/>
          <w:b/>
          <w:iCs/>
          <w:color w:val="000000"/>
          <w:szCs w:val="24"/>
          <w:lang w:eastAsia="es-MX"/>
        </w:rPr>
        <w:t>GE</w:t>
      </w:r>
      <w:r w:rsidRPr="00EE243C">
        <w:rPr>
          <w:rFonts w:ascii="Arial" w:eastAsia="Times New Roman" w:hAnsi="Arial" w:cs="Arial"/>
          <w:b/>
          <w:iCs/>
          <w:color w:val="000000"/>
          <w:szCs w:val="24"/>
          <w:lang w:eastAsia="es-MX"/>
        </w:rPr>
        <w:tab/>
      </w:r>
    </w:p>
    <w:p w14:paraId="20ECF856" w14:textId="77777777" w:rsidR="00394641" w:rsidRDefault="00394641" w:rsidP="007432CD">
      <w:pPr>
        <w:spacing w:after="0"/>
        <w:jc w:val="both"/>
        <w:rPr>
          <w:rFonts w:ascii="Arial" w:eastAsia="Times New Roman" w:hAnsi="Arial" w:cs="Arial"/>
          <w:iCs/>
          <w:color w:val="000000"/>
          <w:szCs w:val="24"/>
          <w:lang w:eastAsia="es-MX"/>
        </w:rPr>
      </w:pPr>
      <w:r w:rsidRPr="00EE243C">
        <w:rPr>
          <w:rFonts w:ascii="Arial" w:eastAsia="Times New Roman" w:hAnsi="Arial" w:cs="Arial"/>
          <w:iCs/>
          <w:color w:val="000000"/>
          <w:szCs w:val="24"/>
          <w:lang w:eastAsia="es-MX"/>
        </w:rPr>
        <w:t>Despacho de</w:t>
      </w:r>
      <w:r w:rsidR="00637E19">
        <w:rPr>
          <w:rFonts w:ascii="Arial" w:eastAsia="Times New Roman" w:hAnsi="Arial" w:cs="Arial"/>
          <w:iCs/>
          <w:color w:val="000000"/>
          <w:szCs w:val="24"/>
          <w:lang w:eastAsia="es-MX"/>
        </w:rPr>
        <w:t>l</w:t>
      </w:r>
      <w:r w:rsidRPr="00EE243C">
        <w:rPr>
          <w:rFonts w:ascii="Arial" w:eastAsia="Times New Roman" w:hAnsi="Arial" w:cs="Arial"/>
          <w:iCs/>
          <w:color w:val="000000"/>
          <w:szCs w:val="24"/>
          <w:lang w:eastAsia="es-MX"/>
        </w:rPr>
        <w:t xml:space="preserve"> Gobernador</w:t>
      </w:r>
      <w:r w:rsidR="0063316F">
        <w:rPr>
          <w:rFonts w:ascii="Arial" w:eastAsia="Times New Roman" w:hAnsi="Arial" w:cs="Arial"/>
          <w:iCs/>
          <w:color w:val="000000"/>
          <w:szCs w:val="24"/>
          <w:lang w:eastAsia="es-MX"/>
        </w:rPr>
        <w:t xml:space="preserve"> del Estado</w:t>
      </w:r>
    </w:p>
    <w:p w14:paraId="3DFFBB02" w14:textId="77777777" w:rsidR="0050178A" w:rsidRDefault="0050178A" w:rsidP="00450CEB">
      <w:pPr>
        <w:spacing w:after="0"/>
        <w:jc w:val="both"/>
        <w:rPr>
          <w:rFonts w:ascii="Arial" w:eastAsia="Times New Roman" w:hAnsi="Arial" w:cs="Arial"/>
          <w:b/>
          <w:iCs/>
          <w:color w:val="000000"/>
          <w:szCs w:val="24"/>
          <w:lang w:eastAsia="es-MX"/>
        </w:rPr>
      </w:pPr>
    </w:p>
    <w:p w14:paraId="16B6054F" w14:textId="77777777" w:rsidR="00450CEB" w:rsidRPr="007432CD" w:rsidRDefault="00450CEB" w:rsidP="00450CEB">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 xml:space="preserve">DIF </w:t>
      </w:r>
      <w:r w:rsidRPr="007432CD">
        <w:rPr>
          <w:rFonts w:ascii="Arial" w:eastAsia="Times New Roman" w:hAnsi="Arial" w:cs="Arial"/>
          <w:b/>
          <w:iCs/>
          <w:color w:val="000000"/>
          <w:szCs w:val="24"/>
          <w:lang w:eastAsia="es-MX"/>
        </w:rPr>
        <w:tab/>
      </w:r>
    </w:p>
    <w:p w14:paraId="5FF66969" w14:textId="77777777" w:rsidR="00450CEB" w:rsidRDefault="00450CEB" w:rsidP="00450CEB">
      <w:pPr>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Sistema para el Desarrollo Integral de la</w:t>
      </w:r>
      <w:r>
        <w:rPr>
          <w:rFonts w:ascii="Arial" w:eastAsia="Times New Roman" w:hAnsi="Arial" w:cs="Arial"/>
          <w:iCs/>
          <w:color w:val="000000"/>
          <w:szCs w:val="24"/>
          <w:lang w:eastAsia="es-MX"/>
        </w:rPr>
        <w:t xml:space="preserve"> </w:t>
      </w:r>
      <w:r w:rsidRPr="007432CD">
        <w:rPr>
          <w:rFonts w:ascii="Arial" w:eastAsia="Times New Roman" w:hAnsi="Arial" w:cs="Arial"/>
          <w:iCs/>
          <w:color w:val="000000"/>
          <w:szCs w:val="24"/>
          <w:lang w:eastAsia="es-MX"/>
        </w:rPr>
        <w:t>Familia del Estado de Quintana Roo</w:t>
      </w:r>
    </w:p>
    <w:p w14:paraId="0B36C673" w14:textId="77777777" w:rsidR="00450CEB" w:rsidRPr="007432CD" w:rsidRDefault="00450CEB" w:rsidP="00450CEB">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lastRenderedPageBreak/>
        <w:t>DIF BJ</w:t>
      </w:r>
      <w:r w:rsidRPr="007432CD">
        <w:rPr>
          <w:rFonts w:ascii="Arial" w:eastAsia="Times New Roman" w:hAnsi="Arial" w:cs="Arial"/>
          <w:b/>
          <w:iCs/>
          <w:color w:val="000000"/>
          <w:szCs w:val="24"/>
          <w:lang w:eastAsia="es-MX"/>
        </w:rPr>
        <w:tab/>
      </w:r>
    </w:p>
    <w:p w14:paraId="4F67F36E" w14:textId="77777777" w:rsidR="00394641" w:rsidRDefault="00450CEB" w:rsidP="00450CEB">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Sistema para el Desarrollo Integral de la Familia del Municipio de Benito Juárez</w:t>
      </w:r>
      <w:r w:rsidR="00394641" w:rsidRPr="007432CD">
        <w:rPr>
          <w:rFonts w:ascii="Arial" w:eastAsia="Times New Roman" w:hAnsi="Arial" w:cs="Arial"/>
          <w:iCs/>
          <w:color w:val="000000"/>
          <w:szCs w:val="24"/>
          <w:lang w:eastAsia="es-MX"/>
        </w:rPr>
        <w:t xml:space="preserve"> </w:t>
      </w:r>
    </w:p>
    <w:p w14:paraId="61F2B201" w14:textId="77777777" w:rsidR="007432CD" w:rsidRPr="007432CD" w:rsidRDefault="007432CD" w:rsidP="007432CD">
      <w:pPr>
        <w:spacing w:after="0"/>
        <w:jc w:val="both"/>
        <w:rPr>
          <w:rFonts w:ascii="Arial" w:eastAsia="Times New Roman" w:hAnsi="Arial" w:cs="Arial"/>
          <w:iCs/>
          <w:color w:val="000000"/>
          <w:szCs w:val="24"/>
          <w:lang w:eastAsia="es-MX"/>
        </w:rPr>
      </w:pPr>
    </w:p>
    <w:p w14:paraId="36A3B18C" w14:textId="77777777" w:rsidR="00450CEB" w:rsidRPr="007432CD" w:rsidRDefault="00450CEB" w:rsidP="00450CEB">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DIF CZ</w:t>
      </w:r>
      <w:r w:rsidRPr="007432CD">
        <w:rPr>
          <w:rFonts w:ascii="Arial" w:eastAsia="Times New Roman" w:hAnsi="Arial" w:cs="Arial"/>
          <w:b/>
          <w:iCs/>
          <w:color w:val="000000"/>
          <w:szCs w:val="24"/>
          <w:lang w:eastAsia="es-MX"/>
        </w:rPr>
        <w:tab/>
      </w:r>
    </w:p>
    <w:p w14:paraId="40DF11E4" w14:textId="77777777" w:rsidR="00450CEB" w:rsidRDefault="00450CEB" w:rsidP="00450CEB">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Sistema para el Desarrollo Integral de la Familia del Municipio de Cozumel</w:t>
      </w:r>
    </w:p>
    <w:p w14:paraId="48BE1CFD" w14:textId="77777777" w:rsidR="007432CD" w:rsidRPr="007432CD" w:rsidRDefault="007432CD" w:rsidP="007432CD">
      <w:pPr>
        <w:spacing w:after="0"/>
        <w:jc w:val="both"/>
        <w:rPr>
          <w:rFonts w:ascii="Arial" w:eastAsia="Times New Roman" w:hAnsi="Arial" w:cs="Arial"/>
          <w:iCs/>
          <w:color w:val="000000"/>
          <w:szCs w:val="24"/>
          <w:lang w:eastAsia="es-MX"/>
        </w:rPr>
      </w:pPr>
    </w:p>
    <w:p w14:paraId="406AE27D"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DIF IM</w:t>
      </w:r>
      <w:r w:rsidRPr="007432CD">
        <w:rPr>
          <w:rFonts w:ascii="Arial" w:eastAsia="Times New Roman" w:hAnsi="Arial" w:cs="Arial"/>
          <w:b/>
          <w:iCs/>
          <w:color w:val="000000"/>
          <w:szCs w:val="24"/>
          <w:lang w:eastAsia="es-MX"/>
        </w:rPr>
        <w:tab/>
      </w:r>
    </w:p>
    <w:p w14:paraId="5F7FA150"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Sistema para el Desarrollo Integral de la Familia del Municipio de Isla Mujeres</w:t>
      </w:r>
    </w:p>
    <w:p w14:paraId="3E5C53FA" w14:textId="77777777" w:rsidR="007432CD" w:rsidRPr="007432CD" w:rsidRDefault="007432CD" w:rsidP="007432CD">
      <w:pPr>
        <w:spacing w:after="0"/>
        <w:jc w:val="both"/>
        <w:rPr>
          <w:rFonts w:ascii="Arial" w:eastAsia="Times New Roman" w:hAnsi="Arial" w:cs="Arial"/>
          <w:iCs/>
          <w:color w:val="000000"/>
          <w:szCs w:val="24"/>
          <w:lang w:eastAsia="es-MX"/>
        </w:rPr>
      </w:pPr>
    </w:p>
    <w:p w14:paraId="770E7675"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DIF OPB</w:t>
      </w:r>
      <w:r w:rsidRPr="007432CD">
        <w:rPr>
          <w:rFonts w:ascii="Arial" w:eastAsia="Times New Roman" w:hAnsi="Arial" w:cs="Arial"/>
          <w:b/>
          <w:iCs/>
          <w:color w:val="000000"/>
          <w:szCs w:val="24"/>
          <w:lang w:eastAsia="es-MX"/>
        </w:rPr>
        <w:tab/>
      </w:r>
    </w:p>
    <w:p w14:paraId="00E36224" w14:textId="77777777" w:rsidR="002A244C"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Sistema para el Desarrollo Integral de la Familia del Municipio de Othón P. Blanco</w:t>
      </w:r>
    </w:p>
    <w:p w14:paraId="2E38A777" w14:textId="77777777" w:rsidR="007432CD" w:rsidRPr="007432CD" w:rsidRDefault="007432CD" w:rsidP="007432CD">
      <w:pPr>
        <w:spacing w:after="0"/>
        <w:jc w:val="both"/>
        <w:rPr>
          <w:rFonts w:ascii="Arial" w:eastAsia="Times New Roman" w:hAnsi="Arial" w:cs="Arial"/>
          <w:iCs/>
          <w:color w:val="000000"/>
          <w:szCs w:val="24"/>
          <w:lang w:eastAsia="es-MX"/>
        </w:rPr>
      </w:pPr>
    </w:p>
    <w:p w14:paraId="4E7D5666"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DIF SOL</w:t>
      </w:r>
      <w:r w:rsidRPr="007432CD">
        <w:rPr>
          <w:rFonts w:ascii="Arial" w:eastAsia="Times New Roman" w:hAnsi="Arial" w:cs="Arial"/>
          <w:b/>
          <w:iCs/>
          <w:color w:val="000000"/>
          <w:szCs w:val="24"/>
          <w:lang w:eastAsia="es-MX"/>
        </w:rPr>
        <w:tab/>
      </w:r>
    </w:p>
    <w:p w14:paraId="3968680D"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Sistema para el Desarrollo Integral de la Familia del Municipio de Solidaridad </w:t>
      </w:r>
    </w:p>
    <w:p w14:paraId="756C868C" w14:textId="77777777" w:rsidR="007432CD" w:rsidRPr="007432CD" w:rsidRDefault="007432CD" w:rsidP="007432CD">
      <w:pPr>
        <w:spacing w:after="0"/>
        <w:jc w:val="both"/>
        <w:rPr>
          <w:rFonts w:ascii="Arial" w:eastAsia="Times New Roman" w:hAnsi="Arial" w:cs="Arial"/>
          <w:iCs/>
          <w:color w:val="000000"/>
          <w:szCs w:val="24"/>
          <w:lang w:eastAsia="es-MX"/>
        </w:rPr>
      </w:pPr>
    </w:p>
    <w:p w14:paraId="5F72A22B"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DIF TULUM</w:t>
      </w:r>
      <w:r w:rsidRPr="007432CD">
        <w:rPr>
          <w:rFonts w:ascii="Arial" w:eastAsia="Times New Roman" w:hAnsi="Arial" w:cs="Arial"/>
          <w:b/>
          <w:iCs/>
          <w:color w:val="000000"/>
          <w:szCs w:val="24"/>
          <w:lang w:eastAsia="es-MX"/>
        </w:rPr>
        <w:tab/>
      </w:r>
    </w:p>
    <w:p w14:paraId="4BC42875" w14:textId="77777777" w:rsidR="00394641" w:rsidRDefault="00394641" w:rsidP="007432CD">
      <w:pPr>
        <w:spacing w:after="0"/>
        <w:jc w:val="both"/>
        <w:rPr>
          <w:lang w:val="es-ES" w:eastAsia="es-ES" w:bidi="es-ES"/>
        </w:rPr>
      </w:pPr>
      <w:r w:rsidRPr="007432CD">
        <w:rPr>
          <w:rFonts w:ascii="Arial" w:eastAsia="Times New Roman" w:hAnsi="Arial" w:cs="Arial"/>
          <w:iCs/>
          <w:color w:val="000000"/>
          <w:szCs w:val="24"/>
          <w:lang w:eastAsia="es-MX"/>
        </w:rPr>
        <w:t>Sistema para el Desarrollo Integral de la Familia del Municipio de Tulum</w:t>
      </w:r>
      <w:r w:rsidRPr="00394641">
        <w:rPr>
          <w:lang w:val="es-ES" w:eastAsia="es-ES" w:bidi="es-ES"/>
        </w:rPr>
        <w:t xml:space="preserve"> </w:t>
      </w:r>
    </w:p>
    <w:p w14:paraId="3F50EC5E" w14:textId="77777777" w:rsidR="00394641" w:rsidRDefault="00394641" w:rsidP="00394641">
      <w:pPr>
        <w:rPr>
          <w:lang w:val="es-ES" w:eastAsia="es-ES" w:bidi="es-ES"/>
        </w:rPr>
      </w:pPr>
    </w:p>
    <w:p w14:paraId="1E88A027" w14:textId="77777777" w:rsidR="00394641" w:rsidRPr="00394641" w:rsidRDefault="00394641" w:rsidP="00394641">
      <w:pPr>
        <w:jc w:val="center"/>
        <w:rPr>
          <w:lang w:val="es-ES" w:eastAsia="es-ES" w:bidi="es-ES"/>
        </w:rPr>
      </w:pPr>
      <w:r>
        <w:rPr>
          <w:rFonts w:ascii="Arial" w:hAnsi="Arial" w:cs="Arial"/>
          <w:b/>
          <w:sz w:val="44"/>
          <w:lang w:val="es-ES" w:eastAsia="es-ES" w:bidi="es-ES"/>
        </w:rPr>
        <w:t>E</w:t>
      </w:r>
    </w:p>
    <w:p w14:paraId="7A74AF03"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EUA</w:t>
      </w:r>
      <w:r w:rsidRPr="007432CD">
        <w:rPr>
          <w:rFonts w:ascii="Arial" w:eastAsia="Times New Roman" w:hAnsi="Arial" w:cs="Arial"/>
          <w:b/>
          <w:iCs/>
          <w:color w:val="000000"/>
          <w:szCs w:val="24"/>
          <w:lang w:eastAsia="es-MX"/>
        </w:rPr>
        <w:tab/>
      </w:r>
    </w:p>
    <w:p w14:paraId="696B04CB"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Estados Unidos de América</w:t>
      </w:r>
    </w:p>
    <w:p w14:paraId="49A3BF94" w14:textId="77777777" w:rsidR="007432CD" w:rsidRPr="007432CD" w:rsidRDefault="007432CD" w:rsidP="007432CD">
      <w:pPr>
        <w:spacing w:after="0"/>
        <w:jc w:val="both"/>
        <w:rPr>
          <w:rFonts w:ascii="Arial" w:eastAsia="Times New Roman" w:hAnsi="Arial" w:cs="Arial"/>
          <w:iCs/>
          <w:color w:val="000000"/>
          <w:szCs w:val="24"/>
          <w:lang w:eastAsia="es-MX"/>
        </w:rPr>
      </w:pPr>
    </w:p>
    <w:p w14:paraId="29F976D2"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EVA</w:t>
      </w:r>
    </w:p>
    <w:p w14:paraId="625018E6" w14:textId="77777777" w:rsidR="00394641" w:rsidRDefault="00394641" w:rsidP="007432CD">
      <w:pPr>
        <w:spacing w:after="0"/>
        <w:jc w:val="both"/>
        <w:rPr>
          <w:lang w:val="es-ES" w:eastAsia="es-ES" w:bidi="es-ES"/>
        </w:rPr>
      </w:pPr>
      <w:r w:rsidRPr="007432CD">
        <w:rPr>
          <w:rFonts w:ascii="Arial" w:eastAsia="Times New Roman" w:hAnsi="Arial" w:cs="Arial"/>
          <w:iCs/>
          <w:color w:val="000000"/>
          <w:szCs w:val="24"/>
          <w:lang w:eastAsia="es-MX"/>
        </w:rPr>
        <w:t>Centro de Estudios de Bachillerato Técnico “Eva Sámano de López Mateos”</w:t>
      </w:r>
    </w:p>
    <w:p w14:paraId="35D81BC1" w14:textId="77777777" w:rsidR="00394641" w:rsidRDefault="00394641" w:rsidP="00394641">
      <w:pPr>
        <w:rPr>
          <w:lang w:val="es-ES" w:eastAsia="es-ES" w:bidi="es-ES"/>
        </w:rPr>
      </w:pPr>
    </w:p>
    <w:p w14:paraId="3EAD79AE" w14:textId="77777777" w:rsidR="00394641" w:rsidRPr="00394641" w:rsidRDefault="00394641" w:rsidP="00394641">
      <w:pPr>
        <w:jc w:val="center"/>
        <w:rPr>
          <w:rFonts w:ascii="Arial" w:hAnsi="Arial" w:cs="Arial"/>
          <w:b/>
          <w:sz w:val="44"/>
          <w:lang w:val="es-ES" w:eastAsia="es-ES" w:bidi="es-ES"/>
        </w:rPr>
      </w:pPr>
      <w:r>
        <w:rPr>
          <w:rFonts w:ascii="Arial" w:hAnsi="Arial" w:cs="Arial"/>
          <w:b/>
          <w:sz w:val="44"/>
          <w:lang w:val="es-ES" w:eastAsia="es-ES" w:bidi="es-ES"/>
        </w:rPr>
        <w:t>F</w:t>
      </w:r>
    </w:p>
    <w:p w14:paraId="2021D564"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FGEQROO</w:t>
      </w:r>
      <w:r w:rsidRPr="007432CD">
        <w:rPr>
          <w:rFonts w:ascii="Arial" w:eastAsia="Times New Roman" w:hAnsi="Arial" w:cs="Arial"/>
          <w:b/>
          <w:iCs/>
          <w:color w:val="000000"/>
          <w:szCs w:val="24"/>
          <w:lang w:eastAsia="es-MX"/>
        </w:rPr>
        <w:tab/>
      </w:r>
    </w:p>
    <w:p w14:paraId="4D041440"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Fiscalía General del Estado de Quintana Roo</w:t>
      </w:r>
    </w:p>
    <w:p w14:paraId="3089BA8F" w14:textId="77777777" w:rsidR="007432CD" w:rsidRPr="007432CD" w:rsidRDefault="007432CD" w:rsidP="007432CD">
      <w:pPr>
        <w:spacing w:after="0"/>
        <w:jc w:val="both"/>
        <w:rPr>
          <w:rFonts w:ascii="Arial" w:eastAsia="Times New Roman" w:hAnsi="Arial" w:cs="Arial"/>
          <w:iCs/>
          <w:color w:val="000000"/>
          <w:szCs w:val="24"/>
          <w:lang w:eastAsia="es-MX"/>
        </w:rPr>
      </w:pPr>
    </w:p>
    <w:p w14:paraId="2EC6DB97"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FOFAQROO</w:t>
      </w:r>
      <w:r w:rsidRPr="007432CD">
        <w:rPr>
          <w:rFonts w:ascii="Arial" w:eastAsia="Times New Roman" w:hAnsi="Arial" w:cs="Arial"/>
          <w:b/>
          <w:iCs/>
          <w:color w:val="000000"/>
          <w:szCs w:val="24"/>
          <w:lang w:eastAsia="es-MX"/>
        </w:rPr>
        <w:tab/>
      </w:r>
    </w:p>
    <w:p w14:paraId="1DE2E8F4"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Fondo de Fomento Agropecuario del Estado de Quintana Roo</w:t>
      </w:r>
    </w:p>
    <w:p w14:paraId="250F9BDA" w14:textId="77777777" w:rsidR="007432CD" w:rsidRPr="007432CD" w:rsidRDefault="007432CD" w:rsidP="007432CD">
      <w:pPr>
        <w:spacing w:after="0"/>
        <w:jc w:val="both"/>
        <w:rPr>
          <w:rFonts w:ascii="Arial" w:eastAsia="Times New Roman" w:hAnsi="Arial" w:cs="Arial"/>
          <w:iCs/>
          <w:color w:val="000000"/>
          <w:szCs w:val="24"/>
          <w:lang w:eastAsia="es-MX"/>
        </w:rPr>
      </w:pPr>
    </w:p>
    <w:p w14:paraId="62DAD169" w14:textId="77777777" w:rsidR="00637E19" w:rsidRDefault="00637E19" w:rsidP="007432CD">
      <w:pPr>
        <w:spacing w:after="0"/>
        <w:jc w:val="both"/>
        <w:rPr>
          <w:rFonts w:ascii="Arial" w:eastAsia="Times New Roman" w:hAnsi="Arial" w:cs="Arial"/>
          <w:b/>
          <w:iCs/>
          <w:color w:val="000000"/>
          <w:szCs w:val="24"/>
          <w:lang w:eastAsia="es-MX"/>
        </w:rPr>
      </w:pPr>
    </w:p>
    <w:p w14:paraId="7FA09377"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FOGARQROO</w:t>
      </w:r>
      <w:r w:rsidRPr="007432CD">
        <w:rPr>
          <w:rFonts w:ascii="Arial" w:eastAsia="Times New Roman" w:hAnsi="Arial" w:cs="Arial"/>
          <w:b/>
          <w:iCs/>
          <w:color w:val="000000"/>
          <w:szCs w:val="24"/>
          <w:lang w:eastAsia="es-MX"/>
        </w:rPr>
        <w:tab/>
      </w:r>
    </w:p>
    <w:p w14:paraId="4E4632C4"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Fondo de Garantía Líquida o Fuente Alterna de Pago del Estado de Quintana Roo</w:t>
      </w:r>
    </w:p>
    <w:p w14:paraId="761670D3" w14:textId="77777777" w:rsidR="007432CD" w:rsidRPr="007432CD" w:rsidRDefault="007432CD" w:rsidP="007432CD">
      <w:pPr>
        <w:spacing w:after="0"/>
        <w:jc w:val="both"/>
        <w:rPr>
          <w:rFonts w:ascii="Arial" w:eastAsia="Times New Roman" w:hAnsi="Arial" w:cs="Arial"/>
          <w:iCs/>
          <w:color w:val="000000"/>
          <w:szCs w:val="24"/>
          <w:lang w:eastAsia="es-MX"/>
        </w:rPr>
      </w:pPr>
    </w:p>
    <w:p w14:paraId="55F356DF" w14:textId="77777777" w:rsidR="00394641" w:rsidRPr="00766F0E" w:rsidRDefault="00394641" w:rsidP="007432CD">
      <w:pPr>
        <w:spacing w:after="0"/>
        <w:jc w:val="both"/>
        <w:rPr>
          <w:rFonts w:ascii="Arial" w:eastAsia="Times New Roman" w:hAnsi="Arial" w:cs="Arial"/>
          <w:b/>
          <w:iCs/>
          <w:color w:val="000000"/>
          <w:szCs w:val="24"/>
          <w:lang w:eastAsia="es-MX"/>
        </w:rPr>
      </w:pPr>
      <w:r w:rsidRPr="00766F0E">
        <w:rPr>
          <w:rFonts w:ascii="Arial" w:eastAsia="Times New Roman" w:hAnsi="Arial" w:cs="Arial"/>
          <w:b/>
          <w:iCs/>
          <w:color w:val="000000"/>
          <w:szCs w:val="24"/>
          <w:lang w:eastAsia="es-MX"/>
        </w:rPr>
        <w:t>FOMIX</w:t>
      </w:r>
      <w:r w:rsidRPr="00766F0E">
        <w:rPr>
          <w:rFonts w:ascii="Arial" w:eastAsia="Times New Roman" w:hAnsi="Arial" w:cs="Arial"/>
          <w:b/>
          <w:iCs/>
          <w:color w:val="000000"/>
          <w:szCs w:val="24"/>
          <w:lang w:eastAsia="es-MX"/>
        </w:rPr>
        <w:tab/>
      </w:r>
    </w:p>
    <w:p w14:paraId="73588B8A" w14:textId="77777777" w:rsidR="00394641" w:rsidRDefault="00394641" w:rsidP="007432CD">
      <w:pPr>
        <w:spacing w:after="0"/>
        <w:jc w:val="both"/>
        <w:rPr>
          <w:rFonts w:ascii="Arial" w:eastAsia="Times New Roman" w:hAnsi="Arial" w:cs="Arial"/>
          <w:iCs/>
          <w:color w:val="000000"/>
          <w:szCs w:val="24"/>
          <w:lang w:eastAsia="es-MX"/>
        </w:rPr>
      </w:pPr>
      <w:r w:rsidRPr="00766F0E">
        <w:rPr>
          <w:rFonts w:ascii="Arial" w:eastAsia="Times New Roman" w:hAnsi="Arial" w:cs="Arial"/>
          <w:iCs/>
          <w:color w:val="000000"/>
          <w:szCs w:val="24"/>
          <w:lang w:eastAsia="es-MX"/>
        </w:rPr>
        <w:t>Fondo Mixto CONACYT-Gobierno del Estado de Quintana Roo</w:t>
      </w:r>
    </w:p>
    <w:p w14:paraId="26EE27DE" w14:textId="77777777" w:rsidR="007432CD" w:rsidRPr="007432CD" w:rsidRDefault="007432CD" w:rsidP="007432CD">
      <w:pPr>
        <w:spacing w:after="0"/>
        <w:jc w:val="both"/>
        <w:rPr>
          <w:rFonts w:ascii="Arial" w:eastAsia="Times New Roman" w:hAnsi="Arial" w:cs="Arial"/>
          <w:iCs/>
          <w:color w:val="000000"/>
          <w:szCs w:val="24"/>
          <w:lang w:eastAsia="es-MX"/>
        </w:rPr>
      </w:pPr>
    </w:p>
    <w:p w14:paraId="197C3782"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FONDER</w:t>
      </w:r>
      <w:r w:rsidRPr="007432CD">
        <w:rPr>
          <w:rFonts w:ascii="Arial" w:eastAsia="Times New Roman" w:hAnsi="Arial" w:cs="Arial"/>
          <w:b/>
          <w:iCs/>
          <w:color w:val="000000"/>
          <w:szCs w:val="24"/>
          <w:lang w:eastAsia="es-MX"/>
        </w:rPr>
        <w:tab/>
      </w:r>
    </w:p>
    <w:p w14:paraId="4D6A311F"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Fondo de Fomento para el Desarrollo Rural del Estado de Quintana Roo</w:t>
      </w:r>
    </w:p>
    <w:p w14:paraId="7DEB4341" w14:textId="77777777" w:rsidR="007432CD" w:rsidRPr="007432CD" w:rsidRDefault="007432CD" w:rsidP="007432CD">
      <w:pPr>
        <w:spacing w:after="0"/>
        <w:jc w:val="both"/>
        <w:rPr>
          <w:rFonts w:ascii="Arial" w:eastAsia="Times New Roman" w:hAnsi="Arial" w:cs="Arial"/>
          <w:iCs/>
          <w:color w:val="000000"/>
          <w:szCs w:val="24"/>
          <w:lang w:eastAsia="es-MX"/>
        </w:rPr>
      </w:pPr>
    </w:p>
    <w:p w14:paraId="45802261" w14:textId="77777777" w:rsidR="00394641" w:rsidRPr="00766F0E" w:rsidRDefault="00394641" w:rsidP="007432CD">
      <w:pPr>
        <w:spacing w:after="0"/>
        <w:jc w:val="both"/>
        <w:rPr>
          <w:rFonts w:ascii="Arial" w:eastAsia="Times New Roman" w:hAnsi="Arial" w:cs="Arial"/>
          <w:b/>
          <w:iCs/>
          <w:color w:val="000000"/>
          <w:szCs w:val="24"/>
          <w:lang w:eastAsia="es-MX"/>
        </w:rPr>
      </w:pPr>
      <w:r w:rsidRPr="00766F0E">
        <w:rPr>
          <w:rFonts w:ascii="Arial" w:eastAsia="Times New Roman" w:hAnsi="Arial" w:cs="Arial"/>
          <w:b/>
          <w:iCs/>
          <w:color w:val="000000"/>
          <w:szCs w:val="24"/>
          <w:lang w:eastAsia="es-MX"/>
        </w:rPr>
        <w:t>FONE</w:t>
      </w:r>
      <w:r w:rsidRPr="00766F0E">
        <w:rPr>
          <w:rFonts w:ascii="Arial" w:eastAsia="Times New Roman" w:hAnsi="Arial" w:cs="Arial"/>
          <w:b/>
          <w:iCs/>
          <w:color w:val="000000"/>
          <w:szCs w:val="24"/>
          <w:lang w:eastAsia="es-MX"/>
        </w:rPr>
        <w:tab/>
      </w:r>
    </w:p>
    <w:p w14:paraId="5FB3B030" w14:textId="77777777" w:rsidR="00394641" w:rsidRDefault="00394641" w:rsidP="007432CD">
      <w:pPr>
        <w:spacing w:after="0"/>
        <w:jc w:val="both"/>
        <w:rPr>
          <w:rFonts w:ascii="Arial" w:eastAsia="Times New Roman" w:hAnsi="Arial" w:cs="Arial"/>
          <w:iCs/>
          <w:color w:val="000000"/>
          <w:szCs w:val="24"/>
          <w:lang w:eastAsia="es-MX"/>
        </w:rPr>
      </w:pPr>
      <w:r w:rsidRPr="00766F0E">
        <w:rPr>
          <w:rFonts w:ascii="Arial" w:eastAsia="Times New Roman" w:hAnsi="Arial" w:cs="Arial"/>
          <w:iCs/>
          <w:color w:val="000000"/>
          <w:szCs w:val="24"/>
          <w:lang w:eastAsia="es-MX"/>
        </w:rPr>
        <w:t>Fondo de Aportaciones para la Nómina Educativa y Gasto Operativo</w:t>
      </w:r>
    </w:p>
    <w:p w14:paraId="0B7B102F" w14:textId="77777777" w:rsidR="007432CD" w:rsidRPr="007432CD" w:rsidRDefault="007432CD" w:rsidP="007432CD">
      <w:pPr>
        <w:spacing w:after="0"/>
        <w:jc w:val="both"/>
        <w:rPr>
          <w:rFonts w:ascii="Arial" w:eastAsia="Times New Roman" w:hAnsi="Arial" w:cs="Arial"/>
          <w:iCs/>
          <w:color w:val="000000"/>
          <w:szCs w:val="24"/>
          <w:lang w:eastAsia="es-MX"/>
        </w:rPr>
      </w:pPr>
    </w:p>
    <w:p w14:paraId="0B28A063"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FOVIMQROO</w:t>
      </w:r>
      <w:r w:rsidRPr="007432CD">
        <w:rPr>
          <w:rFonts w:ascii="Arial" w:eastAsia="Times New Roman" w:hAnsi="Arial" w:cs="Arial"/>
          <w:b/>
          <w:iCs/>
          <w:color w:val="000000"/>
          <w:szCs w:val="24"/>
          <w:lang w:eastAsia="es-MX"/>
        </w:rPr>
        <w:tab/>
      </w:r>
    </w:p>
    <w:p w14:paraId="309DAA1E"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Fondo de Apoyo al Programa Especial de Financiamiento a la Vivienda para el Magisterio del Estado de Quintana Roo</w:t>
      </w:r>
    </w:p>
    <w:p w14:paraId="2B94048F" w14:textId="77777777" w:rsidR="007432CD" w:rsidRPr="007432CD" w:rsidRDefault="007432CD" w:rsidP="007432CD">
      <w:pPr>
        <w:spacing w:after="0"/>
        <w:jc w:val="both"/>
        <w:rPr>
          <w:rFonts w:ascii="Arial" w:eastAsia="Times New Roman" w:hAnsi="Arial" w:cs="Arial"/>
          <w:iCs/>
          <w:color w:val="000000"/>
          <w:szCs w:val="24"/>
          <w:lang w:eastAsia="es-MX"/>
        </w:rPr>
      </w:pPr>
    </w:p>
    <w:p w14:paraId="687FBC9C" w14:textId="77777777" w:rsidR="00394641"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FPMC</w:t>
      </w:r>
      <w:r w:rsidRPr="007432CD">
        <w:rPr>
          <w:rFonts w:ascii="Arial" w:eastAsia="Times New Roman" w:hAnsi="Arial" w:cs="Arial"/>
          <w:b/>
          <w:iCs/>
          <w:color w:val="000000"/>
          <w:szCs w:val="24"/>
          <w:lang w:eastAsia="es-MX"/>
        </w:rPr>
        <w:tab/>
      </w:r>
    </w:p>
    <w:p w14:paraId="0773A4A3" w14:textId="77777777" w:rsidR="00394641" w:rsidRDefault="00394641" w:rsidP="007432CD">
      <w:pPr>
        <w:spacing w:after="0"/>
        <w:jc w:val="both"/>
        <w:rPr>
          <w:lang w:val="es-ES" w:eastAsia="es-ES" w:bidi="es-ES"/>
        </w:rPr>
      </w:pPr>
      <w:r w:rsidRPr="007432CD">
        <w:rPr>
          <w:rFonts w:ascii="Arial" w:eastAsia="Times New Roman" w:hAnsi="Arial" w:cs="Arial"/>
          <w:iCs/>
          <w:color w:val="000000"/>
          <w:szCs w:val="24"/>
          <w:lang w:eastAsia="es-MX"/>
        </w:rPr>
        <w:t>Fundación de Parques y Museos de Cozumel</w:t>
      </w:r>
    </w:p>
    <w:p w14:paraId="7A7FAD45" w14:textId="77777777" w:rsidR="00B5105B" w:rsidRDefault="00B5105B" w:rsidP="00394641">
      <w:pPr>
        <w:rPr>
          <w:lang w:val="es-ES" w:eastAsia="es-ES" w:bidi="es-ES"/>
        </w:rPr>
      </w:pPr>
    </w:p>
    <w:p w14:paraId="0F2728C7" w14:textId="77777777" w:rsidR="00B5105B" w:rsidRPr="00B5105B" w:rsidRDefault="00B5105B" w:rsidP="00B5105B">
      <w:pPr>
        <w:jc w:val="center"/>
        <w:rPr>
          <w:rFonts w:ascii="Arial" w:hAnsi="Arial" w:cs="Arial"/>
          <w:b/>
          <w:sz w:val="44"/>
          <w:lang w:val="es-ES" w:eastAsia="es-ES" w:bidi="es-ES"/>
        </w:rPr>
      </w:pPr>
      <w:r>
        <w:rPr>
          <w:rFonts w:ascii="Arial" w:hAnsi="Arial" w:cs="Arial"/>
          <w:b/>
          <w:sz w:val="44"/>
          <w:lang w:val="es-ES" w:eastAsia="es-ES" w:bidi="es-ES"/>
        </w:rPr>
        <w:t>I</w:t>
      </w:r>
    </w:p>
    <w:p w14:paraId="6C5425BE"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IAGF</w:t>
      </w:r>
      <w:r w:rsidRPr="007432CD">
        <w:rPr>
          <w:rFonts w:ascii="Arial" w:eastAsia="Times New Roman" w:hAnsi="Arial" w:cs="Arial"/>
          <w:b/>
          <w:iCs/>
          <w:color w:val="000000"/>
          <w:szCs w:val="24"/>
          <w:lang w:eastAsia="es-MX"/>
        </w:rPr>
        <w:tab/>
      </w:r>
    </w:p>
    <w:p w14:paraId="7338E6DA"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Informes de Avance de la Gestión Financiera</w:t>
      </w:r>
    </w:p>
    <w:p w14:paraId="68FD2AB6" w14:textId="77777777" w:rsidR="007432CD" w:rsidRPr="007432CD" w:rsidRDefault="007432CD" w:rsidP="007432CD">
      <w:pPr>
        <w:spacing w:after="0"/>
        <w:jc w:val="both"/>
        <w:rPr>
          <w:rFonts w:ascii="Arial" w:eastAsia="Times New Roman" w:hAnsi="Arial" w:cs="Arial"/>
          <w:iCs/>
          <w:color w:val="000000"/>
          <w:szCs w:val="24"/>
          <w:lang w:eastAsia="es-MX"/>
        </w:rPr>
      </w:pPr>
    </w:p>
    <w:p w14:paraId="535C6926" w14:textId="77777777" w:rsidR="00EE24F5" w:rsidRPr="007432CD" w:rsidRDefault="00EE24F5" w:rsidP="00EE24F5">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ICA</w:t>
      </w:r>
      <w:r w:rsidRPr="007432CD">
        <w:rPr>
          <w:rFonts w:ascii="Arial" w:eastAsia="Times New Roman" w:hAnsi="Arial" w:cs="Arial"/>
          <w:b/>
          <w:iCs/>
          <w:color w:val="000000"/>
          <w:szCs w:val="24"/>
          <w:lang w:eastAsia="es-MX"/>
        </w:rPr>
        <w:tab/>
      </w:r>
    </w:p>
    <w:p w14:paraId="1B3AB943" w14:textId="77777777" w:rsidR="00394641" w:rsidRDefault="00EE24F5" w:rsidP="00EE24F5">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de la Cultura y las Artes de Quintana Roo</w:t>
      </w:r>
    </w:p>
    <w:p w14:paraId="36E20CBE" w14:textId="77777777" w:rsidR="007432CD" w:rsidRDefault="007432CD" w:rsidP="007432CD">
      <w:pPr>
        <w:spacing w:after="0"/>
        <w:jc w:val="both"/>
        <w:rPr>
          <w:rFonts w:ascii="Arial" w:eastAsia="Times New Roman" w:hAnsi="Arial" w:cs="Arial"/>
          <w:iCs/>
          <w:color w:val="000000"/>
          <w:szCs w:val="24"/>
          <w:lang w:eastAsia="es-MX"/>
        </w:rPr>
      </w:pPr>
    </w:p>
    <w:p w14:paraId="190FA0DB" w14:textId="77777777" w:rsidR="00EE24F5" w:rsidRPr="007432CD" w:rsidRDefault="00EE24F5" w:rsidP="00EE24F5">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ICA BJ</w:t>
      </w:r>
      <w:r w:rsidRPr="007432CD">
        <w:rPr>
          <w:rFonts w:ascii="Arial" w:eastAsia="Times New Roman" w:hAnsi="Arial" w:cs="Arial"/>
          <w:b/>
          <w:iCs/>
          <w:color w:val="000000"/>
          <w:szCs w:val="24"/>
          <w:lang w:eastAsia="es-MX"/>
        </w:rPr>
        <w:tab/>
      </w:r>
    </w:p>
    <w:p w14:paraId="079A9E25" w14:textId="77777777" w:rsidR="00394641" w:rsidRDefault="00EE24F5" w:rsidP="00EE24F5">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de la Cultura y las Artes del Municipio de Benito Juárez</w:t>
      </w:r>
      <w:r w:rsidR="00394641" w:rsidRPr="007432CD">
        <w:rPr>
          <w:rFonts w:ascii="Arial" w:eastAsia="Times New Roman" w:hAnsi="Arial" w:cs="Arial"/>
          <w:iCs/>
          <w:color w:val="000000"/>
          <w:szCs w:val="24"/>
          <w:lang w:eastAsia="es-MX"/>
        </w:rPr>
        <w:t xml:space="preserve"> </w:t>
      </w:r>
    </w:p>
    <w:p w14:paraId="51B1A7D7" w14:textId="77777777" w:rsidR="007432CD" w:rsidRPr="007432CD" w:rsidRDefault="007432CD" w:rsidP="007432CD">
      <w:pPr>
        <w:spacing w:after="0"/>
        <w:jc w:val="both"/>
        <w:rPr>
          <w:rFonts w:ascii="Arial" w:eastAsia="Times New Roman" w:hAnsi="Arial" w:cs="Arial"/>
          <w:iCs/>
          <w:color w:val="000000"/>
          <w:szCs w:val="24"/>
          <w:lang w:eastAsia="es-MX"/>
        </w:rPr>
      </w:pPr>
    </w:p>
    <w:p w14:paraId="2780B800"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ICATQR</w:t>
      </w:r>
      <w:r w:rsidRPr="007432CD">
        <w:rPr>
          <w:rFonts w:ascii="Arial" w:eastAsia="Times New Roman" w:hAnsi="Arial" w:cs="Arial"/>
          <w:b/>
          <w:iCs/>
          <w:color w:val="000000"/>
          <w:szCs w:val="24"/>
          <w:lang w:eastAsia="es-MX"/>
        </w:rPr>
        <w:tab/>
      </w:r>
    </w:p>
    <w:p w14:paraId="101FAA20"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de Capacitación para el Trabajo del Estado de Quintana Roo</w:t>
      </w:r>
    </w:p>
    <w:p w14:paraId="29CE4419" w14:textId="77777777" w:rsidR="007432CD" w:rsidRPr="007432CD" w:rsidRDefault="007432CD" w:rsidP="007432CD">
      <w:pPr>
        <w:spacing w:after="0"/>
        <w:jc w:val="both"/>
        <w:rPr>
          <w:rFonts w:ascii="Arial" w:eastAsia="Times New Roman" w:hAnsi="Arial" w:cs="Arial"/>
          <w:iCs/>
          <w:color w:val="000000"/>
          <w:szCs w:val="24"/>
          <w:lang w:eastAsia="es-MX"/>
        </w:rPr>
      </w:pPr>
    </w:p>
    <w:p w14:paraId="69174EF1" w14:textId="77777777" w:rsidR="00637E19" w:rsidRDefault="00637E19" w:rsidP="007432CD">
      <w:pPr>
        <w:spacing w:after="0"/>
        <w:jc w:val="both"/>
        <w:rPr>
          <w:rFonts w:ascii="Arial" w:eastAsia="Times New Roman" w:hAnsi="Arial" w:cs="Arial"/>
          <w:b/>
          <w:iCs/>
          <w:color w:val="000000"/>
          <w:szCs w:val="24"/>
          <w:lang w:eastAsia="es-MX"/>
        </w:rPr>
      </w:pPr>
    </w:p>
    <w:p w14:paraId="3E3C67EA"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lastRenderedPageBreak/>
        <w:t>IDAIPQROO</w:t>
      </w:r>
      <w:r w:rsidRPr="007432CD">
        <w:rPr>
          <w:rFonts w:ascii="Arial" w:eastAsia="Times New Roman" w:hAnsi="Arial" w:cs="Arial"/>
          <w:b/>
          <w:iCs/>
          <w:color w:val="000000"/>
          <w:szCs w:val="24"/>
          <w:lang w:eastAsia="es-MX"/>
        </w:rPr>
        <w:tab/>
      </w:r>
    </w:p>
    <w:p w14:paraId="2E6B5938"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de Acceso a la Información y Protección de Datos Personales de Quintana Roo</w:t>
      </w:r>
    </w:p>
    <w:p w14:paraId="674A91AF" w14:textId="77777777" w:rsidR="007432CD" w:rsidRPr="007432CD" w:rsidRDefault="007432CD" w:rsidP="007432CD">
      <w:pPr>
        <w:spacing w:after="0"/>
        <w:jc w:val="both"/>
        <w:rPr>
          <w:rFonts w:ascii="Arial" w:eastAsia="Times New Roman" w:hAnsi="Arial" w:cs="Arial"/>
          <w:iCs/>
          <w:color w:val="000000"/>
          <w:szCs w:val="24"/>
          <w:lang w:eastAsia="es-MX"/>
        </w:rPr>
      </w:pPr>
    </w:p>
    <w:p w14:paraId="32C3C655"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IDEFIN</w:t>
      </w:r>
      <w:r w:rsidRPr="007432CD">
        <w:rPr>
          <w:rFonts w:ascii="Arial" w:eastAsia="Times New Roman" w:hAnsi="Arial" w:cs="Arial"/>
          <w:b/>
          <w:iCs/>
          <w:color w:val="000000"/>
          <w:szCs w:val="24"/>
          <w:lang w:eastAsia="es-MX"/>
        </w:rPr>
        <w:tab/>
      </w:r>
    </w:p>
    <w:p w14:paraId="1B9C89F7"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para el Desarrollo y Financiamiento del Estado de Quintana Roo</w:t>
      </w:r>
    </w:p>
    <w:p w14:paraId="5F658F76" w14:textId="77777777" w:rsidR="007432CD" w:rsidRPr="007432CD" w:rsidRDefault="007432CD" w:rsidP="007432CD">
      <w:pPr>
        <w:spacing w:after="0"/>
        <w:jc w:val="both"/>
        <w:rPr>
          <w:rFonts w:ascii="Arial" w:eastAsia="Times New Roman" w:hAnsi="Arial" w:cs="Arial"/>
          <w:iCs/>
          <w:color w:val="000000"/>
          <w:szCs w:val="24"/>
          <w:lang w:eastAsia="es-MX"/>
        </w:rPr>
      </w:pPr>
    </w:p>
    <w:p w14:paraId="563D8DB0"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IDM BJ</w:t>
      </w:r>
      <w:r w:rsidRPr="007432CD">
        <w:rPr>
          <w:rFonts w:ascii="Arial" w:eastAsia="Times New Roman" w:hAnsi="Arial" w:cs="Arial"/>
          <w:b/>
          <w:iCs/>
          <w:color w:val="000000"/>
          <w:szCs w:val="24"/>
          <w:lang w:eastAsia="es-MX"/>
        </w:rPr>
        <w:tab/>
      </w:r>
    </w:p>
    <w:p w14:paraId="12718164"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del Deporte del Municipio de Benito Juárez</w:t>
      </w:r>
    </w:p>
    <w:p w14:paraId="277D94C0" w14:textId="77777777" w:rsidR="007432CD" w:rsidRPr="007432CD" w:rsidRDefault="007432CD" w:rsidP="007432CD">
      <w:pPr>
        <w:spacing w:after="0"/>
        <w:jc w:val="both"/>
        <w:rPr>
          <w:rFonts w:ascii="Arial" w:eastAsia="Times New Roman" w:hAnsi="Arial" w:cs="Arial"/>
          <w:iCs/>
          <w:color w:val="000000"/>
          <w:szCs w:val="24"/>
          <w:lang w:eastAsia="es-MX"/>
        </w:rPr>
      </w:pPr>
    </w:p>
    <w:p w14:paraId="17C03ECD"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IDM SOL</w:t>
      </w:r>
      <w:r w:rsidRPr="007432CD">
        <w:rPr>
          <w:rFonts w:ascii="Arial" w:eastAsia="Times New Roman" w:hAnsi="Arial" w:cs="Arial"/>
          <w:b/>
          <w:iCs/>
          <w:color w:val="000000"/>
          <w:szCs w:val="24"/>
          <w:lang w:eastAsia="es-MX"/>
        </w:rPr>
        <w:tab/>
      </w:r>
    </w:p>
    <w:p w14:paraId="45360907"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Instituto del Deporte del Municipio de Solidaridad </w:t>
      </w:r>
    </w:p>
    <w:p w14:paraId="4505211E" w14:textId="77777777" w:rsidR="007432CD" w:rsidRPr="007432CD" w:rsidRDefault="007432CD" w:rsidP="007432CD">
      <w:pPr>
        <w:spacing w:after="0"/>
        <w:jc w:val="both"/>
        <w:rPr>
          <w:rFonts w:ascii="Arial" w:eastAsia="Times New Roman" w:hAnsi="Arial" w:cs="Arial"/>
          <w:iCs/>
          <w:color w:val="000000"/>
          <w:szCs w:val="24"/>
          <w:lang w:eastAsia="es-MX"/>
        </w:rPr>
      </w:pPr>
    </w:p>
    <w:p w14:paraId="70D451FD"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IEEA</w:t>
      </w:r>
      <w:r w:rsidRPr="007432CD">
        <w:rPr>
          <w:rFonts w:ascii="Arial" w:eastAsia="Times New Roman" w:hAnsi="Arial" w:cs="Arial"/>
          <w:b/>
          <w:iCs/>
          <w:color w:val="000000"/>
          <w:szCs w:val="24"/>
          <w:lang w:eastAsia="es-MX"/>
        </w:rPr>
        <w:tab/>
      </w:r>
    </w:p>
    <w:p w14:paraId="1C5A4BCD"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Estatal para la Educación de Jóvenes y Adultos</w:t>
      </w:r>
    </w:p>
    <w:p w14:paraId="4F1AB8BC" w14:textId="77777777" w:rsidR="007432CD" w:rsidRPr="007432CD" w:rsidRDefault="007432CD" w:rsidP="007432CD">
      <w:pPr>
        <w:spacing w:after="0"/>
        <w:jc w:val="both"/>
        <w:rPr>
          <w:rFonts w:ascii="Arial" w:eastAsia="Times New Roman" w:hAnsi="Arial" w:cs="Arial"/>
          <w:iCs/>
          <w:color w:val="000000"/>
          <w:szCs w:val="24"/>
          <w:lang w:eastAsia="es-MX"/>
        </w:rPr>
      </w:pPr>
    </w:p>
    <w:p w14:paraId="4F2DE627"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IEQROO</w:t>
      </w:r>
      <w:r w:rsidRPr="007432CD">
        <w:rPr>
          <w:rFonts w:ascii="Arial" w:eastAsia="Times New Roman" w:hAnsi="Arial" w:cs="Arial"/>
          <w:b/>
          <w:iCs/>
          <w:color w:val="000000"/>
          <w:szCs w:val="24"/>
          <w:lang w:eastAsia="es-MX"/>
        </w:rPr>
        <w:tab/>
      </w:r>
    </w:p>
    <w:p w14:paraId="2EE3488D"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Instituto Electoral de Quintana Roo </w:t>
      </w:r>
    </w:p>
    <w:p w14:paraId="60630FA7" w14:textId="77777777" w:rsidR="007432CD" w:rsidRPr="007432CD" w:rsidRDefault="007432CD" w:rsidP="007432CD">
      <w:pPr>
        <w:spacing w:after="0"/>
        <w:jc w:val="both"/>
        <w:rPr>
          <w:rFonts w:ascii="Arial" w:eastAsia="Times New Roman" w:hAnsi="Arial" w:cs="Arial"/>
          <w:iCs/>
          <w:color w:val="000000"/>
          <w:szCs w:val="24"/>
          <w:lang w:eastAsia="es-MX"/>
        </w:rPr>
      </w:pPr>
    </w:p>
    <w:p w14:paraId="535C6FFB"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IFEQROO</w:t>
      </w:r>
      <w:r w:rsidRPr="007432CD">
        <w:rPr>
          <w:rFonts w:ascii="Arial" w:eastAsia="Times New Roman" w:hAnsi="Arial" w:cs="Arial"/>
          <w:b/>
          <w:iCs/>
          <w:color w:val="000000"/>
          <w:szCs w:val="24"/>
          <w:lang w:eastAsia="es-MX"/>
        </w:rPr>
        <w:tab/>
      </w:r>
    </w:p>
    <w:p w14:paraId="1C40C2C2"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Instituto de Infraestructura Física Educativa del Estado de Quintana Roo </w:t>
      </w:r>
    </w:p>
    <w:p w14:paraId="7B7C4665" w14:textId="77777777" w:rsidR="007432CD" w:rsidRPr="007432CD" w:rsidRDefault="007432CD" w:rsidP="007432CD">
      <w:pPr>
        <w:spacing w:after="0"/>
        <w:jc w:val="both"/>
        <w:rPr>
          <w:rFonts w:ascii="Arial" w:eastAsia="Times New Roman" w:hAnsi="Arial" w:cs="Arial"/>
          <w:iCs/>
          <w:color w:val="000000"/>
          <w:szCs w:val="24"/>
          <w:lang w:eastAsia="es-MX"/>
        </w:rPr>
      </w:pPr>
    </w:p>
    <w:p w14:paraId="69A57A30"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IGE</w:t>
      </w:r>
      <w:r w:rsidRPr="007432CD">
        <w:rPr>
          <w:rFonts w:ascii="Arial" w:eastAsia="Times New Roman" w:hAnsi="Arial" w:cs="Arial"/>
          <w:b/>
          <w:iCs/>
          <w:color w:val="000000"/>
          <w:szCs w:val="24"/>
          <w:lang w:eastAsia="es-MX"/>
        </w:rPr>
        <w:tab/>
      </w:r>
    </w:p>
    <w:p w14:paraId="0C4D7A0D"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Informe General Ejecutivo del Resultado de la Fiscalización Superior de l</w:t>
      </w:r>
      <w:r w:rsidR="007432CD">
        <w:rPr>
          <w:rFonts w:ascii="Arial" w:eastAsia="Times New Roman" w:hAnsi="Arial" w:cs="Arial"/>
          <w:iCs/>
          <w:color w:val="000000"/>
          <w:szCs w:val="24"/>
          <w:lang w:eastAsia="es-MX"/>
        </w:rPr>
        <w:t>a Cuenta Pública</w:t>
      </w:r>
    </w:p>
    <w:p w14:paraId="13500CCF" w14:textId="77777777" w:rsidR="007432CD" w:rsidRPr="007432CD" w:rsidRDefault="007432CD" w:rsidP="007432CD">
      <w:pPr>
        <w:spacing w:after="0"/>
        <w:jc w:val="both"/>
        <w:rPr>
          <w:rFonts w:ascii="Arial" w:eastAsia="Times New Roman" w:hAnsi="Arial" w:cs="Arial"/>
          <w:iCs/>
          <w:color w:val="000000"/>
          <w:szCs w:val="24"/>
          <w:lang w:eastAsia="es-MX"/>
        </w:rPr>
      </w:pPr>
    </w:p>
    <w:p w14:paraId="01080AA4" w14:textId="77777777" w:rsidR="00B5105B" w:rsidRPr="007432CD" w:rsidRDefault="00394641" w:rsidP="007432CD">
      <w:pPr>
        <w:spacing w:after="0"/>
        <w:jc w:val="both"/>
        <w:rPr>
          <w:rFonts w:ascii="Arial" w:eastAsia="Times New Roman" w:hAnsi="Arial" w:cs="Arial"/>
          <w:b/>
          <w:iCs/>
          <w:color w:val="000000"/>
          <w:szCs w:val="24"/>
          <w:lang w:eastAsia="es-MX"/>
        </w:rPr>
      </w:pPr>
      <w:r w:rsidRPr="007432CD">
        <w:rPr>
          <w:rFonts w:ascii="Arial" w:eastAsia="Times New Roman" w:hAnsi="Arial" w:cs="Arial"/>
          <w:b/>
          <w:iCs/>
          <w:color w:val="000000"/>
          <w:szCs w:val="24"/>
          <w:lang w:eastAsia="es-MX"/>
        </w:rPr>
        <w:t>IMCA BJ</w:t>
      </w:r>
      <w:r w:rsidRPr="007432CD">
        <w:rPr>
          <w:rFonts w:ascii="Arial" w:eastAsia="Times New Roman" w:hAnsi="Arial" w:cs="Arial"/>
          <w:b/>
          <w:iCs/>
          <w:color w:val="000000"/>
          <w:szCs w:val="24"/>
          <w:lang w:eastAsia="es-MX"/>
        </w:rPr>
        <w:tab/>
      </w:r>
    </w:p>
    <w:p w14:paraId="2C8CD3DA"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Instituto Municipal Contra las Adicciones de Benito Juárez </w:t>
      </w:r>
    </w:p>
    <w:p w14:paraId="31A8145C" w14:textId="77777777" w:rsidR="007432CD" w:rsidRPr="007432CD" w:rsidRDefault="007432CD" w:rsidP="007432CD">
      <w:pPr>
        <w:spacing w:after="0"/>
        <w:jc w:val="both"/>
        <w:rPr>
          <w:rFonts w:ascii="Arial" w:eastAsia="Times New Roman" w:hAnsi="Arial" w:cs="Arial"/>
          <w:iCs/>
          <w:color w:val="000000"/>
          <w:szCs w:val="24"/>
          <w:lang w:eastAsia="es-MX"/>
        </w:rPr>
      </w:pPr>
    </w:p>
    <w:p w14:paraId="1821DB50"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IMCAS</w:t>
      </w:r>
      <w:r w:rsidRPr="00FE7C55">
        <w:rPr>
          <w:rFonts w:ascii="Arial" w:eastAsia="Times New Roman" w:hAnsi="Arial" w:cs="Arial"/>
          <w:b/>
          <w:iCs/>
          <w:color w:val="000000"/>
          <w:szCs w:val="24"/>
          <w:lang w:eastAsia="es-MX"/>
        </w:rPr>
        <w:tab/>
      </w:r>
    </w:p>
    <w:p w14:paraId="65E74BA3"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Instituto Municipal de la Cultura y las Artes de Solidaridad </w:t>
      </w:r>
    </w:p>
    <w:p w14:paraId="754D9DEA" w14:textId="77777777" w:rsidR="007432CD" w:rsidRPr="007432CD" w:rsidRDefault="007432CD" w:rsidP="007432CD">
      <w:pPr>
        <w:spacing w:after="0"/>
        <w:jc w:val="both"/>
        <w:rPr>
          <w:rFonts w:ascii="Arial" w:eastAsia="Times New Roman" w:hAnsi="Arial" w:cs="Arial"/>
          <w:iCs/>
          <w:color w:val="000000"/>
          <w:szCs w:val="24"/>
          <w:lang w:eastAsia="es-MX"/>
        </w:rPr>
      </w:pPr>
    </w:p>
    <w:p w14:paraId="3DB01F88"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IMDAI BJ</w:t>
      </w:r>
      <w:r w:rsidRPr="00FE7C55">
        <w:rPr>
          <w:rFonts w:ascii="Arial" w:eastAsia="Times New Roman" w:hAnsi="Arial" w:cs="Arial"/>
          <w:b/>
          <w:iCs/>
          <w:color w:val="000000"/>
          <w:szCs w:val="24"/>
          <w:lang w:eastAsia="es-MX"/>
        </w:rPr>
        <w:tab/>
      </w:r>
    </w:p>
    <w:p w14:paraId="28B67242"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Instituto Municipal de Desarrollo Administrativo e Innovación de Benito Juárez </w:t>
      </w:r>
    </w:p>
    <w:p w14:paraId="7A4A1D3F" w14:textId="77777777" w:rsidR="007432CD" w:rsidRPr="007432CD" w:rsidRDefault="007432CD" w:rsidP="007432CD">
      <w:pPr>
        <w:spacing w:after="0"/>
        <w:jc w:val="both"/>
        <w:rPr>
          <w:rFonts w:ascii="Arial" w:eastAsia="Times New Roman" w:hAnsi="Arial" w:cs="Arial"/>
          <w:iCs/>
          <w:color w:val="000000"/>
          <w:szCs w:val="24"/>
          <w:lang w:eastAsia="es-MX"/>
        </w:rPr>
      </w:pPr>
    </w:p>
    <w:p w14:paraId="085100D6"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IMJUVE BJ</w:t>
      </w:r>
      <w:r w:rsidRPr="00FE7C55">
        <w:rPr>
          <w:rFonts w:ascii="Arial" w:eastAsia="Times New Roman" w:hAnsi="Arial" w:cs="Arial"/>
          <w:b/>
          <w:iCs/>
          <w:color w:val="000000"/>
          <w:szCs w:val="24"/>
          <w:lang w:eastAsia="es-MX"/>
        </w:rPr>
        <w:tab/>
      </w:r>
    </w:p>
    <w:p w14:paraId="2699CA77"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Instituto </w:t>
      </w:r>
      <w:r w:rsidR="002F0C59">
        <w:rPr>
          <w:rFonts w:ascii="Arial" w:eastAsia="Times New Roman" w:hAnsi="Arial" w:cs="Arial"/>
          <w:iCs/>
          <w:color w:val="000000"/>
          <w:szCs w:val="24"/>
          <w:lang w:eastAsia="es-MX"/>
        </w:rPr>
        <w:t xml:space="preserve">Municipal </w:t>
      </w:r>
      <w:r w:rsidRPr="007432CD">
        <w:rPr>
          <w:rFonts w:ascii="Arial" w:eastAsia="Times New Roman" w:hAnsi="Arial" w:cs="Arial"/>
          <w:iCs/>
          <w:color w:val="000000"/>
          <w:szCs w:val="24"/>
          <w:lang w:eastAsia="es-MX"/>
        </w:rPr>
        <w:t>de la Juventud de Benito Juárez</w:t>
      </w:r>
    </w:p>
    <w:p w14:paraId="74F8FDF6" w14:textId="77777777" w:rsidR="007432CD" w:rsidRPr="007432CD" w:rsidRDefault="007432CD" w:rsidP="007432CD">
      <w:pPr>
        <w:spacing w:after="0"/>
        <w:jc w:val="both"/>
        <w:rPr>
          <w:rFonts w:ascii="Arial" w:eastAsia="Times New Roman" w:hAnsi="Arial" w:cs="Arial"/>
          <w:iCs/>
          <w:color w:val="000000"/>
          <w:szCs w:val="24"/>
          <w:lang w:eastAsia="es-MX"/>
        </w:rPr>
      </w:pPr>
    </w:p>
    <w:p w14:paraId="0F33B231"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 xml:space="preserve">IMM </w:t>
      </w:r>
      <w:r w:rsidRPr="00FE7C55">
        <w:rPr>
          <w:rFonts w:ascii="Arial" w:eastAsia="Times New Roman" w:hAnsi="Arial" w:cs="Arial"/>
          <w:b/>
          <w:iCs/>
          <w:color w:val="000000"/>
          <w:szCs w:val="24"/>
          <w:lang w:eastAsia="es-MX"/>
        </w:rPr>
        <w:tab/>
      </w:r>
    </w:p>
    <w:p w14:paraId="4D47C3F6"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Municipal de la Mujer</w:t>
      </w:r>
    </w:p>
    <w:p w14:paraId="55359D1E" w14:textId="77777777" w:rsidR="007432CD" w:rsidRPr="007432CD" w:rsidRDefault="007432CD" w:rsidP="007432CD">
      <w:pPr>
        <w:spacing w:after="0"/>
        <w:jc w:val="both"/>
        <w:rPr>
          <w:rFonts w:ascii="Arial" w:eastAsia="Times New Roman" w:hAnsi="Arial" w:cs="Arial"/>
          <w:iCs/>
          <w:color w:val="000000"/>
          <w:szCs w:val="24"/>
          <w:lang w:eastAsia="es-MX"/>
        </w:rPr>
      </w:pPr>
    </w:p>
    <w:p w14:paraId="04D95F32"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IMM SOL</w:t>
      </w:r>
      <w:r w:rsidRPr="00FE7C55">
        <w:rPr>
          <w:rFonts w:ascii="Arial" w:eastAsia="Times New Roman" w:hAnsi="Arial" w:cs="Arial"/>
          <w:b/>
          <w:iCs/>
          <w:color w:val="000000"/>
          <w:szCs w:val="24"/>
          <w:lang w:eastAsia="es-MX"/>
        </w:rPr>
        <w:tab/>
      </w:r>
    </w:p>
    <w:p w14:paraId="2225A5BB"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de las Mujeres del Municipio de Solidaridad</w:t>
      </w:r>
    </w:p>
    <w:p w14:paraId="1953C2FD" w14:textId="77777777" w:rsidR="007432CD" w:rsidRPr="007432CD" w:rsidRDefault="007432CD" w:rsidP="007432CD">
      <w:pPr>
        <w:spacing w:after="0"/>
        <w:jc w:val="both"/>
        <w:rPr>
          <w:rFonts w:ascii="Arial" w:eastAsia="Times New Roman" w:hAnsi="Arial" w:cs="Arial"/>
          <w:iCs/>
          <w:color w:val="000000"/>
          <w:szCs w:val="24"/>
          <w:lang w:eastAsia="es-MX"/>
        </w:rPr>
      </w:pPr>
    </w:p>
    <w:p w14:paraId="3D6C2566"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IMOVEQROO</w:t>
      </w:r>
      <w:r w:rsidRPr="00FE7C55">
        <w:rPr>
          <w:rFonts w:ascii="Arial" w:eastAsia="Times New Roman" w:hAnsi="Arial" w:cs="Arial"/>
          <w:b/>
          <w:iCs/>
          <w:color w:val="000000"/>
          <w:szCs w:val="24"/>
          <w:lang w:eastAsia="es-MX"/>
        </w:rPr>
        <w:tab/>
      </w:r>
    </w:p>
    <w:p w14:paraId="78E38A73"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de Movilidad del Estado de</w:t>
      </w:r>
      <w:r w:rsidR="0050178A">
        <w:rPr>
          <w:rFonts w:ascii="Arial" w:eastAsia="Times New Roman" w:hAnsi="Arial" w:cs="Arial"/>
          <w:iCs/>
          <w:color w:val="000000"/>
          <w:szCs w:val="24"/>
          <w:lang w:eastAsia="es-MX"/>
        </w:rPr>
        <w:t xml:space="preserve"> </w:t>
      </w:r>
      <w:r w:rsidRPr="007432CD">
        <w:rPr>
          <w:rFonts w:ascii="Arial" w:eastAsia="Times New Roman" w:hAnsi="Arial" w:cs="Arial"/>
          <w:iCs/>
          <w:color w:val="000000"/>
          <w:szCs w:val="24"/>
          <w:lang w:eastAsia="es-MX"/>
        </w:rPr>
        <w:t xml:space="preserve">Quintana Roo </w:t>
      </w:r>
    </w:p>
    <w:p w14:paraId="4C435A28" w14:textId="77777777" w:rsidR="007432CD" w:rsidRPr="007432CD" w:rsidRDefault="007432CD" w:rsidP="007432CD">
      <w:pPr>
        <w:spacing w:after="0"/>
        <w:jc w:val="both"/>
        <w:rPr>
          <w:rFonts w:ascii="Arial" w:eastAsia="Times New Roman" w:hAnsi="Arial" w:cs="Arial"/>
          <w:iCs/>
          <w:color w:val="000000"/>
          <w:szCs w:val="24"/>
          <w:lang w:eastAsia="es-MX"/>
        </w:rPr>
      </w:pPr>
    </w:p>
    <w:p w14:paraId="4EE69E73"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 xml:space="preserve">IMPLAN </w:t>
      </w:r>
      <w:r w:rsidRPr="00FE7C55">
        <w:rPr>
          <w:rFonts w:ascii="Arial" w:eastAsia="Times New Roman" w:hAnsi="Arial" w:cs="Arial"/>
          <w:b/>
          <w:iCs/>
          <w:color w:val="000000"/>
          <w:szCs w:val="24"/>
          <w:lang w:eastAsia="es-MX"/>
        </w:rPr>
        <w:tab/>
      </w:r>
    </w:p>
    <w:p w14:paraId="00598D87"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de Planeación del Desarrollo Urbano del Municipio de Benito Juárez</w:t>
      </w:r>
    </w:p>
    <w:p w14:paraId="06972F2A" w14:textId="77777777" w:rsidR="007432CD" w:rsidRPr="007432CD" w:rsidRDefault="007432CD" w:rsidP="007432CD">
      <w:pPr>
        <w:spacing w:after="0"/>
        <w:jc w:val="both"/>
        <w:rPr>
          <w:rFonts w:ascii="Arial" w:eastAsia="Times New Roman" w:hAnsi="Arial" w:cs="Arial"/>
          <w:iCs/>
          <w:color w:val="000000"/>
          <w:szCs w:val="24"/>
          <w:lang w:eastAsia="es-MX"/>
        </w:rPr>
      </w:pPr>
    </w:p>
    <w:p w14:paraId="70F91DCC"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INJUSOL</w:t>
      </w:r>
      <w:r w:rsidRPr="00FE7C55">
        <w:rPr>
          <w:rFonts w:ascii="Arial" w:eastAsia="Times New Roman" w:hAnsi="Arial" w:cs="Arial"/>
          <w:b/>
          <w:iCs/>
          <w:color w:val="000000"/>
          <w:szCs w:val="24"/>
          <w:lang w:eastAsia="es-MX"/>
        </w:rPr>
        <w:tab/>
      </w:r>
    </w:p>
    <w:p w14:paraId="1FF90486"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de la Juventud del Municipio de Solidaridad</w:t>
      </w:r>
    </w:p>
    <w:p w14:paraId="2F2F3B1C" w14:textId="77777777" w:rsidR="007432CD" w:rsidRPr="007432CD" w:rsidRDefault="007432CD" w:rsidP="007432CD">
      <w:pPr>
        <w:spacing w:after="0"/>
        <w:jc w:val="both"/>
        <w:rPr>
          <w:rFonts w:ascii="Arial" w:eastAsia="Times New Roman" w:hAnsi="Arial" w:cs="Arial"/>
          <w:iCs/>
          <w:color w:val="000000"/>
          <w:szCs w:val="24"/>
          <w:lang w:eastAsia="es-MX"/>
        </w:rPr>
      </w:pPr>
    </w:p>
    <w:p w14:paraId="41FB5E04"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INMAYA</w:t>
      </w:r>
      <w:r w:rsidRPr="00FE7C55">
        <w:rPr>
          <w:rFonts w:ascii="Arial" w:eastAsia="Times New Roman" w:hAnsi="Arial" w:cs="Arial"/>
          <w:b/>
          <w:iCs/>
          <w:color w:val="000000"/>
          <w:szCs w:val="24"/>
          <w:lang w:eastAsia="es-MX"/>
        </w:rPr>
        <w:tab/>
      </w:r>
    </w:p>
    <w:p w14:paraId="635285CF"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para el Desarrollo del Pueblo Maya y las Comunidades Indígenas del Estado de Quintana Roo</w:t>
      </w:r>
    </w:p>
    <w:p w14:paraId="6FE4458A" w14:textId="77777777" w:rsidR="007432CD" w:rsidRPr="007432CD" w:rsidRDefault="007432CD" w:rsidP="007432CD">
      <w:pPr>
        <w:spacing w:after="0"/>
        <w:jc w:val="both"/>
        <w:rPr>
          <w:rFonts w:ascii="Arial" w:eastAsia="Times New Roman" w:hAnsi="Arial" w:cs="Arial"/>
          <w:iCs/>
          <w:color w:val="000000"/>
          <w:szCs w:val="24"/>
          <w:lang w:eastAsia="es-MX"/>
        </w:rPr>
      </w:pPr>
    </w:p>
    <w:p w14:paraId="234CBC31"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IPFCP</w:t>
      </w:r>
      <w:r w:rsidRPr="00FE7C55">
        <w:rPr>
          <w:rFonts w:ascii="Arial" w:eastAsia="Times New Roman" w:hAnsi="Arial" w:cs="Arial"/>
          <w:b/>
          <w:iCs/>
          <w:color w:val="000000"/>
          <w:szCs w:val="24"/>
          <w:lang w:eastAsia="es-MX"/>
        </w:rPr>
        <w:tab/>
      </w:r>
    </w:p>
    <w:p w14:paraId="51DC5D6B"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Información para la Planeación de la Fiscalización de la Cuenta Pública</w:t>
      </w:r>
    </w:p>
    <w:p w14:paraId="0DF8C5DD" w14:textId="77777777" w:rsidR="007432CD" w:rsidRPr="007432CD" w:rsidRDefault="007432CD" w:rsidP="007432CD">
      <w:pPr>
        <w:spacing w:after="0"/>
        <w:jc w:val="both"/>
        <w:rPr>
          <w:rFonts w:ascii="Arial" w:eastAsia="Times New Roman" w:hAnsi="Arial" w:cs="Arial"/>
          <w:iCs/>
          <w:color w:val="000000"/>
          <w:szCs w:val="24"/>
          <w:lang w:eastAsia="es-MX"/>
        </w:rPr>
      </w:pPr>
    </w:p>
    <w:p w14:paraId="1BCB69A8"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 xml:space="preserve">IQJ </w:t>
      </w:r>
      <w:r w:rsidRPr="00FE7C55">
        <w:rPr>
          <w:rFonts w:ascii="Arial" w:eastAsia="Times New Roman" w:hAnsi="Arial" w:cs="Arial"/>
          <w:b/>
          <w:iCs/>
          <w:color w:val="000000"/>
          <w:szCs w:val="24"/>
          <w:lang w:eastAsia="es-MX"/>
        </w:rPr>
        <w:tab/>
      </w:r>
    </w:p>
    <w:p w14:paraId="65A1189D"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Quintanarroense de la Juventud</w:t>
      </w:r>
    </w:p>
    <w:p w14:paraId="703A1CEB" w14:textId="77777777" w:rsidR="007432CD" w:rsidRPr="007432CD" w:rsidRDefault="007432CD" w:rsidP="007432CD">
      <w:pPr>
        <w:spacing w:after="0"/>
        <w:jc w:val="both"/>
        <w:rPr>
          <w:rFonts w:ascii="Arial" w:eastAsia="Times New Roman" w:hAnsi="Arial" w:cs="Arial"/>
          <w:iCs/>
          <w:color w:val="000000"/>
          <w:szCs w:val="24"/>
          <w:lang w:eastAsia="es-MX"/>
        </w:rPr>
      </w:pPr>
    </w:p>
    <w:p w14:paraId="00745411"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IQM</w:t>
      </w:r>
      <w:r w:rsidRPr="00FE7C55">
        <w:rPr>
          <w:rFonts w:ascii="Arial" w:eastAsia="Times New Roman" w:hAnsi="Arial" w:cs="Arial"/>
          <w:b/>
          <w:iCs/>
          <w:color w:val="000000"/>
          <w:szCs w:val="24"/>
          <w:lang w:eastAsia="es-MX"/>
        </w:rPr>
        <w:tab/>
      </w:r>
    </w:p>
    <w:p w14:paraId="09C9CAD9"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 xml:space="preserve">Instituto Quintanarroense de la Mujer </w:t>
      </w:r>
    </w:p>
    <w:p w14:paraId="1D77A2EE" w14:textId="77777777" w:rsidR="0008438F" w:rsidRDefault="0008438F" w:rsidP="007432CD">
      <w:pPr>
        <w:spacing w:after="0"/>
        <w:jc w:val="both"/>
        <w:rPr>
          <w:rFonts w:ascii="Arial" w:eastAsia="Times New Roman" w:hAnsi="Arial" w:cs="Arial"/>
          <w:b/>
          <w:iCs/>
          <w:color w:val="000000"/>
          <w:szCs w:val="24"/>
          <w:lang w:eastAsia="es-MX"/>
        </w:rPr>
      </w:pPr>
    </w:p>
    <w:p w14:paraId="11B23701" w14:textId="77777777" w:rsidR="00B5105B" w:rsidRPr="00FE7C55" w:rsidRDefault="00394641" w:rsidP="007432CD">
      <w:pPr>
        <w:spacing w:after="0"/>
        <w:jc w:val="both"/>
        <w:rPr>
          <w:rFonts w:ascii="Arial" w:eastAsia="Times New Roman" w:hAnsi="Arial" w:cs="Arial"/>
          <w:b/>
          <w:iCs/>
          <w:color w:val="000000"/>
          <w:szCs w:val="24"/>
          <w:lang w:eastAsia="es-MX"/>
        </w:rPr>
      </w:pPr>
      <w:r w:rsidRPr="00FE7C55">
        <w:rPr>
          <w:rFonts w:ascii="Arial" w:eastAsia="Times New Roman" w:hAnsi="Arial" w:cs="Arial"/>
          <w:b/>
          <w:iCs/>
          <w:color w:val="000000"/>
          <w:szCs w:val="24"/>
          <w:lang w:eastAsia="es-MX"/>
        </w:rPr>
        <w:t>ITSFCP</w:t>
      </w:r>
      <w:r w:rsidRPr="00FE7C55">
        <w:rPr>
          <w:rFonts w:ascii="Arial" w:eastAsia="Times New Roman" w:hAnsi="Arial" w:cs="Arial"/>
          <w:b/>
          <w:iCs/>
          <w:color w:val="000000"/>
          <w:szCs w:val="24"/>
          <w:lang w:eastAsia="es-MX"/>
        </w:rPr>
        <w:tab/>
      </w:r>
    </w:p>
    <w:p w14:paraId="7CF4D579" w14:textId="77777777" w:rsidR="00394641" w:rsidRDefault="00394641" w:rsidP="007432CD">
      <w:pPr>
        <w:spacing w:after="0"/>
        <w:jc w:val="both"/>
        <w:rPr>
          <w:rFonts w:ascii="Arial" w:eastAsia="Times New Roman" w:hAnsi="Arial" w:cs="Arial"/>
          <w:iCs/>
          <w:color w:val="000000"/>
          <w:szCs w:val="24"/>
          <w:lang w:eastAsia="es-MX"/>
        </w:rPr>
      </w:pPr>
      <w:r w:rsidRPr="007432CD">
        <w:rPr>
          <w:rFonts w:ascii="Arial" w:eastAsia="Times New Roman" w:hAnsi="Arial" w:cs="Arial"/>
          <w:iCs/>
          <w:color w:val="000000"/>
          <w:szCs w:val="24"/>
          <w:lang w:eastAsia="es-MX"/>
        </w:rPr>
        <w:t>Instituto Tecnológico Superior de Felipe Carrillo Puerto</w:t>
      </w:r>
    </w:p>
    <w:p w14:paraId="57AE7CAD" w14:textId="77777777" w:rsidR="007432CD" w:rsidRDefault="007432CD" w:rsidP="007432CD">
      <w:pPr>
        <w:spacing w:after="0"/>
        <w:jc w:val="both"/>
        <w:rPr>
          <w:rFonts w:ascii="Arial" w:eastAsia="Times New Roman" w:hAnsi="Arial" w:cs="Arial"/>
          <w:iCs/>
          <w:color w:val="000000"/>
          <w:lang w:eastAsia="es-MX"/>
        </w:rPr>
      </w:pPr>
    </w:p>
    <w:p w14:paraId="5BF1E8DD" w14:textId="77777777" w:rsidR="00637E19" w:rsidRDefault="00637E19" w:rsidP="007432CD">
      <w:pPr>
        <w:jc w:val="center"/>
        <w:rPr>
          <w:rFonts w:ascii="Arial" w:hAnsi="Arial" w:cs="Arial"/>
          <w:b/>
          <w:sz w:val="44"/>
          <w:lang w:val="es-ES" w:eastAsia="es-ES" w:bidi="es-ES"/>
        </w:rPr>
      </w:pPr>
    </w:p>
    <w:p w14:paraId="6A7F5554" w14:textId="77777777" w:rsidR="007432CD" w:rsidRPr="00394641" w:rsidRDefault="007432CD" w:rsidP="007432CD">
      <w:pPr>
        <w:jc w:val="center"/>
        <w:rPr>
          <w:lang w:val="es-ES" w:eastAsia="es-ES" w:bidi="es-ES"/>
        </w:rPr>
      </w:pPr>
      <w:r>
        <w:rPr>
          <w:rFonts w:ascii="Arial" w:hAnsi="Arial" w:cs="Arial"/>
          <w:b/>
          <w:sz w:val="44"/>
          <w:lang w:val="es-ES" w:eastAsia="es-ES" w:bidi="es-ES"/>
        </w:rPr>
        <w:lastRenderedPageBreak/>
        <w:t>L</w:t>
      </w:r>
    </w:p>
    <w:p w14:paraId="31F958B3"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LDF</w:t>
      </w:r>
      <w:r w:rsidRPr="00FB1442">
        <w:rPr>
          <w:rFonts w:ascii="Arial" w:eastAsia="Times New Roman" w:hAnsi="Arial" w:cs="Arial"/>
          <w:b/>
          <w:iCs/>
          <w:color w:val="000000"/>
          <w:szCs w:val="24"/>
          <w:lang w:eastAsia="es-MX"/>
        </w:rPr>
        <w:tab/>
      </w:r>
    </w:p>
    <w:p w14:paraId="45CC950E"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Ley de Disciplina Financiera de las Entidades Federativas y Municipios</w:t>
      </w:r>
    </w:p>
    <w:p w14:paraId="547F259B" w14:textId="77777777" w:rsidR="00FB1442" w:rsidRPr="00FB1442" w:rsidRDefault="00FB1442" w:rsidP="00FB1442">
      <w:pPr>
        <w:spacing w:after="0"/>
        <w:jc w:val="both"/>
        <w:rPr>
          <w:rFonts w:ascii="Arial" w:eastAsia="Times New Roman" w:hAnsi="Arial" w:cs="Arial"/>
          <w:iCs/>
          <w:color w:val="000000"/>
          <w:szCs w:val="24"/>
          <w:lang w:eastAsia="es-MX"/>
        </w:rPr>
      </w:pPr>
    </w:p>
    <w:p w14:paraId="2CD29E40"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LFPRH</w:t>
      </w:r>
      <w:r w:rsidRPr="00FB1442">
        <w:rPr>
          <w:rFonts w:ascii="Arial" w:eastAsia="Times New Roman" w:hAnsi="Arial" w:cs="Arial"/>
          <w:b/>
          <w:iCs/>
          <w:color w:val="000000"/>
          <w:szCs w:val="24"/>
          <w:lang w:eastAsia="es-MX"/>
        </w:rPr>
        <w:tab/>
      </w:r>
    </w:p>
    <w:p w14:paraId="270DC927"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Ley Federal de Presupuesto y Responsabilidad Hacendaria</w:t>
      </w:r>
    </w:p>
    <w:p w14:paraId="56EAB715" w14:textId="77777777" w:rsidR="00FB1442" w:rsidRPr="00FB1442" w:rsidRDefault="00FB1442" w:rsidP="00FB1442">
      <w:pPr>
        <w:spacing w:after="0"/>
        <w:jc w:val="both"/>
        <w:rPr>
          <w:rFonts w:ascii="Arial" w:eastAsia="Times New Roman" w:hAnsi="Arial" w:cs="Arial"/>
          <w:iCs/>
          <w:color w:val="000000"/>
          <w:szCs w:val="24"/>
          <w:lang w:eastAsia="es-MX"/>
        </w:rPr>
      </w:pPr>
    </w:p>
    <w:p w14:paraId="057E7946"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LFRCEQROO</w:t>
      </w:r>
      <w:r w:rsidRPr="00FB1442">
        <w:rPr>
          <w:rFonts w:ascii="Arial" w:eastAsia="Times New Roman" w:hAnsi="Arial" w:cs="Arial"/>
          <w:b/>
          <w:iCs/>
          <w:color w:val="000000"/>
          <w:szCs w:val="24"/>
          <w:lang w:eastAsia="es-MX"/>
        </w:rPr>
        <w:tab/>
      </w:r>
    </w:p>
    <w:p w14:paraId="5FFF2155"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Ley de Fiscalización y Rendición de Cuentas del Estado de Quintana Roo</w:t>
      </w:r>
    </w:p>
    <w:p w14:paraId="59AEAED7" w14:textId="77777777" w:rsidR="00FB1442" w:rsidRPr="00FB1442" w:rsidRDefault="00FB1442" w:rsidP="00FB1442">
      <w:pPr>
        <w:spacing w:after="0"/>
        <w:jc w:val="both"/>
        <w:rPr>
          <w:rFonts w:ascii="Arial" w:eastAsia="Times New Roman" w:hAnsi="Arial" w:cs="Arial"/>
          <w:iCs/>
          <w:color w:val="000000"/>
          <w:szCs w:val="24"/>
          <w:lang w:eastAsia="es-MX"/>
        </w:rPr>
      </w:pPr>
    </w:p>
    <w:p w14:paraId="1D765CB4"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LGCG</w:t>
      </w:r>
      <w:r w:rsidRPr="00FB1442">
        <w:rPr>
          <w:rFonts w:ascii="Arial" w:eastAsia="Times New Roman" w:hAnsi="Arial" w:cs="Arial"/>
          <w:b/>
          <w:iCs/>
          <w:color w:val="000000"/>
          <w:szCs w:val="24"/>
          <w:lang w:eastAsia="es-MX"/>
        </w:rPr>
        <w:tab/>
      </w:r>
    </w:p>
    <w:p w14:paraId="60CF1CC3"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Ley General de Contabilidad Gubernamental</w:t>
      </w:r>
    </w:p>
    <w:p w14:paraId="048F4799" w14:textId="77777777" w:rsidR="00FB1442" w:rsidRPr="00FB1442" w:rsidRDefault="00FB1442" w:rsidP="00FB1442">
      <w:pPr>
        <w:spacing w:after="0"/>
        <w:jc w:val="both"/>
        <w:rPr>
          <w:rFonts w:ascii="Arial" w:eastAsia="Times New Roman" w:hAnsi="Arial" w:cs="Arial"/>
          <w:iCs/>
          <w:color w:val="000000"/>
          <w:szCs w:val="24"/>
          <w:lang w:eastAsia="es-MX"/>
        </w:rPr>
      </w:pPr>
    </w:p>
    <w:p w14:paraId="07BA7B7F"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LGRA</w:t>
      </w:r>
      <w:r w:rsidRPr="00FB1442">
        <w:rPr>
          <w:rFonts w:ascii="Arial" w:eastAsia="Times New Roman" w:hAnsi="Arial" w:cs="Arial"/>
          <w:b/>
          <w:iCs/>
          <w:color w:val="000000"/>
          <w:szCs w:val="24"/>
          <w:lang w:eastAsia="es-MX"/>
        </w:rPr>
        <w:tab/>
      </w:r>
    </w:p>
    <w:p w14:paraId="1820727C"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Ley General de Responsabilidades Administrativas</w:t>
      </w:r>
    </w:p>
    <w:p w14:paraId="2FD4AD21" w14:textId="77777777" w:rsidR="00FB1442" w:rsidRPr="00FB1442" w:rsidRDefault="00FB1442" w:rsidP="00FB1442">
      <w:pPr>
        <w:spacing w:after="0"/>
        <w:jc w:val="both"/>
        <w:rPr>
          <w:rFonts w:ascii="Arial" w:eastAsia="Times New Roman" w:hAnsi="Arial" w:cs="Arial"/>
          <w:iCs/>
          <w:color w:val="000000"/>
          <w:szCs w:val="24"/>
          <w:lang w:eastAsia="es-MX"/>
        </w:rPr>
      </w:pPr>
    </w:p>
    <w:p w14:paraId="0D0299AB"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LIF</w:t>
      </w:r>
      <w:r w:rsidRPr="00FB1442">
        <w:rPr>
          <w:rFonts w:ascii="Arial" w:eastAsia="Times New Roman" w:hAnsi="Arial" w:cs="Arial"/>
          <w:b/>
          <w:iCs/>
          <w:color w:val="000000"/>
          <w:szCs w:val="24"/>
          <w:lang w:eastAsia="es-MX"/>
        </w:rPr>
        <w:tab/>
      </w:r>
    </w:p>
    <w:p w14:paraId="37CDDDF5" w14:textId="77777777" w:rsidR="00394641" w:rsidRPr="00FB1442"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Ley de Ingresos de la Federación</w:t>
      </w:r>
    </w:p>
    <w:p w14:paraId="6FC8D99E" w14:textId="77777777" w:rsidR="00B5105B" w:rsidRDefault="00B5105B" w:rsidP="00FB1442">
      <w:pPr>
        <w:spacing w:after="0"/>
        <w:rPr>
          <w:lang w:val="es-ES" w:eastAsia="es-ES" w:bidi="es-ES"/>
        </w:rPr>
      </w:pPr>
    </w:p>
    <w:p w14:paraId="07516588" w14:textId="77777777" w:rsidR="00B5105B" w:rsidRDefault="00B5105B" w:rsidP="00FB1442">
      <w:pPr>
        <w:spacing w:after="0"/>
        <w:rPr>
          <w:lang w:val="es-ES" w:eastAsia="es-ES" w:bidi="es-ES"/>
        </w:rPr>
      </w:pPr>
    </w:p>
    <w:p w14:paraId="58B0D1DF" w14:textId="77777777" w:rsidR="00B5105B" w:rsidRPr="00394641" w:rsidRDefault="00B5105B" w:rsidP="00B5105B">
      <w:pPr>
        <w:jc w:val="center"/>
        <w:rPr>
          <w:lang w:val="es-ES" w:eastAsia="es-ES" w:bidi="es-ES"/>
        </w:rPr>
      </w:pPr>
      <w:r>
        <w:rPr>
          <w:rFonts w:ascii="Arial" w:hAnsi="Arial" w:cs="Arial"/>
          <w:b/>
          <w:sz w:val="44"/>
          <w:lang w:val="es-ES" w:eastAsia="es-ES" w:bidi="es-ES"/>
        </w:rPr>
        <w:t>M</w:t>
      </w:r>
    </w:p>
    <w:p w14:paraId="12702C16"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BAC</w:t>
      </w:r>
      <w:r w:rsidRPr="00FB1442">
        <w:rPr>
          <w:rFonts w:ascii="Arial" w:eastAsia="Times New Roman" w:hAnsi="Arial" w:cs="Arial"/>
          <w:b/>
          <w:iCs/>
          <w:color w:val="000000"/>
          <w:szCs w:val="24"/>
          <w:lang w:eastAsia="es-MX"/>
        </w:rPr>
        <w:tab/>
      </w:r>
    </w:p>
    <w:p w14:paraId="7457F3D3"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Municipio de Bacalar</w:t>
      </w:r>
    </w:p>
    <w:p w14:paraId="6D31C974" w14:textId="77777777" w:rsidR="00FB1442" w:rsidRPr="00FB1442" w:rsidRDefault="00FB1442" w:rsidP="00FB1442">
      <w:pPr>
        <w:spacing w:after="0"/>
        <w:jc w:val="both"/>
        <w:rPr>
          <w:rFonts w:ascii="Arial" w:eastAsia="Times New Roman" w:hAnsi="Arial" w:cs="Arial"/>
          <w:iCs/>
          <w:color w:val="000000"/>
          <w:szCs w:val="24"/>
          <w:lang w:eastAsia="es-MX"/>
        </w:rPr>
      </w:pPr>
    </w:p>
    <w:p w14:paraId="2A0A653F"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BJ</w:t>
      </w:r>
      <w:r w:rsidRPr="00FB1442">
        <w:rPr>
          <w:rFonts w:ascii="Arial" w:eastAsia="Times New Roman" w:hAnsi="Arial" w:cs="Arial"/>
          <w:b/>
          <w:iCs/>
          <w:color w:val="000000"/>
          <w:szCs w:val="24"/>
          <w:lang w:eastAsia="es-MX"/>
        </w:rPr>
        <w:tab/>
      </w:r>
    </w:p>
    <w:p w14:paraId="6BDAF056"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Municipio de Benito Juárez</w:t>
      </w:r>
    </w:p>
    <w:p w14:paraId="4942F3E6" w14:textId="77777777" w:rsidR="00FB1442" w:rsidRPr="00FB1442" w:rsidRDefault="00FB1442" w:rsidP="00FB1442">
      <w:pPr>
        <w:spacing w:after="0"/>
        <w:jc w:val="both"/>
        <w:rPr>
          <w:rFonts w:ascii="Arial" w:eastAsia="Times New Roman" w:hAnsi="Arial" w:cs="Arial"/>
          <w:iCs/>
          <w:color w:val="000000"/>
          <w:szCs w:val="24"/>
          <w:lang w:eastAsia="es-MX"/>
        </w:rPr>
      </w:pPr>
    </w:p>
    <w:p w14:paraId="2893A4AF"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CZ</w:t>
      </w:r>
      <w:r w:rsidRPr="00FB1442">
        <w:rPr>
          <w:rFonts w:ascii="Arial" w:eastAsia="Times New Roman" w:hAnsi="Arial" w:cs="Arial"/>
          <w:b/>
          <w:iCs/>
          <w:color w:val="000000"/>
          <w:szCs w:val="24"/>
          <w:lang w:eastAsia="es-MX"/>
        </w:rPr>
        <w:tab/>
      </w:r>
    </w:p>
    <w:p w14:paraId="43219727"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Municipio de Cozumel</w:t>
      </w:r>
    </w:p>
    <w:p w14:paraId="7AB09B3D" w14:textId="77777777" w:rsidR="00FB1442" w:rsidRPr="00FB1442" w:rsidRDefault="00FB1442" w:rsidP="00FB1442">
      <w:pPr>
        <w:spacing w:after="0"/>
        <w:jc w:val="both"/>
        <w:rPr>
          <w:rFonts w:ascii="Arial" w:eastAsia="Times New Roman" w:hAnsi="Arial" w:cs="Arial"/>
          <w:iCs/>
          <w:color w:val="000000"/>
          <w:szCs w:val="24"/>
          <w:lang w:eastAsia="es-MX"/>
        </w:rPr>
      </w:pPr>
    </w:p>
    <w:p w14:paraId="64407ED3"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FCP</w:t>
      </w:r>
      <w:r w:rsidRPr="00FB1442">
        <w:rPr>
          <w:rFonts w:ascii="Arial" w:eastAsia="Times New Roman" w:hAnsi="Arial" w:cs="Arial"/>
          <w:b/>
          <w:iCs/>
          <w:color w:val="000000"/>
          <w:szCs w:val="24"/>
          <w:lang w:eastAsia="es-MX"/>
        </w:rPr>
        <w:tab/>
      </w:r>
    </w:p>
    <w:p w14:paraId="194E54AC"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Municipio de Felipe Carrillo Puerto</w:t>
      </w:r>
    </w:p>
    <w:p w14:paraId="6D13132A" w14:textId="77777777" w:rsidR="00FB1442" w:rsidRPr="00FB1442" w:rsidRDefault="00FB1442" w:rsidP="00FB1442">
      <w:pPr>
        <w:spacing w:after="0"/>
        <w:jc w:val="both"/>
        <w:rPr>
          <w:rFonts w:ascii="Arial" w:eastAsia="Times New Roman" w:hAnsi="Arial" w:cs="Arial"/>
          <w:iCs/>
          <w:color w:val="000000"/>
          <w:szCs w:val="24"/>
          <w:lang w:eastAsia="es-MX"/>
        </w:rPr>
      </w:pPr>
    </w:p>
    <w:p w14:paraId="0FD31371"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IM</w:t>
      </w:r>
      <w:r w:rsidRPr="00FB1442">
        <w:rPr>
          <w:rFonts w:ascii="Arial" w:eastAsia="Times New Roman" w:hAnsi="Arial" w:cs="Arial"/>
          <w:b/>
          <w:iCs/>
          <w:color w:val="000000"/>
          <w:szCs w:val="24"/>
          <w:lang w:eastAsia="es-MX"/>
        </w:rPr>
        <w:tab/>
      </w:r>
    </w:p>
    <w:p w14:paraId="2F9DA028"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Municipio de Isla Mujeres</w:t>
      </w:r>
    </w:p>
    <w:p w14:paraId="4D15EAA8" w14:textId="77777777" w:rsidR="00FB1442" w:rsidRPr="00FB1442" w:rsidRDefault="00FB1442" w:rsidP="00FB1442">
      <w:pPr>
        <w:spacing w:after="0"/>
        <w:jc w:val="both"/>
        <w:rPr>
          <w:rFonts w:ascii="Arial" w:eastAsia="Times New Roman" w:hAnsi="Arial" w:cs="Arial"/>
          <w:iCs/>
          <w:color w:val="000000"/>
          <w:szCs w:val="24"/>
          <w:lang w:eastAsia="es-MX"/>
        </w:rPr>
      </w:pPr>
    </w:p>
    <w:p w14:paraId="5CD81DD9"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JMM</w:t>
      </w:r>
      <w:r w:rsidRPr="00FB1442">
        <w:rPr>
          <w:rFonts w:ascii="Arial" w:eastAsia="Times New Roman" w:hAnsi="Arial" w:cs="Arial"/>
          <w:b/>
          <w:iCs/>
          <w:color w:val="000000"/>
          <w:szCs w:val="24"/>
          <w:lang w:eastAsia="es-MX"/>
        </w:rPr>
        <w:tab/>
      </w:r>
    </w:p>
    <w:p w14:paraId="69FE0078"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Municipio de José María Morelos</w:t>
      </w:r>
    </w:p>
    <w:p w14:paraId="5064F859" w14:textId="77777777" w:rsidR="00FB1442" w:rsidRPr="00FB1442" w:rsidRDefault="00FB1442" w:rsidP="00FB1442">
      <w:pPr>
        <w:spacing w:after="0"/>
        <w:jc w:val="both"/>
        <w:rPr>
          <w:rFonts w:ascii="Arial" w:eastAsia="Times New Roman" w:hAnsi="Arial" w:cs="Arial"/>
          <w:iCs/>
          <w:color w:val="000000"/>
          <w:szCs w:val="24"/>
          <w:lang w:eastAsia="es-MX"/>
        </w:rPr>
      </w:pPr>
    </w:p>
    <w:p w14:paraId="4C9858BB"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LC</w:t>
      </w:r>
      <w:r w:rsidRPr="00FB1442">
        <w:rPr>
          <w:rFonts w:ascii="Arial" w:eastAsia="Times New Roman" w:hAnsi="Arial" w:cs="Arial"/>
          <w:b/>
          <w:iCs/>
          <w:color w:val="000000"/>
          <w:szCs w:val="24"/>
          <w:lang w:eastAsia="es-MX"/>
        </w:rPr>
        <w:tab/>
      </w:r>
    </w:p>
    <w:p w14:paraId="0B90D514"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Municipio de Lázaro Cárdenas</w:t>
      </w:r>
    </w:p>
    <w:p w14:paraId="4E4B1D42" w14:textId="77777777" w:rsidR="00FB1442" w:rsidRPr="00FB1442" w:rsidRDefault="00FB1442" w:rsidP="00FB1442">
      <w:pPr>
        <w:spacing w:after="0"/>
        <w:jc w:val="both"/>
        <w:rPr>
          <w:rFonts w:ascii="Arial" w:eastAsia="Times New Roman" w:hAnsi="Arial" w:cs="Arial"/>
          <w:iCs/>
          <w:color w:val="000000"/>
          <w:szCs w:val="24"/>
          <w:lang w:eastAsia="es-MX"/>
        </w:rPr>
      </w:pPr>
    </w:p>
    <w:p w14:paraId="32AE4146"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OPB</w:t>
      </w:r>
      <w:r w:rsidRPr="00FB1442">
        <w:rPr>
          <w:rFonts w:ascii="Arial" w:eastAsia="Times New Roman" w:hAnsi="Arial" w:cs="Arial"/>
          <w:b/>
          <w:iCs/>
          <w:color w:val="000000"/>
          <w:szCs w:val="24"/>
          <w:lang w:eastAsia="es-MX"/>
        </w:rPr>
        <w:tab/>
      </w:r>
    </w:p>
    <w:p w14:paraId="620ADB2A"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Municipio de Othón P. Blanco</w:t>
      </w:r>
    </w:p>
    <w:p w14:paraId="5586D810" w14:textId="77777777" w:rsidR="00FB1442" w:rsidRPr="00FB1442" w:rsidRDefault="00FB1442" w:rsidP="00FB1442">
      <w:pPr>
        <w:spacing w:after="0"/>
        <w:jc w:val="both"/>
        <w:rPr>
          <w:rFonts w:ascii="Arial" w:eastAsia="Times New Roman" w:hAnsi="Arial" w:cs="Arial"/>
          <w:iCs/>
          <w:color w:val="000000"/>
          <w:szCs w:val="24"/>
          <w:lang w:eastAsia="es-MX"/>
        </w:rPr>
      </w:pPr>
    </w:p>
    <w:p w14:paraId="311BB6AE"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PM</w:t>
      </w:r>
      <w:r w:rsidRPr="00FB1442">
        <w:rPr>
          <w:rFonts w:ascii="Arial" w:eastAsia="Times New Roman" w:hAnsi="Arial" w:cs="Arial"/>
          <w:b/>
          <w:iCs/>
          <w:color w:val="000000"/>
          <w:szCs w:val="24"/>
          <w:lang w:eastAsia="es-MX"/>
        </w:rPr>
        <w:tab/>
      </w:r>
    </w:p>
    <w:p w14:paraId="0F3BF506"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Municipio de Puerto Morelos</w:t>
      </w:r>
    </w:p>
    <w:p w14:paraId="0A33A96B" w14:textId="77777777" w:rsidR="00FB1442" w:rsidRPr="00FB1442" w:rsidRDefault="00FB1442" w:rsidP="00FB1442">
      <w:pPr>
        <w:spacing w:after="0"/>
        <w:jc w:val="both"/>
        <w:rPr>
          <w:rFonts w:ascii="Arial" w:eastAsia="Times New Roman" w:hAnsi="Arial" w:cs="Arial"/>
          <w:iCs/>
          <w:color w:val="000000"/>
          <w:szCs w:val="24"/>
          <w:lang w:eastAsia="es-MX"/>
        </w:rPr>
      </w:pPr>
    </w:p>
    <w:p w14:paraId="7AF73739"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SOL</w:t>
      </w:r>
      <w:r w:rsidRPr="00FB1442">
        <w:rPr>
          <w:rFonts w:ascii="Arial" w:eastAsia="Times New Roman" w:hAnsi="Arial" w:cs="Arial"/>
          <w:b/>
          <w:iCs/>
          <w:color w:val="000000"/>
          <w:szCs w:val="24"/>
          <w:lang w:eastAsia="es-MX"/>
        </w:rPr>
        <w:tab/>
      </w:r>
    </w:p>
    <w:p w14:paraId="790E7F3D"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Municipio de Solidaridad</w:t>
      </w:r>
    </w:p>
    <w:p w14:paraId="3C3438FA" w14:textId="77777777" w:rsidR="00FB1442" w:rsidRPr="00FB1442" w:rsidRDefault="00FB1442" w:rsidP="00FB1442">
      <w:pPr>
        <w:spacing w:after="0"/>
        <w:jc w:val="both"/>
        <w:rPr>
          <w:rFonts w:ascii="Arial" w:eastAsia="Times New Roman" w:hAnsi="Arial" w:cs="Arial"/>
          <w:iCs/>
          <w:color w:val="000000"/>
          <w:szCs w:val="24"/>
          <w:lang w:eastAsia="es-MX"/>
        </w:rPr>
      </w:pPr>
    </w:p>
    <w:p w14:paraId="3A7AA55D"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MPIO TULUM</w:t>
      </w:r>
      <w:r w:rsidRPr="00FB1442">
        <w:rPr>
          <w:rFonts w:ascii="Arial" w:eastAsia="Times New Roman" w:hAnsi="Arial" w:cs="Arial"/>
          <w:b/>
          <w:iCs/>
          <w:color w:val="000000"/>
          <w:szCs w:val="24"/>
          <w:lang w:eastAsia="es-MX"/>
        </w:rPr>
        <w:tab/>
      </w:r>
    </w:p>
    <w:p w14:paraId="0E26B2C3" w14:textId="77777777" w:rsidR="00394641" w:rsidRDefault="00394641" w:rsidP="00FB1442">
      <w:pPr>
        <w:spacing w:after="0"/>
        <w:jc w:val="both"/>
        <w:rPr>
          <w:lang w:val="es-ES" w:eastAsia="es-ES" w:bidi="es-ES"/>
        </w:rPr>
      </w:pPr>
      <w:r w:rsidRPr="00FB1442">
        <w:rPr>
          <w:rFonts w:ascii="Arial" w:eastAsia="Times New Roman" w:hAnsi="Arial" w:cs="Arial"/>
          <w:iCs/>
          <w:color w:val="000000"/>
          <w:szCs w:val="24"/>
          <w:lang w:eastAsia="es-MX"/>
        </w:rPr>
        <w:t>Municipio de Tulum</w:t>
      </w:r>
    </w:p>
    <w:p w14:paraId="7DA48B5F" w14:textId="77777777" w:rsidR="00B5105B" w:rsidRPr="0050178A" w:rsidRDefault="00B5105B" w:rsidP="00394641">
      <w:pPr>
        <w:rPr>
          <w:sz w:val="28"/>
          <w:lang w:val="es-ES" w:eastAsia="es-ES" w:bidi="es-ES"/>
        </w:rPr>
      </w:pPr>
    </w:p>
    <w:p w14:paraId="2C83C5FB" w14:textId="77777777" w:rsidR="00B5105B" w:rsidRPr="00394641" w:rsidRDefault="00B5105B" w:rsidP="00B5105B">
      <w:pPr>
        <w:jc w:val="center"/>
        <w:rPr>
          <w:lang w:val="es-ES" w:eastAsia="es-ES" w:bidi="es-ES"/>
        </w:rPr>
      </w:pPr>
      <w:r>
        <w:rPr>
          <w:rFonts w:ascii="Arial" w:hAnsi="Arial" w:cs="Arial"/>
          <w:b/>
          <w:sz w:val="44"/>
          <w:lang w:val="es-ES" w:eastAsia="es-ES" w:bidi="es-ES"/>
        </w:rPr>
        <w:t>N</w:t>
      </w:r>
    </w:p>
    <w:p w14:paraId="564EFB6F"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NPASNF</w:t>
      </w:r>
      <w:r w:rsidRPr="00FB1442">
        <w:rPr>
          <w:rFonts w:ascii="Arial" w:eastAsia="Times New Roman" w:hAnsi="Arial" w:cs="Arial"/>
          <w:b/>
          <w:iCs/>
          <w:color w:val="000000"/>
          <w:szCs w:val="24"/>
          <w:lang w:eastAsia="es-MX"/>
        </w:rPr>
        <w:tab/>
      </w:r>
    </w:p>
    <w:p w14:paraId="2F10B594"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Normas Profesionales de Auditoría del Sistema Nacional de Fiscalización</w:t>
      </w:r>
    </w:p>
    <w:p w14:paraId="2F12C9F4" w14:textId="77777777" w:rsidR="00FB1442" w:rsidRPr="0050178A" w:rsidRDefault="00FB1442" w:rsidP="00FB1442">
      <w:pPr>
        <w:spacing w:after="0"/>
        <w:jc w:val="both"/>
        <w:rPr>
          <w:sz w:val="32"/>
          <w:lang w:val="es-ES" w:eastAsia="es-ES" w:bidi="es-ES"/>
        </w:rPr>
      </w:pPr>
    </w:p>
    <w:p w14:paraId="7EDA71A6" w14:textId="77777777" w:rsidR="00B5105B" w:rsidRPr="00B5105B" w:rsidRDefault="00B5105B" w:rsidP="00B5105B">
      <w:pPr>
        <w:jc w:val="center"/>
        <w:rPr>
          <w:rFonts w:ascii="Arial" w:hAnsi="Arial" w:cs="Arial"/>
          <w:b/>
          <w:sz w:val="44"/>
          <w:lang w:val="es-ES" w:eastAsia="es-ES" w:bidi="es-ES"/>
        </w:rPr>
      </w:pPr>
      <w:r>
        <w:rPr>
          <w:rFonts w:ascii="Arial" w:hAnsi="Arial" w:cs="Arial"/>
          <w:b/>
          <w:sz w:val="44"/>
          <w:lang w:val="es-ES" w:eastAsia="es-ES" w:bidi="es-ES"/>
        </w:rPr>
        <w:t>O</w:t>
      </w:r>
    </w:p>
    <w:p w14:paraId="1D46EF9C" w14:textId="77777777" w:rsidR="00394641" w:rsidRPr="00FB1442"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b/>
          <w:iCs/>
          <w:color w:val="000000"/>
          <w:szCs w:val="24"/>
          <w:lang w:eastAsia="es-MX"/>
        </w:rPr>
        <w:t>OM</w:t>
      </w:r>
      <w:r w:rsidRPr="00FB1442">
        <w:rPr>
          <w:rFonts w:ascii="Arial" w:eastAsia="Times New Roman" w:hAnsi="Arial" w:cs="Arial"/>
          <w:iCs/>
          <w:color w:val="000000"/>
          <w:szCs w:val="24"/>
          <w:lang w:eastAsia="es-MX"/>
        </w:rPr>
        <w:tab/>
        <w:t>Oficialía Mayor</w:t>
      </w:r>
    </w:p>
    <w:p w14:paraId="4562E25A" w14:textId="77777777" w:rsidR="00B5105B" w:rsidRPr="0050178A" w:rsidRDefault="00B5105B" w:rsidP="00394641">
      <w:pPr>
        <w:rPr>
          <w:sz w:val="32"/>
          <w:lang w:val="es-ES" w:eastAsia="es-ES" w:bidi="es-ES"/>
        </w:rPr>
      </w:pPr>
    </w:p>
    <w:p w14:paraId="7D9276C0" w14:textId="77777777" w:rsidR="00B5105B" w:rsidRPr="00B5105B" w:rsidRDefault="00B5105B" w:rsidP="00B5105B">
      <w:pPr>
        <w:jc w:val="center"/>
        <w:rPr>
          <w:rFonts w:ascii="Arial" w:hAnsi="Arial" w:cs="Arial"/>
          <w:b/>
          <w:sz w:val="44"/>
          <w:lang w:val="es-ES" w:eastAsia="es-ES" w:bidi="es-ES"/>
        </w:rPr>
      </w:pPr>
      <w:r>
        <w:rPr>
          <w:rFonts w:ascii="Arial" w:hAnsi="Arial" w:cs="Arial"/>
          <w:b/>
          <w:sz w:val="44"/>
          <w:lang w:val="es-ES" w:eastAsia="es-ES" w:bidi="es-ES"/>
        </w:rPr>
        <w:t>P</w:t>
      </w:r>
    </w:p>
    <w:p w14:paraId="76E29EB4"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P EJECUTIVO</w:t>
      </w:r>
      <w:r w:rsidRPr="00FB1442">
        <w:rPr>
          <w:rFonts w:ascii="Arial" w:eastAsia="Times New Roman" w:hAnsi="Arial" w:cs="Arial"/>
          <w:b/>
          <w:iCs/>
          <w:color w:val="000000"/>
          <w:szCs w:val="24"/>
          <w:lang w:eastAsia="es-MX"/>
        </w:rPr>
        <w:tab/>
      </w:r>
    </w:p>
    <w:p w14:paraId="6EEF6270"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H. Poder Ejecutivo (Secretaría de Finanzas y Planeación)</w:t>
      </w:r>
    </w:p>
    <w:p w14:paraId="70A0570C" w14:textId="77777777" w:rsidR="003C200D" w:rsidRPr="00FB1442" w:rsidRDefault="003C200D" w:rsidP="00FB1442">
      <w:pPr>
        <w:spacing w:after="0"/>
        <w:jc w:val="both"/>
        <w:rPr>
          <w:rFonts w:ascii="Arial" w:eastAsia="Times New Roman" w:hAnsi="Arial" w:cs="Arial"/>
          <w:iCs/>
          <w:color w:val="000000"/>
          <w:szCs w:val="24"/>
          <w:lang w:eastAsia="es-MX"/>
        </w:rPr>
      </w:pPr>
    </w:p>
    <w:p w14:paraId="52386B02"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P JUDICIAL</w:t>
      </w:r>
      <w:r w:rsidRPr="00FB1442">
        <w:rPr>
          <w:rFonts w:ascii="Arial" w:eastAsia="Times New Roman" w:hAnsi="Arial" w:cs="Arial"/>
          <w:b/>
          <w:iCs/>
          <w:color w:val="000000"/>
          <w:szCs w:val="24"/>
          <w:lang w:eastAsia="es-MX"/>
        </w:rPr>
        <w:tab/>
      </w:r>
    </w:p>
    <w:p w14:paraId="596E0B1C"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H. Poder Judicial</w:t>
      </w:r>
    </w:p>
    <w:p w14:paraId="6DAD13C6" w14:textId="77777777" w:rsidR="004E1BA0" w:rsidRDefault="004E1BA0" w:rsidP="00FB1442">
      <w:pPr>
        <w:spacing w:after="0"/>
        <w:jc w:val="both"/>
        <w:rPr>
          <w:rFonts w:ascii="Arial" w:eastAsia="Times New Roman" w:hAnsi="Arial" w:cs="Arial"/>
          <w:iCs/>
          <w:color w:val="000000"/>
          <w:szCs w:val="24"/>
          <w:lang w:eastAsia="es-MX"/>
        </w:rPr>
      </w:pPr>
    </w:p>
    <w:p w14:paraId="23DC94A2"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P LEGISLATIVO</w:t>
      </w:r>
      <w:r w:rsidRPr="00FB1442">
        <w:rPr>
          <w:rFonts w:ascii="Arial" w:eastAsia="Times New Roman" w:hAnsi="Arial" w:cs="Arial"/>
          <w:b/>
          <w:iCs/>
          <w:color w:val="000000"/>
          <w:szCs w:val="24"/>
          <w:lang w:eastAsia="es-MX"/>
        </w:rPr>
        <w:tab/>
      </w:r>
    </w:p>
    <w:p w14:paraId="603ECE83"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H. Poder Legislativo</w:t>
      </w:r>
    </w:p>
    <w:p w14:paraId="64855240" w14:textId="77777777" w:rsidR="00DD25A6" w:rsidRDefault="00DD25A6" w:rsidP="00FB1442">
      <w:pPr>
        <w:spacing w:after="0"/>
        <w:jc w:val="both"/>
        <w:rPr>
          <w:rFonts w:ascii="Arial" w:eastAsia="Times New Roman" w:hAnsi="Arial" w:cs="Arial"/>
          <w:b/>
          <w:iCs/>
          <w:color w:val="000000"/>
          <w:szCs w:val="24"/>
          <w:lang w:eastAsia="es-MX"/>
        </w:rPr>
      </w:pPr>
    </w:p>
    <w:p w14:paraId="69B15935"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PAAVI</w:t>
      </w:r>
      <w:r w:rsidRPr="00FB1442">
        <w:rPr>
          <w:rFonts w:ascii="Arial" w:eastAsia="Times New Roman" w:hAnsi="Arial" w:cs="Arial"/>
          <w:b/>
          <w:iCs/>
          <w:color w:val="000000"/>
          <w:szCs w:val="24"/>
          <w:lang w:eastAsia="es-MX"/>
        </w:rPr>
        <w:tab/>
      </w:r>
    </w:p>
    <w:p w14:paraId="53B83F0A"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Programa Anual de Auditorías, Visitas e Inspecciones</w:t>
      </w:r>
    </w:p>
    <w:p w14:paraId="5E5734FA" w14:textId="77777777" w:rsidR="003C200D" w:rsidRPr="00FB1442" w:rsidRDefault="003C200D" w:rsidP="00FB1442">
      <w:pPr>
        <w:spacing w:after="0"/>
        <w:jc w:val="both"/>
        <w:rPr>
          <w:rFonts w:ascii="Arial" w:eastAsia="Times New Roman" w:hAnsi="Arial" w:cs="Arial"/>
          <w:iCs/>
          <w:color w:val="000000"/>
          <w:szCs w:val="24"/>
          <w:lang w:eastAsia="es-MX"/>
        </w:rPr>
      </w:pPr>
    </w:p>
    <w:p w14:paraId="52984C90"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lastRenderedPageBreak/>
        <w:t>PE</w:t>
      </w:r>
      <w:r w:rsidRPr="00FB1442">
        <w:rPr>
          <w:rFonts w:ascii="Arial" w:eastAsia="Times New Roman" w:hAnsi="Arial" w:cs="Arial"/>
          <w:b/>
          <w:iCs/>
          <w:color w:val="000000"/>
          <w:szCs w:val="24"/>
          <w:lang w:eastAsia="es-MX"/>
        </w:rPr>
        <w:tab/>
      </w:r>
    </w:p>
    <w:p w14:paraId="37BDFFD0"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Presupuesto de Egresos</w:t>
      </w:r>
    </w:p>
    <w:p w14:paraId="0F0B9DB1" w14:textId="77777777" w:rsidR="003C200D" w:rsidRPr="00FB1442" w:rsidRDefault="003C200D" w:rsidP="00FB1442">
      <w:pPr>
        <w:spacing w:after="0"/>
        <w:jc w:val="both"/>
        <w:rPr>
          <w:rFonts w:ascii="Arial" w:eastAsia="Times New Roman" w:hAnsi="Arial" w:cs="Arial"/>
          <w:iCs/>
          <w:color w:val="000000"/>
          <w:szCs w:val="24"/>
          <w:lang w:eastAsia="es-MX"/>
        </w:rPr>
      </w:pPr>
    </w:p>
    <w:p w14:paraId="4BAD3B95"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PIB</w:t>
      </w:r>
      <w:r w:rsidRPr="00FB1442">
        <w:rPr>
          <w:rFonts w:ascii="Arial" w:eastAsia="Times New Roman" w:hAnsi="Arial" w:cs="Arial"/>
          <w:b/>
          <w:iCs/>
          <w:color w:val="000000"/>
          <w:szCs w:val="24"/>
          <w:lang w:eastAsia="es-MX"/>
        </w:rPr>
        <w:tab/>
      </w:r>
    </w:p>
    <w:p w14:paraId="4FD3AA61"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Producto Interno Bruto</w:t>
      </w:r>
    </w:p>
    <w:p w14:paraId="063C309F" w14:textId="77777777" w:rsidR="003C200D" w:rsidRPr="00FB1442" w:rsidRDefault="003C200D" w:rsidP="00FB1442">
      <w:pPr>
        <w:spacing w:after="0"/>
        <w:jc w:val="both"/>
        <w:rPr>
          <w:rFonts w:ascii="Arial" w:eastAsia="Times New Roman" w:hAnsi="Arial" w:cs="Arial"/>
          <w:iCs/>
          <w:color w:val="000000"/>
          <w:szCs w:val="24"/>
          <w:lang w:eastAsia="es-MX"/>
        </w:rPr>
      </w:pPr>
    </w:p>
    <w:p w14:paraId="4E21EE05"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PIONEROS</w:t>
      </w:r>
      <w:r w:rsidRPr="00FB1442">
        <w:rPr>
          <w:rFonts w:ascii="Arial" w:eastAsia="Times New Roman" w:hAnsi="Arial" w:cs="Arial"/>
          <w:b/>
          <w:iCs/>
          <w:color w:val="000000"/>
          <w:szCs w:val="24"/>
          <w:lang w:eastAsia="es-MX"/>
        </w:rPr>
        <w:tab/>
      </w:r>
    </w:p>
    <w:p w14:paraId="06B520BE"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Asociación de Futbol Pioneros, A.C.</w:t>
      </w:r>
    </w:p>
    <w:p w14:paraId="6DB5D437" w14:textId="77777777" w:rsidR="003C200D" w:rsidRPr="00FB1442" w:rsidRDefault="003C200D" w:rsidP="00FB1442">
      <w:pPr>
        <w:spacing w:after="0"/>
        <w:jc w:val="both"/>
        <w:rPr>
          <w:rFonts w:ascii="Arial" w:eastAsia="Times New Roman" w:hAnsi="Arial" w:cs="Arial"/>
          <w:iCs/>
          <w:color w:val="000000"/>
          <w:szCs w:val="24"/>
          <w:lang w:eastAsia="es-MX"/>
        </w:rPr>
      </w:pPr>
    </w:p>
    <w:p w14:paraId="739B2ED9" w14:textId="77777777" w:rsidR="00B5105B" w:rsidRPr="00FB1442" w:rsidRDefault="00394641" w:rsidP="00FB1442">
      <w:pPr>
        <w:spacing w:after="0"/>
        <w:jc w:val="both"/>
        <w:rPr>
          <w:rFonts w:ascii="Arial" w:eastAsia="Times New Roman" w:hAnsi="Arial" w:cs="Arial"/>
          <w:b/>
          <w:iCs/>
          <w:color w:val="000000"/>
          <w:szCs w:val="24"/>
          <w:lang w:eastAsia="es-MX"/>
        </w:rPr>
      </w:pPr>
      <w:r w:rsidRPr="00FB1442">
        <w:rPr>
          <w:rFonts w:ascii="Arial" w:eastAsia="Times New Roman" w:hAnsi="Arial" w:cs="Arial"/>
          <w:b/>
          <w:iCs/>
          <w:color w:val="000000"/>
          <w:szCs w:val="24"/>
          <w:lang w:eastAsia="es-MX"/>
        </w:rPr>
        <w:t>PROTEINQROO</w:t>
      </w:r>
      <w:r w:rsidRPr="00FB1442">
        <w:rPr>
          <w:rFonts w:ascii="Arial" w:eastAsia="Times New Roman" w:hAnsi="Arial" w:cs="Arial"/>
          <w:b/>
          <w:iCs/>
          <w:color w:val="000000"/>
          <w:szCs w:val="24"/>
          <w:lang w:eastAsia="es-MX"/>
        </w:rPr>
        <w:tab/>
      </w:r>
    </w:p>
    <w:p w14:paraId="23613830"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Fideicomiso para la Operación del Programa de Tecnologías Educativas y de la Información para el Magisterio de Educación Básica del Estado de Quintana Roo</w:t>
      </w:r>
    </w:p>
    <w:p w14:paraId="63B55EEE" w14:textId="77777777" w:rsidR="004E1BA0" w:rsidRPr="004E1BA0" w:rsidRDefault="004E1BA0" w:rsidP="00FB1442">
      <w:pPr>
        <w:spacing w:after="0"/>
        <w:jc w:val="both"/>
        <w:rPr>
          <w:sz w:val="28"/>
          <w:lang w:val="es-ES" w:eastAsia="es-ES" w:bidi="es-ES"/>
        </w:rPr>
      </w:pPr>
    </w:p>
    <w:p w14:paraId="4007B3F7" w14:textId="77777777" w:rsidR="007354DD" w:rsidRPr="007354DD" w:rsidRDefault="007354DD" w:rsidP="007354DD">
      <w:pPr>
        <w:jc w:val="center"/>
        <w:rPr>
          <w:rFonts w:ascii="Arial" w:hAnsi="Arial" w:cs="Arial"/>
          <w:b/>
          <w:sz w:val="44"/>
          <w:lang w:val="es-ES" w:eastAsia="es-ES" w:bidi="es-ES"/>
        </w:rPr>
      </w:pPr>
      <w:r>
        <w:rPr>
          <w:rFonts w:ascii="Arial" w:hAnsi="Arial" w:cs="Arial"/>
          <w:b/>
          <w:sz w:val="44"/>
          <w:lang w:val="es-ES" w:eastAsia="es-ES" w:bidi="es-ES"/>
        </w:rPr>
        <w:t>R</w:t>
      </w:r>
    </w:p>
    <w:p w14:paraId="028FECF7"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RCA BJ</w:t>
      </w:r>
      <w:r w:rsidRPr="003C200D">
        <w:rPr>
          <w:rFonts w:ascii="Arial" w:eastAsia="Times New Roman" w:hAnsi="Arial" w:cs="Arial"/>
          <w:b/>
          <w:iCs/>
          <w:color w:val="000000"/>
          <w:szCs w:val="24"/>
          <w:lang w:eastAsia="es-MX"/>
        </w:rPr>
        <w:tab/>
      </w:r>
    </w:p>
    <w:p w14:paraId="66827839"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Radio Cultural Ayuntamiento de Benito Juárez</w:t>
      </w:r>
    </w:p>
    <w:p w14:paraId="364B2144" w14:textId="77777777" w:rsidR="003C200D" w:rsidRPr="00FB1442" w:rsidRDefault="003C200D" w:rsidP="00FB1442">
      <w:pPr>
        <w:spacing w:after="0"/>
        <w:jc w:val="both"/>
        <w:rPr>
          <w:rFonts w:ascii="Arial" w:eastAsia="Times New Roman" w:hAnsi="Arial" w:cs="Arial"/>
          <w:iCs/>
          <w:color w:val="000000"/>
          <w:szCs w:val="24"/>
          <w:lang w:eastAsia="es-MX"/>
        </w:rPr>
      </w:pPr>
    </w:p>
    <w:p w14:paraId="7B47F029" w14:textId="77777777" w:rsidR="007354DD" w:rsidRPr="007354DD" w:rsidRDefault="007354DD" w:rsidP="007354DD">
      <w:pPr>
        <w:jc w:val="center"/>
        <w:rPr>
          <w:rFonts w:ascii="Arial" w:hAnsi="Arial" w:cs="Arial"/>
          <w:b/>
          <w:sz w:val="44"/>
          <w:lang w:val="es-ES" w:eastAsia="es-ES" w:bidi="es-ES"/>
        </w:rPr>
      </w:pPr>
      <w:r>
        <w:rPr>
          <w:rFonts w:ascii="Arial" w:hAnsi="Arial" w:cs="Arial"/>
          <w:b/>
          <w:sz w:val="44"/>
          <w:lang w:val="es-ES" w:eastAsia="es-ES" w:bidi="es-ES"/>
        </w:rPr>
        <w:t>S</w:t>
      </w:r>
    </w:p>
    <w:p w14:paraId="11D55985"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 EDUC</w:t>
      </w:r>
      <w:r w:rsidRPr="003C200D">
        <w:rPr>
          <w:rFonts w:ascii="Arial" w:eastAsia="Times New Roman" w:hAnsi="Arial" w:cs="Arial"/>
          <w:b/>
          <w:iCs/>
          <w:color w:val="000000"/>
          <w:szCs w:val="24"/>
          <w:lang w:eastAsia="es-MX"/>
        </w:rPr>
        <w:tab/>
      </w:r>
    </w:p>
    <w:p w14:paraId="40D80A46"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Educación</w:t>
      </w:r>
    </w:p>
    <w:p w14:paraId="3B0EF9CB" w14:textId="77777777" w:rsidR="003C200D" w:rsidRPr="00FB1442" w:rsidRDefault="003C200D" w:rsidP="00FB1442">
      <w:pPr>
        <w:spacing w:after="0"/>
        <w:jc w:val="both"/>
        <w:rPr>
          <w:rFonts w:ascii="Arial" w:eastAsia="Times New Roman" w:hAnsi="Arial" w:cs="Arial"/>
          <w:iCs/>
          <w:color w:val="000000"/>
          <w:szCs w:val="24"/>
          <w:lang w:eastAsia="es-MX"/>
        </w:rPr>
      </w:pPr>
    </w:p>
    <w:p w14:paraId="4891BCD5" w14:textId="77777777" w:rsidR="003C200D" w:rsidRDefault="00394641" w:rsidP="00FB1442">
      <w:pPr>
        <w:spacing w:after="0"/>
        <w:jc w:val="both"/>
        <w:rPr>
          <w:rFonts w:ascii="Arial" w:eastAsia="Times New Roman" w:hAnsi="Arial" w:cs="Arial"/>
          <w:iCs/>
          <w:color w:val="000000"/>
          <w:szCs w:val="24"/>
          <w:lang w:eastAsia="es-MX"/>
        </w:rPr>
      </w:pPr>
      <w:r w:rsidRPr="003C200D">
        <w:rPr>
          <w:rFonts w:ascii="Arial" w:eastAsia="Times New Roman" w:hAnsi="Arial" w:cs="Arial"/>
          <w:b/>
          <w:iCs/>
          <w:color w:val="000000"/>
          <w:szCs w:val="24"/>
          <w:lang w:eastAsia="es-MX"/>
        </w:rPr>
        <w:t>SECOES</w:t>
      </w:r>
      <w:r w:rsidRPr="00FB1442">
        <w:rPr>
          <w:rFonts w:ascii="Arial" w:eastAsia="Times New Roman" w:hAnsi="Arial" w:cs="Arial"/>
          <w:iCs/>
          <w:color w:val="000000"/>
          <w:szCs w:val="24"/>
          <w:lang w:eastAsia="es-MX"/>
        </w:rPr>
        <w:tab/>
      </w:r>
    </w:p>
    <w:p w14:paraId="1A061A49"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la Contraloría del Estado</w:t>
      </w:r>
    </w:p>
    <w:p w14:paraId="772B335D" w14:textId="77777777" w:rsidR="003C200D" w:rsidRPr="00FB1442" w:rsidRDefault="003C200D" w:rsidP="00FB1442">
      <w:pPr>
        <w:spacing w:after="0"/>
        <w:jc w:val="both"/>
        <w:rPr>
          <w:rFonts w:ascii="Arial" w:eastAsia="Times New Roman" w:hAnsi="Arial" w:cs="Arial"/>
          <w:iCs/>
          <w:color w:val="000000"/>
          <w:szCs w:val="24"/>
          <w:lang w:eastAsia="es-MX"/>
        </w:rPr>
      </w:pPr>
    </w:p>
    <w:p w14:paraId="4F5E769D"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SEDARPE</w:t>
      </w:r>
      <w:r w:rsidRPr="003C200D">
        <w:rPr>
          <w:rFonts w:ascii="Arial" w:eastAsia="Times New Roman" w:hAnsi="Arial" w:cs="Arial"/>
          <w:b/>
          <w:iCs/>
          <w:color w:val="000000"/>
          <w:szCs w:val="24"/>
          <w:lang w:eastAsia="es-MX"/>
        </w:rPr>
        <w:tab/>
      </w:r>
    </w:p>
    <w:p w14:paraId="75F93A60" w14:textId="77777777" w:rsidR="00394641" w:rsidRPr="00FB1442"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Desarrollo Agropecuario, Rural y Pesca</w:t>
      </w:r>
    </w:p>
    <w:p w14:paraId="754170CE"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SEDE</w:t>
      </w:r>
      <w:r w:rsidRPr="003C200D">
        <w:rPr>
          <w:rFonts w:ascii="Arial" w:eastAsia="Times New Roman" w:hAnsi="Arial" w:cs="Arial"/>
          <w:b/>
          <w:iCs/>
          <w:color w:val="000000"/>
          <w:szCs w:val="24"/>
          <w:lang w:eastAsia="es-MX"/>
        </w:rPr>
        <w:tab/>
      </w:r>
    </w:p>
    <w:p w14:paraId="6A917975"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Desarrollo Económico</w:t>
      </w:r>
    </w:p>
    <w:p w14:paraId="69ED69A0" w14:textId="77777777" w:rsidR="003C200D" w:rsidRPr="00FB1442" w:rsidRDefault="003C200D" w:rsidP="00FB1442">
      <w:pPr>
        <w:spacing w:after="0"/>
        <w:jc w:val="both"/>
        <w:rPr>
          <w:rFonts w:ascii="Arial" w:eastAsia="Times New Roman" w:hAnsi="Arial" w:cs="Arial"/>
          <w:iCs/>
          <w:color w:val="000000"/>
          <w:szCs w:val="24"/>
          <w:lang w:eastAsia="es-MX"/>
        </w:rPr>
      </w:pPr>
    </w:p>
    <w:p w14:paraId="53F9FD16"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SEDESO</w:t>
      </w:r>
      <w:r w:rsidRPr="003C200D">
        <w:rPr>
          <w:rFonts w:ascii="Arial" w:eastAsia="Times New Roman" w:hAnsi="Arial" w:cs="Arial"/>
          <w:b/>
          <w:iCs/>
          <w:color w:val="000000"/>
          <w:szCs w:val="24"/>
          <w:lang w:eastAsia="es-MX"/>
        </w:rPr>
        <w:tab/>
      </w:r>
    </w:p>
    <w:p w14:paraId="386F064A"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Desarrollo Social</w:t>
      </w:r>
    </w:p>
    <w:p w14:paraId="165121CC" w14:textId="77777777" w:rsidR="003C200D" w:rsidRPr="00FB1442" w:rsidRDefault="003C200D" w:rsidP="00FB1442">
      <w:pPr>
        <w:spacing w:after="0"/>
        <w:jc w:val="both"/>
        <w:rPr>
          <w:rFonts w:ascii="Arial" w:eastAsia="Times New Roman" w:hAnsi="Arial" w:cs="Arial"/>
          <w:iCs/>
          <w:color w:val="000000"/>
          <w:szCs w:val="24"/>
          <w:lang w:eastAsia="es-MX"/>
        </w:rPr>
      </w:pPr>
    </w:p>
    <w:p w14:paraId="418A4B94"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SEDETUR</w:t>
      </w:r>
      <w:r w:rsidRPr="003C200D">
        <w:rPr>
          <w:rFonts w:ascii="Arial" w:eastAsia="Times New Roman" w:hAnsi="Arial" w:cs="Arial"/>
          <w:b/>
          <w:iCs/>
          <w:color w:val="000000"/>
          <w:szCs w:val="24"/>
          <w:lang w:eastAsia="es-MX"/>
        </w:rPr>
        <w:tab/>
      </w:r>
    </w:p>
    <w:p w14:paraId="718236A4"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Turismo</w:t>
      </w:r>
    </w:p>
    <w:p w14:paraId="2B773587" w14:textId="77777777" w:rsidR="003C200D" w:rsidRPr="00FB1442" w:rsidRDefault="003C200D" w:rsidP="00FB1442">
      <w:pPr>
        <w:spacing w:after="0"/>
        <w:jc w:val="both"/>
        <w:rPr>
          <w:rFonts w:ascii="Arial" w:eastAsia="Times New Roman" w:hAnsi="Arial" w:cs="Arial"/>
          <w:iCs/>
          <w:color w:val="000000"/>
          <w:szCs w:val="24"/>
          <w:lang w:eastAsia="es-MX"/>
        </w:rPr>
      </w:pPr>
    </w:p>
    <w:p w14:paraId="174D50F1"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SEDETUS</w:t>
      </w:r>
      <w:r w:rsidRPr="003C200D">
        <w:rPr>
          <w:rFonts w:ascii="Arial" w:eastAsia="Times New Roman" w:hAnsi="Arial" w:cs="Arial"/>
          <w:b/>
          <w:iCs/>
          <w:color w:val="000000"/>
          <w:szCs w:val="24"/>
          <w:lang w:eastAsia="es-MX"/>
        </w:rPr>
        <w:tab/>
      </w:r>
    </w:p>
    <w:p w14:paraId="0C26D950"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Desarrollo Territorial Urbano Sustentable</w:t>
      </w:r>
    </w:p>
    <w:p w14:paraId="496B8889" w14:textId="77777777" w:rsidR="003C200D" w:rsidRPr="00FB1442" w:rsidRDefault="003C200D" w:rsidP="00FB1442">
      <w:pPr>
        <w:spacing w:after="0"/>
        <w:jc w:val="both"/>
        <w:rPr>
          <w:rFonts w:ascii="Arial" w:eastAsia="Times New Roman" w:hAnsi="Arial" w:cs="Arial"/>
          <w:iCs/>
          <w:color w:val="000000"/>
          <w:szCs w:val="24"/>
          <w:lang w:eastAsia="es-MX"/>
        </w:rPr>
      </w:pPr>
    </w:p>
    <w:p w14:paraId="3D61CBA2"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SEGOB</w:t>
      </w:r>
      <w:r w:rsidRPr="003C200D">
        <w:rPr>
          <w:rFonts w:ascii="Arial" w:eastAsia="Times New Roman" w:hAnsi="Arial" w:cs="Arial"/>
          <w:b/>
          <w:iCs/>
          <w:color w:val="000000"/>
          <w:szCs w:val="24"/>
          <w:lang w:eastAsia="es-MX"/>
        </w:rPr>
        <w:tab/>
      </w:r>
    </w:p>
    <w:p w14:paraId="6BCDD3D9"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Gobierno</w:t>
      </w:r>
    </w:p>
    <w:p w14:paraId="52452F68" w14:textId="77777777" w:rsidR="003C200D" w:rsidRPr="00FB1442" w:rsidRDefault="003C200D" w:rsidP="00FB1442">
      <w:pPr>
        <w:spacing w:after="0"/>
        <w:jc w:val="both"/>
        <w:rPr>
          <w:rFonts w:ascii="Arial" w:eastAsia="Times New Roman" w:hAnsi="Arial" w:cs="Arial"/>
          <w:iCs/>
          <w:color w:val="000000"/>
          <w:szCs w:val="24"/>
          <w:lang w:eastAsia="es-MX"/>
        </w:rPr>
      </w:pPr>
    </w:p>
    <w:p w14:paraId="4338811F"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SEMA</w:t>
      </w:r>
      <w:r w:rsidRPr="003C200D">
        <w:rPr>
          <w:rFonts w:ascii="Arial" w:eastAsia="Times New Roman" w:hAnsi="Arial" w:cs="Arial"/>
          <w:b/>
          <w:iCs/>
          <w:color w:val="000000"/>
          <w:szCs w:val="24"/>
          <w:lang w:eastAsia="es-MX"/>
        </w:rPr>
        <w:tab/>
      </w:r>
    </w:p>
    <w:p w14:paraId="69BE6205"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Ecología y Medio Ambiente</w:t>
      </w:r>
    </w:p>
    <w:p w14:paraId="47C338E6" w14:textId="77777777" w:rsidR="003C200D" w:rsidRPr="00FB1442" w:rsidRDefault="003C200D" w:rsidP="00FB1442">
      <w:pPr>
        <w:spacing w:after="0"/>
        <w:jc w:val="both"/>
        <w:rPr>
          <w:rFonts w:ascii="Arial" w:eastAsia="Times New Roman" w:hAnsi="Arial" w:cs="Arial"/>
          <w:iCs/>
          <w:color w:val="000000"/>
          <w:szCs w:val="24"/>
          <w:lang w:eastAsia="es-MX"/>
        </w:rPr>
      </w:pPr>
    </w:p>
    <w:p w14:paraId="276ABCA7"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SEOP</w:t>
      </w:r>
      <w:r w:rsidRPr="003C200D">
        <w:rPr>
          <w:rFonts w:ascii="Arial" w:eastAsia="Times New Roman" w:hAnsi="Arial" w:cs="Arial"/>
          <w:b/>
          <w:iCs/>
          <w:color w:val="000000"/>
          <w:szCs w:val="24"/>
          <w:lang w:eastAsia="es-MX"/>
        </w:rPr>
        <w:tab/>
      </w:r>
    </w:p>
    <w:p w14:paraId="44D41820"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Obras Públicas</w:t>
      </w:r>
    </w:p>
    <w:p w14:paraId="17AE6C14" w14:textId="77777777" w:rsidR="003C200D" w:rsidRPr="00FB1442" w:rsidRDefault="003C200D" w:rsidP="00FB1442">
      <w:pPr>
        <w:spacing w:after="0"/>
        <w:jc w:val="both"/>
        <w:rPr>
          <w:rFonts w:ascii="Arial" w:eastAsia="Times New Roman" w:hAnsi="Arial" w:cs="Arial"/>
          <w:iCs/>
          <w:color w:val="000000"/>
          <w:szCs w:val="24"/>
          <w:lang w:eastAsia="es-MX"/>
        </w:rPr>
      </w:pPr>
    </w:p>
    <w:p w14:paraId="1974F6B0"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SEQ</w:t>
      </w:r>
      <w:r w:rsidRPr="003C200D">
        <w:rPr>
          <w:rFonts w:ascii="Arial" w:eastAsia="Times New Roman" w:hAnsi="Arial" w:cs="Arial"/>
          <w:b/>
          <w:iCs/>
          <w:color w:val="000000"/>
          <w:szCs w:val="24"/>
          <w:lang w:eastAsia="es-MX"/>
        </w:rPr>
        <w:tab/>
      </w:r>
    </w:p>
    <w:p w14:paraId="372872FD"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Servicios Educativos de Quintana Roo</w:t>
      </w:r>
    </w:p>
    <w:p w14:paraId="25D01E77" w14:textId="77777777" w:rsidR="003C200D" w:rsidRPr="00FB1442" w:rsidRDefault="003C200D" w:rsidP="00FB1442">
      <w:pPr>
        <w:spacing w:after="0"/>
        <w:jc w:val="both"/>
        <w:rPr>
          <w:rFonts w:ascii="Arial" w:eastAsia="Times New Roman" w:hAnsi="Arial" w:cs="Arial"/>
          <w:iCs/>
          <w:color w:val="000000"/>
          <w:szCs w:val="24"/>
          <w:lang w:eastAsia="es-MX"/>
        </w:rPr>
      </w:pPr>
    </w:p>
    <w:p w14:paraId="3C2D8ACE"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SESA</w:t>
      </w:r>
      <w:r w:rsidRPr="003C200D">
        <w:rPr>
          <w:rFonts w:ascii="Arial" w:eastAsia="Times New Roman" w:hAnsi="Arial" w:cs="Arial"/>
          <w:b/>
          <w:iCs/>
          <w:color w:val="000000"/>
          <w:szCs w:val="24"/>
          <w:lang w:eastAsia="es-MX"/>
        </w:rPr>
        <w:tab/>
      </w:r>
    </w:p>
    <w:p w14:paraId="3A32D6EE"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Servicios Estatales de Salud</w:t>
      </w:r>
    </w:p>
    <w:p w14:paraId="4B6C36FC" w14:textId="77777777" w:rsidR="003C200D" w:rsidRPr="00FB1442" w:rsidRDefault="003C200D" w:rsidP="00FB1442">
      <w:pPr>
        <w:spacing w:after="0"/>
        <w:jc w:val="both"/>
        <w:rPr>
          <w:rFonts w:ascii="Arial" w:eastAsia="Times New Roman" w:hAnsi="Arial" w:cs="Arial"/>
          <w:iCs/>
          <w:color w:val="000000"/>
          <w:szCs w:val="24"/>
          <w:lang w:eastAsia="es-MX"/>
        </w:rPr>
      </w:pPr>
    </w:p>
    <w:p w14:paraId="1186492D"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SESAEQROO</w:t>
      </w:r>
      <w:r w:rsidRPr="003C200D">
        <w:rPr>
          <w:rFonts w:ascii="Arial" w:eastAsia="Times New Roman" w:hAnsi="Arial" w:cs="Arial"/>
          <w:b/>
          <w:iCs/>
          <w:color w:val="000000"/>
          <w:szCs w:val="24"/>
          <w:lang w:eastAsia="es-MX"/>
        </w:rPr>
        <w:tab/>
      </w:r>
    </w:p>
    <w:p w14:paraId="67B1FED7"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Ejecutiva del Sistema Anticorrupción del Estado de Quintana Roo</w:t>
      </w:r>
    </w:p>
    <w:p w14:paraId="328A607D" w14:textId="77777777" w:rsidR="003C200D" w:rsidRPr="00FB1442" w:rsidRDefault="003C200D" w:rsidP="00FB1442">
      <w:pPr>
        <w:spacing w:after="0"/>
        <w:jc w:val="both"/>
        <w:rPr>
          <w:rFonts w:ascii="Arial" w:eastAsia="Times New Roman" w:hAnsi="Arial" w:cs="Arial"/>
          <w:iCs/>
          <w:color w:val="000000"/>
          <w:szCs w:val="24"/>
          <w:lang w:eastAsia="es-MX"/>
        </w:rPr>
      </w:pPr>
    </w:p>
    <w:p w14:paraId="01A461D9"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SHCP</w:t>
      </w:r>
      <w:r w:rsidRPr="003C200D">
        <w:rPr>
          <w:rFonts w:ascii="Arial" w:eastAsia="Times New Roman" w:hAnsi="Arial" w:cs="Arial"/>
          <w:b/>
          <w:iCs/>
          <w:color w:val="000000"/>
          <w:szCs w:val="24"/>
          <w:lang w:eastAsia="es-MX"/>
        </w:rPr>
        <w:tab/>
      </w:r>
    </w:p>
    <w:p w14:paraId="1A4A6B6B"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Hacienda y Crédito Público</w:t>
      </w:r>
    </w:p>
    <w:p w14:paraId="3407BA72" w14:textId="77777777" w:rsidR="003C200D" w:rsidRPr="00FB1442" w:rsidRDefault="003C200D" w:rsidP="00FB1442">
      <w:pPr>
        <w:spacing w:after="0"/>
        <w:jc w:val="both"/>
        <w:rPr>
          <w:rFonts w:ascii="Arial" w:eastAsia="Times New Roman" w:hAnsi="Arial" w:cs="Arial"/>
          <w:iCs/>
          <w:color w:val="000000"/>
          <w:szCs w:val="24"/>
          <w:lang w:eastAsia="es-MX"/>
        </w:rPr>
      </w:pPr>
    </w:p>
    <w:p w14:paraId="27886CD6"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 xml:space="preserve">SIRESOL </w:t>
      </w:r>
      <w:r w:rsidRPr="003C200D">
        <w:rPr>
          <w:rFonts w:ascii="Arial" w:eastAsia="Times New Roman" w:hAnsi="Arial" w:cs="Arial"/>
          <w:b/>
          <w:iCs/>
          <w:color w:val="000000"/>
          <w:szCs w:val="24"/>
          <w:lang w:eastAsia="es-MX"/>
        </w:rPr>
        <w:tab/>
      </w:r>
    </w:p>
    <w:p w14:paraId="37C41F87"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Solución Integral de Residuos Sólidos Cancún</w:t>
      </w:r>
    </w:p>
    <w:p w14:paraId="79FA4EB3" w14:textId="77777777" w:rsidR="003C200D" w:rsidRPr="00FB1442" w:rsidRDefault="003C200D" w:rsidP="00FB1442">
      <w:pPr>
        <w:spacing w:after="0"/>
        <w:jc w:val="both"/>
        <w:rPr>
          <w:rFonts w:ascii="Arial" w:eastAsia="Times New Roman" w:hAnsi="Arial" w:cs="Arial"/>
          <w:iCs/>
          <w:color w:val="000000"/>
          <w:szCs w:val="24"/>
          <w:lang w:eastAsia="es-MX"/>
        </w:rPr>
      </w:pPr>
    </w:p>
    <w:p w14:paraId="12AA2AA8"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SOFOM</w:t>
      </w:r>
      <w:r w:rsidRPr="003C200D">
        <w:rPr>
          <w:rFonts w:ascii="Arial" w:eastAsia="Times New Roman" w:hAnsi="Arial" w:cs="Arial"/>
          <w:b/>
          <w:iCs/>
          <w:color w:val="000000"/>
          <w:szCs w:val="24"/>
          <w:lang w:eastAsia="es-MX"/>
        </w:rPr>
        <w:tab/>
      </w:r>
    </w:p>
    <w:p w14:paraId="25332BCD"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Sociedad Financiera de Objeto Múltiple</w:t>
      </w:r>
    </w:p>
    <w:p w14:paraId="372416DD" w14:textId="77777777" w:rsidR="003C200D" w:rsidRPr="00FB1442" w:rsidRDefault="003C200D" w:rsidP="00FB1442">
      <w:pPr>
        <w:spacing w:after="0"/>
        <w:jc w:val="both"/>
        <w:rPr>
          <w:rFonts w:ascii="Arial" w:eastAsia="Times New Roman" w:hAnsi="Arial" w:cs="Arial"/>
          <w:iCs/>
          <w:color w:val="000000"/>
          <w:szCs w:val="24"/>
          <w:lang w:eastAsia="es-MX"/>
        </w:rPr>
      </w:pPr>
    </w:p>
    <w:p w14:paraId="7E8DE962"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SQCS</w:t>
      </w:r>
      <w:r w:rsidRPr="003C200D">
        <w:rPr>
          <w:rFonts w:ascii="Arial" w:eastAsia="Times New Roman" w:hAnsi="Arial" w:cs="Arial"/>
          <w:b/>
          <w:iCs/>
          <w:color w:val="000000"/>
          <w:szCs w:val="24"/>
          <w:lang w:eastAsia="es-MX"/>
        </w:rPr>
        <w:tab/>
      </w:r>
    </w:p>
    <w:p w14:paraId="253F5149"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Sistema Quintanarroense de Comunicación Social</w:t>
      </w:r>
    </w:p>
    <w:p w14:paraId="091E1A97" w14:textId="77777777" w:rsidR="003C200D" w:rsidRPr="00FB1442" w:rsidRDefault="003C200D" w:rsidP="00FB1442">
      <w:pPr>
        <w:spacing w:after="0"/>
        <w:jc w:val="both"/>
        <w:rPr>
          <w:rFonts w:ascii="Arial" w:eastAsia="Times New Roman" w:hAnsi="Arial" w:cs="Arial"/>
          <w:iCs/>
          <w:color w:val="000000"/>
          <w:szCs w:val="24"/>
          <w:lang w:eastAsia="es-MX"/>
        </w:rPr>
      </w:pPr>
    </w:p>
    <w:p w14:paraId="62EEC7C1"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SSA</w:t>
      </w:r>
      <w:r w:rsidRPr="003C200D">
        <w:rPr>
          <w:rFonts w:ascii="Arial" w:eastAsia="Times New Roman" w:hAnsi="Arial" w:cs="Arial"/>
          <w:b/>
          <w:iCs/>
          <w:color w:val="000000"/>
          <w:szCs w:val="24"/>
          <w:lang w:eastAsia="es-MX"/>
        </w:rPr>
        <w:tab/>
      </w:r>
    </w:p>
    <w:p w14:paraId="7D721A17"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Salud</w:t>
      </w:r>
    </w:p>
    <w:p w14:paraId="1D5FE28A" w14:textId="77777777" w:rsidR="00637E19" w:rsidRDefault="00637E19" w:rsidP="00FB1442">
      <w:pPr>
        <w:spacing w:after="0"/>
        <w:jc w:val="both"/>
        <w:rPr>
          <w:rFonts w:ascii="Arial" w:eastAsia="Times New Roman" w:hAnsi="Arial" w:cs="Arial"/>
          <w:b/>
          <w:iCs/>
          <w:color w:val="000000"/>
          <w:szCs w:val="24"/>
          <w:lang w:eastAsia="es-MX"/>
        </w:rPr>
      </w:pPr>
    </w:p>
    <w:p w14:paraId="0282771E"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SSP</w:t>
      </w:r>
      <w:r w:rsidRPr="003C200D">
        <w:rPr>
          <w:rFonts w:ascii="Arial" w:eastAsia="Times New Roman" w:hAnsi="Arial" w:cs="Arial"/>
          <w:b/>
          <w:iCs/>
          <w:color w:val="000000"/>
          <w:szCs w:val="24"/>
          <w:lang w:eastAsia="es-MX"/>
        </w:rPr>
        <w:tab/>
      </w:r>
    </w:p>
    <w:p w14:paraId="6220691A"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Secretaría de Seguridad Pública</w:t>
      </w:r>
    </w:p>
    <w:p w14:paraId="106CF4ED" w14:textId="77777777" w:rsidR="003C200D" w:rsidRPr="00FB1442" w:rsidRDefault="003C200D" w:rsidP="00FB1442">
      <w:pPr>
        <w:spacing w:after="0"/>
        <w:jc w:val="both"/>
        <w:rPr>
          <w:rFonts w:ascii="Arial" w:eastAsia="Times New Roman" w:hAnsi="Arial" w:cs="Arial"/>
          <w:iCs/>
          <w:color w:val="000000"/>
          <w:szCs w:val="24"/>
          <w:lang w:eastAsia="es-MX"/>
        </w:rPr>
      </w:pPr>
    </w:p>
    <w:p w14:paraId="3EFCD07C"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STYPS</w:t>
      </w:r>
      <w:r w:rsidRPr="003C200D">
        <w:rPr>
          <w:rFonts w:ascii="Arial" w:eastAsia="Times New Roman" w:hAnsi="Arial" w:cs="Arial"/>
          <w:b/>
          <w:iCs/>
          <w:color w:val="000000"/>
          <w:szCs w:val="24"/>
          <w:lang w:eastAsia="es-MX"/>
        </w:rPr>
        <w:tab/>
      </w:r>
    </w:p>
    <w:p w14:paraId="03D6FB38" w14:textId="77777777" w:rsidR="00394641" w:rsidRDefault="00394641" w:rsidP="00FB1442">
      <w:pPr>
        <w:spacing w:after="0"/>
        <w:jc w:val="both"/>
        <w:rPr>
          <w:lang w:val="es-ES" w:eastAsia="es-ES" w:bidi="es-ES"/>
        </w:rPr>
      </w:pPr>
      <w:r w:rsidRPr="00FB1442">
        <w:rPr>
          <w:rFonts w:ascii="Arial" w:eastAsia="Times New Roman" w:hAnsi="Arial" w:cs="Arial"/>
          <w:iCs/>
          <w:color w:val="000000"/>
          <w:szCs w:val="24"/>
          <w:lang w:eastAsia="es-MX"/>
        </w:rPr>
        <w:t>Secretaría del Trabajo y Previsión Social</w:t>
      </w:r>
    </w:p>
    <w:p w14:paraId="69704279" w14:textId="77777777" w:rsidR="007354DD" w:rsidRDefault="007354DD" w:rsidP="00394641">
      <w:pPr>
        <w:rPr>
          <w:lang w:val="es-ES" w:eastAsia="es-ES" w:bidi="es-ES"/>
        </w:rPr>
      </w:pPr>
    </w:p>
    <w:p w14:paraId="12B2FF77" w14:textId="77777777" w:rsidR="00637E19" w:rsidRDefault="00637E19" w:rsidP="007354DD">
      <w:pPr>
        <w:jc w:val="center"/>
        <w:rPr>
          <w:rFonts w:ascii="Arial" w:hAnsi="Arial" w:cs="Arial"/>
          <w:b/>
          <w:sz w:val="44"/>
          <w:lang w:val="es-ES" w:eastAsia="es-ES" w:bidi="es-ES"/>
        </w:rPr>
      </w:pPr>
    </w:p>
    <w:p w14:paraId="77FF3418" w14:textId="77777777" w:rsidR="007354DD" w:rsidRPr="007354DD" w:rsidRDefault="007354DD" w:rsidP="007354DD">
      <w:pPr>
        <w:jc w:val="center"/>
        <w:rPr>
          <w:rFonts w:ascii="Arial" w:hAnsi="Arial" w:cs="Arial"/>
          <w:b/>
          <w:sz w:val="44"/>
          <w:lang w:val="es-ES" w:eastAsia="es-ES" w:bidi="es-ES"/>
        </w:rPr>
      </w:pPr>
      <w:r>
        <w:rPr>
          <w:rFonts w:ascii="Arial" w:hAnsi="Arial" w:cs="Arial"/>
          <w:b/>
          <w:sz w:val="44"/>
          <w:lang w:val="es-ES" w:eastAsia="es-ES" w:bidi="es-ES"/>
        </w:rPr>
        <w:lastRenderedPageBreak/>
        <w:t>T</w:t>
      </w:r>
    </w:p>
    <w:p w14:paraId="147E81F2"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TEQROO</w:t>
      </w:r>
      <w:r w:rsidRPr="003C200D">
        <w:rPr>
          <w:rFonts w:ascii="Arial" w:eastAsia="Times New Roman" w:hAnsi="Arial" w:cs="Arial"/>
          <w:b/>
          <w:iCs/>
          <w:color w:val="000000"/>
          <w:szCs w:val="24"/>
          <w:lang w:eastAsia="es-MX"/>
        </w:rPr>
        <w:tab/>
      </w:r>
    </w:p>
    <w:p w14:paraId="544BD2E4"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Tribunal Electoral de Quintana Roo</w:t>
      </w:r>
    </w:p>
    <w:p w14:paraId="7BE65495" w14:textId="77777777" w:rsidR="003C200D" w:rsidRPr="00FB1442" w:rsidRDefault="003C200D" w:rsidP="00FB1442">
      <w:pPr>
        <w:spacing w:after="0"/>
        <w:jc w:val="both"/>
        <w:rPr>
          <w:rFonts w:ascii="Arial" w:eastAsia="Times New Roman" w:hAnsi="Arial" w:cs="Arial"/>
          <w:iCs/>
          <w:color w:val="000000"/>
          <w:szCs w:val="24"/>
          <w:lang w:eastAsia="es-MX"/>
        </w:rPr>
      </w:pPr>
    </w:p>
    <w:p w14:paraId="4E47DD93"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TJAQROO</w:t>
      </w:r>
      <w:r w:rsidRPr="003C200D">
        <w:rPr>
          <w:rFonts w:ascii="Arial" w:eastAsia="Times New Roman" w:hAnsi="Arial" w:cs="Arial"/>
          <w:b/>
          <w:iCs/>
          <w:color w:val="000000"/>
          <w:szCs w:val="24"/>
          <w:lang w:eastAsia="es-MX"/>
        </w:rPr>
        <w:tab/>
      </w:r>
    </w:p>
    <w:p w14:paraId="360C3D93"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Tribunal de Justicia Administrativa del Estado de Quintana Roo</w:t>
      </w:r>
    </w:p>
    <w:p w14:paraId="0EA2FCD5" w14:textId="77777777" w:rsidR="003C200D" w:rsidRPr="00FB1442" w:rsidRDefault="003C200D" w:rsidP="00FB1442">
      <w:pPr>
        <w:spacing w:after="0"/>
        <w:jc w:val="both"/>
        <w:rPr>
          <w:rFonts w:ascii="Arial" w:eastAsia="Times New Roman" w:hAnsi="Arial" w:cs="Arial"/>
          <w:iCs/>
          <w:color w:val="000000"/>
          <w:szCs w:val="24"/>
          <w:lang w:eastAsia="es-MX"/>
        </w:rPr>
      </w:pPr>
    </w:p>
    <w:p w14:paraId="1DCA3559" w14:textId="77777777" w:rsidR="007354DD" w:rsidRPr="007354DD" w:rsidRDefault="007354DD" w:rsidP="007354DD">
      <w:pPr>
        <w:jc w:val="center"/>
        <w:rPr>
          <w:rFonts w:ascii="Arial" w:hAnsi="Arial" w:cs="Arial"/>
          <w:b/>
          <w:sz w:val="44"/>
          <w:lang w:val="es-ES" w:eastAsia="es-ES" w:bidi="es-ES"/>
        </w:rPr>
      </w:pPr>
      <w:r>
        <w:rPr>
          <w:rFonts w:ascii="Arial" w:hAnsi="Arial" w:cs="Arial"/>
          <w:b/>
          <w:sz w:val="44"/>
          <w:lang w:val="es-ES" w:eastAsia="es-ES" w:bidi="es-ES"/>
        </w:rPr>
        <w:t>U</w:t>
      </w:r>
    </w:p>
    <w:p w14:paraId="716D531F"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UIMQROO</w:t>
      </w:r>
      <w:r w:rsidRPr="003C200D">
        <w:rPr>
          <w:rFonts w:ascii="Arial" w:eastAsia="Times New Roman" w:hAnsi="Arial" w:cs="Arial"/>
          <w:b/>
          <w:iCs/>
          <w:color w:val="000000"/>
          <w:szCs w:val="24"/>
          <w:lang w:eastAsia="es-MX"/>
        </w:rPr>
        <w:tab/>
      </w:r>
    </w:p>
    <w:p w14:paraId="0A1ACA85"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 xml:space="preserve">Universidad Intercultural Maya del Estado de Quintana Roo </w:t>
      </w:r>
    </w:p>
    <w:p w14:paraId="40D80657" w14:textId="77777777" w:rsidR="003C200D" w:rsidRPr="00FB1442" w:rsidRDefault="003C200D" w:rsidP="00FB1442">
      <w:pPr>
        <w:spacing w:after="0"/>
        <w:jc w:val="both"/>
        <w:rPr>
          <w:rFonts w:ascii="Arial" w:eastAsia="Times New Roman" w:hAnsi="Arial" w:cs="Arial"/>
          <w:iCs/>
          <w:color w:val="000000"/>
          <w:szCs w:val="24"/>
          <w:lang w:eastAsia="es-MX"/>
        </w:rPr>
      </w:pPr>
    </w:p>
    <w:p w14:paraId="3A781006"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UNICARIBE</w:t>
      </w:r>
      <w:r w:rsidRPr="003C200D">
        <w:rPr>
          <w:rFonts w:ascii="Arial" w:eastAsia="Times New Roman" w:hAnsi="Arial" w:cs="Arial"/>
          <w:b/>
          <w:iCs/>
          <w:color w:val="000000"/>
          <w:szCs w:val="24"/>
          <w:lang w:eastAsia="es-MX"/>
        </w:rPr>
        <w:tab/>
      </w:r>
    </w:p>
    <w:p w14:paraId="2B0B768B"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 xml:space="preserve">Universidad del Caribe </w:t>
      </w:r>
    </w:p>
    <w:p w14:paraId="71CF8D75" w14:textId="77777777" w:rsidR="003C200D" w:rsidRPr="00FB1442" w:rsidRDefault="003C200D" w:rsidP="00FB1442">
      <w:pPr>
        <w:spacing w:after="0"/>
        <w:jc w:val="both"/>
        <w:rPr>
          <w:rFonts w:ascii="Arial" w:eastAsia="Times New Roman" w:hAnsi="Arial" w:cs="Arial"/>
          <w:iCs/>
          <w:color w:val="000000"/>
          <w:szCs w:val="24"/>
          <w:lang w:eastAsia="es-MX"/>
        </w:rPr>
      </w:pPr>
    </w:p>
    <w:p w14:paraId="4272AEF9"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UPB</w:t>
      </w:r>
      <w:r w:rsidRPr="003C200D">
        <w:rPr>
          <w:rFonts w:ascii="Arial" w:eastAsia="Times New Roman" w:hAnsi="Arial" w:cs="Arial"/>
          <w:b/>
          <w:iCs/>
          <w:color w:val="000000"/>
          <w:szCs w:val="24"/>
          <w:lang w:eastAsia="es-MX"/>
        </w:rPr>
        <w:tab/>
      </w:r>
    </w:p>
    <w:p w14:paraId="44AF6ED5"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Universidad Politécnica de Bacalar</w:t>
      </w:r>
    </w:p>
    <w:p w14:paraId="193BBC32" w14:textId="77777777" w:rsidR="003C200D" w:rsidRPr="00FB1442" w:rsidRDefault="003C200D" w:rsidP="00FB1442">
      <w:pPr>
        <w:spacing w:after="0"/>
        <w:jc w:val="both"/>
        <w:rPr>
          <w:rFonts w:ascii="Arial" w:eastAsia="Times New Roman" w:hAnsi="Arial" w:cs="Arial"/>
          <w:iCs/>
          <w:color w:val="000000"/>
          <w:szCs w:val="24"/>
          <w:lang w:eastAsia="es-MX"/>
        </w:rPr>
      </w:pPr>
    </w:p>
    <w:p w14:paraId="23AF8356"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UPQROO</w:t>
      </w:r>
      <w:r w:rsidRPr="003C200D">
        <w:rPr>
          <w:rFonts w:ascii="Arial" w:eastAsia="Times New Roman" w:hAnsi="Arial" w:cs="Arial"/>
          <w:b/>
          <w:iCs/>
          <w:color w:val="000000"/>
          <w:szCs w:val="24"/>
          <w:lang w:eastAsia="es-MX"/>
        </w:rPr>
        <w:tab/>
      </w:r>
    </w:p>
    <w:p w14:paraId="1F4E446C"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 xml:space="preserve">Universidad Politécnica de Quintana Roo </w:t>
      </w:r>
    </w:p>
    <w:p w14:paraId="18A3B655" w14:textId="77777777" w:rsidR="003C200D" w:rsidRPr="00FB1442" w:rsidRDefault="003C200D" w:rsidP="00FB1442">
      <w:pPr>
        <w:spacing w:after="0"/>
        <w:jc w:val="both"/>
        <w:rPr>
          <w:rFonts w:ascii="Arial" w:eastAsia="Times New Roman" w:hAnsi="Arial" w:cs="Arial"/>
          <w:iCs/>
          <w:color w:val="000000"/>
          <w:szCs w:val="24"/>
          <w:lang w:eastAsia="es-MX"/>
        </w:rPr>
      </w:pPr>
    </w:p>
    <w:p w14:paraId="5B969F36" w14:textId="77777777" w:rsidR="007354DD" w:rsidRPr="003C200D" w:rsidRDefault="009F5034" w:rsidP="00FB1442">
      <w:pPr>
        <w:spacing w:after="0"/>
        <w:jc w:val="both"/>
        <w:rPr>
          <w:rFonts w:ascii="Arial" w:eastAsia="Times New Roman" w:hAnsi="Arial" w:cs="Arial"/>
          <w:b/>
          <w:iCs/>
          <w:color w:val="000000"/>
          <w:szCs w:val="24"/>
          <w:lang w:eastAsia="es-MX"/>
        </w:rPr>
      </w:pPr>
      <w:r>
        <w:rPr>
          <w:rFonts w:ascii="Arial" w:eastAsia="Times New Roman" w:hAnsi="Arial" w:cs="Arial"/>
          <w:b/>
          <w:iCs/>
          <w:color w:val="000000"/>
          <w:szCs w:val="24"/>
          <w:lang w:eastAsia="es-MX"/>
        </w:rPr>
        <w:t>UAQ</w:t>
      </w:r>
      <w:r w:rsidR="00394641" w:rsidRPr="003C200D">
        <w:rPr>
          <w:rFonts w:ascii="Arial" w:eastAsia="Times New Roman" w:hAnsi="Arial" w:cs="Arial"/>
          <w:b/>
          <w:iCs/>
          <w:color w:val="000000"/>
          <w:szCs w:val="24"/>
          <w:lang w:eastAsia="es-MX"/>
        </w:rPr>
        <w:t>ROO</w:t>
      </w:r>
      <w:r w:rsidR="00394641" w:rsidRPr="003C200D">
        <w:rPr>
          <w:rFonts w:ascii="Arial" w:eastAsia="Times New Roman" w:hAnsi="Arial" w:cs="Arial"/>
          <w:b/>
          <w:iCs/>
          <w:color w:val="000000"/>
          <w:szCs w:val="24"/>
          <w:lang w:eastAsia="es-MX"/>
        </w:rPr>
        <w:tab/>
      </w:r>
    </w:p>
    <w:p w14:paraId="3C66CDA2"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Universidad</w:t>
      </w:r>
      <w:r w:rsidR="009F5034">
        <w:rPr>
          <w:rFonts w:ascii="Arial" w:eastAsia="Times New Roman" w:hAnsi="Arial" w:cs="Arial"/>
          <w:iCs/>
          <w:color w:val="000000"/>
          <w:szCs w:val="24"/>
          <w:lang w:eastAsia="es-MX"/>
        </w:rPr>
        <w:t xml:space="preserve"> Autónoma del Estado</w:t>
      </w:r>
      <w:r w:rsidRPr="00FB1442">
        <w:rPr>
          <w:rFonts w:ascii="Arial" w:eastAsia="Times New Roman" w:hAnsi="Arial" w:cs="Arial"/>
          <w:iCs/>
          <w:color w:val="000000"/>
          <w:szCs w:val="24"/>
          <w:lang w:eastAsia="es-MX"/>
        </w:rPr>
        <w:t xml:space="preserve"> de Quintana Roo</w:t>
      </w:r>
    </w:p>
    <w:p w14:paraId="4EEB92B9" w14:textId="77777777" w:rsidR="003C200D" w:rsidRPr="00FB1442" w:rsidRDefault="003C200D" w:rsidP="00FB1442">
      <w:pPr>
        <w:spacing w:after="0"/>
        <w:jc w:val="both"/>
        <w:rPr>
          <w:rFonts w:ascii="Arial" w:eastAsia="Times New Roman" w:hAnsi="Arial" w:cs="Arial"/>
          <w:iCs/>
          <w:color w:val="000000"/>
          <w:szCs w:val="24"/>
          <w:lang w:eastAsia="es-MX"/>
        </w:rPr>
      </w:pPr>
    </w:p>
    <w:p w14:paraId="3E689900"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UT CHETUMAL</w:t>
      </w:r>
      <w:r w:rsidRPr="003C200D">
        <w:rPr>
          <w:rFonts w:ascii="Arial" w:eastAsia="Times New Roman" w:hAnsi="Arial" w:cs="Arial"/>
          <w:b/>
          <w:iCs/>
          <w:color w:val="000000"/>
          <w:szCs w:val="24"/>
          <w:lang w:eastAsia="es-MX"/>
        </w:rPr>
        <w:tab/>
      </w:r>
    </w:p>
    <w:p w14:paraId="4DC26E04" w14:textId="77777777" w:rsidR="00394641"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Universidad Tecnológica de Chetumal</w:t>
      </w:r>
    </w:p>
    <w:p w14:paraId="37036133" w14:textId="77777777" w:rsidR="00D71B36" w:rsidRDefault="00D71B36" w:rsidP="00FB1442">
      <w:pPr>
        <w:spacing w:after="0"/>
        <w:jc w:val="both"/>
        <w:rPr>
          <w:rFonts w:ascii="Arial" w:eastAsia="Times New Roman" w:hAnsi="Arial" w:cs="Arial"/>
          <w:b/>
          <w:iCs/>
          <w:color w:val="000000"/>
          <w:szCs w:val="24"/>
          <w:lang w:eastAsia="es-MX"/>
        </w:rPr>
      </w:pPr>
    </w:p>
    <w:p w14:paraId="17B4C1E3"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UTC</w:t>
      </w:r>
      <w:r w:rsidRPr="003C200D">
        <w:rPr>
          <w:rFonts w:ascii="Arial" w:eastAsia="Times New Roman" w:hAnsi="Arial" w:cs="Arial"/>
          <w:b/>
          <w:iCs/>
          <w:color w:val="000000"/>
          <w:szCs w:val="24"/>
          <w:lang w:eastAsia="es-MX"/>
        </w:rPr>
        <w:tab/>
      </w:r>
    </w:p>
    <w:p w14:paraId="0C7EEB93" w14:textId="77777777" w:rsidR="00394641" w:rsidRPr="00FB1442"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 xml:space="preserve">Universidad Tecnológica de Cancún </w:t>
      </w:r>
    </w:p>
    <w:p w14:paraId="7C200C2A" w14:textId="77777777" w:rsidR="00D71B36" w:rsidRDefault="00D71B36" w:rsidP="00FB1442">
      <w:pPr>
        <w:spacing w:after="0"/>
        <w:jc w:val="both"/>
        <w:rPr>
          <w:rFonts w:ascii="Arial" w:eastAsia="Times New Roman" w:hAnsi="Arial" w:cs="Arial"/>
          <w:b/>
          <w:iCs/>
          <w:color w:val="000000"/>
          <w:szCs w:val="24"/>
          <w:lang w:eastAsia="es-MX"/>
        </w:rPr>
      </w:pPr>
    </w:p>
    <w:p w14:paraId="747F9613"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UTRM</w:t>
      </w:r>
      <w:r w:rsidRPr="003C200D">
        <w:rPr>
          <w:rFonts w:ascii="Arial" w:eastAsia="Times New Roman" w:hAnsi="Arial" w:cs="Arial"/>
          <w:b/>
          <w:iCs/>
          <w:color w:val="000000"/>
          <w:szCs w:val="24"/>
          <w:lang w:eastAsia="es-MX"/>
        </w:rPr>
        <w:tab/>
      </w:r>
    </w:p>
    <w:p w14:paraId="5DAD499E" w14:textId="77777777" w:rsidR="00394641" w:rsidRPr="00FB1442"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Universidad Tecnológica de la Riviera Maya</w:t>
      </w:r>
    </w:p>
    <w:p w14:paraId="5BEE0FD5" w14:textId="77777777" w:rsidR="007354DD" w:rsidRDefault="007354DD" w:rsidP="00394641">
      <w:pPr>
        <w:rPr>
          <w:lang w:val="es-ES" w:eastAsia="es-ES" w:bidi="es-ES"/>
        </w:rPr>
      </w:pPr>
    </w:p>
    <w:p w14:paraId="56E24BA0" w14:textId="77777777" w:rsidR="007354DD" w:rsidRPr="007354DD" w:rsidRDefault="007354DD" w:rsidP="007354DD">
      <w:pPr>
        <w:jc w:val="center"/>
        <w:rPr>
          <w:rFonts w:ascii="Arial" w:hAnsi="Arial" w:cs="Arial"/>
          <w:b/>
          <w:sz w:val="44"/>
          <w:lang w:val="es-ES" w:eastAsia="es-ES" w:bidi="es-ES"/>
        </w:rPr>
      </w:pPr>
      <w:r>
        <w:rPr>
          <w:rFonts w:ascii="Arial" w:hAnsi="Arial" w:cs="Arial"/>
          <w:b/>
          <w:sz w:val="44"/>
          <w:lang w:val="es-ES" w:eastAsia="es-ES" w:bidi="es-ES"/>
        </w:rPr>
        <w:t>V</w:t>
      </w:r>
    </w:p>
    <w:p w14:paraId="427C0C85" w14:textId="77777777" w:rsidR="007354DD" w:rsidRPr="003C200D" w:rsidRDefault="00394641" w:rsidP="00FB1442">
      <w:pPr>
        <w:spacing w:after="0"/>
        <w:jc w:val="both"/>
        <w:rPr>
          <w:rFonts w:ascii="Arial" w:eastAsia="Times New Roman" w:hAnsi="Arial" w:cs="Arial"/>
          <w:b/>
          <w:iCs/>
          <w:color w:val="000000"/>
          <w:szCs w:val="24"/>
          <w:lang w:eastAsia="es-MX"/>
        </w:rPr>
      </w:pPr>
      <w:r w:rsidRPr="003C200D">
        <w:rPr>
          <w:rFonts w:ascii="Arial" w:eastAsia="Times New Roman" w:hAnsi="Arial" w:cs="Arial"/>
          <w:b/>
          <w:iCs/>
          <w:color w:val="000000"/>
          <w:szCs w:val="24"/>
          <w:lang w:eastAsia="es-MX"/>
        </w:rPr>
        <w:t>VIP</w:t>
      </w:r>
      <w:r w:rsidR="004E1BA0">
        <w:rPr>
          <w:rFonts w:ascii="Arial" w:eastAsia="Times New Roman" w:hAnsi="Arial" w:cs="Arial"/>
          <w:b/>
          <w:iCs/>
          <w:color w:val="000000"/>
          <w:szCs w:val="24"/>
          <w:lang w:eastAsia="es-MX"/>
        </w:rPr>
        <w:t xml:space="preserve"> </w:t>
      </w:r>
      <w:r w:rsidRPr="003C200D">
        <w:rPr>
          <w:rFonts w:ascii="Arial" w:eastAsia="Times New Roman" w:hAnsi="Arial" w:cs="Arial"/>
          <w:b/>
          <w:iCs/>
          <w:color w:val="000000"/>
          <w:szCs w:val="24"/>
          <w:lang w:eastAsia="es-MX"/>
        </w:rPr>
        <w:t>S</w:t>
      </w:r>
      <w:r w:rsidR="004E1BA0">
        <w:rPr>
          <w:rFonts w:ascii="Arial" w:eastAsia="Times New Roman" w:hAnsi="Arial" w:cs="Arial"/>
          <w:b/>
          <w:iCs/>
          <w:color w:val="000000"/>
          <w:szCs w:val="24"/>
          <w:lang w:eastAsia="es-MX"/>
        </w:rPr>
        <w:t>.</w:t>
      </w:r>
      <w:r w:rsidRPr="003C200D">
        <w:rPr>
          <w:rFonts w:ascii="Arial" w:eastAsia="Times New Roman" w:hAnsi="Arial" w:cs="Arial"/>
          <w:b/>
          <w:iCs/>
          <w:color w:val="000000"/>
          <w:szCs w:val="24"/>
          <w:lang w:eastAsia="es-MX"/>
        </w:rPr>
        <w:t>A</w:t>
      </w:r>
      <w:r w:rsidR="004E1BA0">
        <w:rPr>
          <w:rFonts w:ascii="Arial" w:eastAsia="Times New Roman" w:hAnsi="Arial" w:cs="Arial"/>
          <w:b/>
          <w:iCs/>
          <w:color w:val="000000"/>
          <w:szCs w:val="24"/>
          <w:lang w:eastAsia="es-MX"/>
        </w:rPr>
        <w:t>.</w:t>
      </w:r>
      <w:r w:rsidRPr="003C200D">
        <w:rPr>
          <w:rFonts w:ascii="Arial" w:eastAsia="Times New Roman" w:hAnsi="Arial" w:cs="Arial"/>
          <w:b/>
          <w:iCs/>
          <w:color w:val="000000"/>
          <w:szCs w:val="24"/>
          <w:lang w:eastAsia="es-MX"/>
        </w:rPr>
        <w:t>E</w:t>
      </w:r>
      <w:r w:rsidR="004E1BA0">
        <w:rPr>
          <w:rFonts w:ascii="Arial" w:eastAsia="Times New Roman" w:hAnsi="Arial" w:cs="Arial"/>
          <w:b/>
          <w:iCs/>
          <w:color w:val="000000"/>
          <w:szCs w:val="24"/>
          <w:lang w:eastAsia="es-MX"/>
        </w:rPr>
        <w:t>.</w:t>
      </w:r>
      <w:r w:rsidRPr="003C200D">
        <w:rPr>
          <w:rFonts w:ascii="Arial" w:eastAsia="Times New Roman" w:hAnsi="Arial" w:cs="Arial"/>
          <w:b/>
          <w:iCs/>
          <w:color w:val="000000"/>
          <w:szCs w:val="24"/>
          <w:lang w:eastAsia="es-MX"/>
        </w:rPr>
        <w:t>S</w:t>
      </w:r>
      <w:r w:rsidR="004E1BA0">
        <w:rPr>
          <w:rFonts w:ascii="Arial" w:eastAsia="Times New Roman" w:hAnsi="Arial" w:cs="Arial"/>
          <w:b/>
          <w:iCs/>
          <w:color w:val="000000"/>
          <w:szCs w:val="24"/>
          <w:lang w:eastAsia="es-MX"/>
        </w:rPr>
        <w:t>.</w:t>
      </w:r>
      <w:r w:rsidRPr="003C200D">
        <w:rPr>
          <w:rFonts w:ascii="Arial" w:eastAsia="Times New Roman" w:hAnsi="Arial" w:cs="Arial"/>
          <w:b/>
          <w:iCs/>
          <w:color w:val="000000"/>
          <w:szCs w:val="24"/>
          <w:lang w:eastAsia="es-MX"/>
        </w:rPr>
        <w:t>A</w:t>
      </w:r>
      <w:r w:rsidRPr="003C200D">
        <w:rPr>
          <w:rFonts w:ascii="Arial" w:eastAsia="Times New Roman" w:hAnsi="Arial" w:cs="Arial"/>
          <w:b/>
          <w:iCs/>
          <w:color w:val="000000"/>
          <w:szCs w:val="24"/>
          <w:lang w:eastAsia="es-MX"/>
        </w:rPr>
        <w:tab/>
      </w:r>
    </w:p>
    <w:p w14:paraId="2BF92A87" w14:textId="77777777" w:rsidR="002A244C" w:rsidRPr="00FB1442" w:rsidRDefault="00394641" w:rsidP="00FB1442">
      <w:pPr>
        <w:spacing w:after="0"/>
        <w:jc w:val="both"/>
        <w:rPr>
          <w:rFonts w:ascii="Arial" w:eastAsia="Times New Roman" w:hAnsi="Arial" w:cs="Arial"/>
          <w:iCs/>
          <w:color w:val="000000"/>
          <w:szCs w:val="24"/>
          <w:lang w:eastAsia="es-MX"/>
        </w:rPr>
      </w:pPr>
      <w:r w:rsidRPr="00FB1442">
        <w:rPr>
          <w:rFonts w:ascii="Arial" w:eastAsia="Times New Roman" w:hAnsi="Arial" w:cs="Arial"/>
          <w:iCs/>
          <w:color w:val="000000"/>
          <w:szCs w:val="24"/>
          <w:lang w:eastAsia="es-MX"/>
        </w:rPr>
        <w:t>VIP Servicios Aéreos Ejecutivos S.A. de C.V.</w:t>
      </w:r>
    </w:p>
    <w:p w14:paraId="10E13937" w14:textId="77777777" w:rsidR="002A244C" w:rsidRDefault="002A244C" w:rsidP="006F722B">
      <w:pPr>
        <w:rPr>
          <w:lang w:val="es-ES" w:eastAsia="es-ES" w:bidi="es-ES"/>
        </w:rPr>
      </w:pPr>
    </w:p>
    <w:p w14:paraId="2B5CA0FD" w14:textId="77777777" w:rsidR="002A244C" w:rsidRDefault="002A244C" w:rsidP="006F722B">
      <w:pPr>
        <w:rPr>
          <w:lang w:val="es-ES" w:eastAsia="es-ES" w:bidi="es-ES"/>
        </w:rPr>
        <w:sectPr w:rsidR="002A244C" w:rsidSect="00747D75">
          <w:pgSz w:w="12240" w:h="15840"/>
          <w:pgMar w:top="1404" w:right="1701" w:bottom="993" w:left="1701" w:header="426" w:footer="708" w:gutter="0"/>
          <w:cols w:num="2" w:space="708"/>
          <w:docGrid w:linePitch="360"/>
        </w:sectPr>
      </w:pPr>
    </w:p>
    <w:p w14:paraId="1B98D19E" w14:textId="77777777" w:rsidR="003774BF" w:rsidRPr="0051253E" w:rsidRDefault="003774BF" w:rsidP="0051253E">
      <w:pPr>
        <w:pStyle w:val="Ttulo1"/>
        <w:rPr>
          <w:rFonts w:ascii="Arial" w:eastAsia="Arial" w:hAnsi="Arial" w:cs="Arial"/>
          <w:b/>
          <w:color w:val="auto"/>
          <w:sz w:val="28"/>
          <w:szCs w:val="24"/>
          <w:lang w:val="es-ES" w:eastAsia="es-ES" w:bidi="es-ES"/>
        </w:rPr>
      </w:pPr>
      <w:bookmarkStart w:id="1" w:name="_Toc158567465"/>
      <w:r w:rsidRPr="009F2C9A">
        <w:rPr>
          <w:rFonts w:ascii="Arial" w:eastAsia="Arial" w:hAnsi="Arial" w:cs="Arial"/>
          <w:b/>
          <w:color w:val="auto"/>
          <w:sz w:val="28"/>
          <w:szCs w:val="24"/>
          <w:lang w:val="es-ES" w:eastAsia="es-ES" w:bidi="es-ES"/>
        </w:rPr>
        <w:lastRenderedPageBreak/>
        <w:t>P</w:t>
      </w:r>
      <w:r w:rsidR="006F722B" w:rsidRPr="009F2C9A">
        <w:rPr>
          <w:rFonts w:ascii="Arial" w:eastAsia="Arial" w:hAnsi="Arial" w:cs="Arial"/>
          <w:b/>
          <w:color w:val="auto"/>
          <w:sz w:val="28"/>
          <w:szCs w:val="24"/>
          <w:lang w:val="es-ES" w:eastAsia="es-ES" w:bidi="es-ES"/>
        </w:rPr>
        <w:t>REFACIO</w:t>
      </w:r>
      <w:bookmarkEnd w:id="1"/>
    </w:p>
    <w:p w14:paraId="50AE6DB8" w14:textId="77777777" w:rsidR="00C41E57" w:rsidRPr="00B84374" w:rsidRDefault="00C41E57" w:rsidP="00C41E57">
      <w:pPr>
        <w:rPr>
          <w:rFonts w:ascii="Arial" w:eastAsia="Arial" w:hAnsi="Arial" w:cs="Arial"/>
          <w:sz w:val="16"/>
          <w:szCs w:val="16"/>
          <w:lang w:val="es-ES" w:eastAsia="es-ES" w:bidi="es-ES"/>
        </w:rPr>
      </w:pPr>
    </w:p>
    <w:p w14:paraId="4EB40515" w14:textId="77777777" w:rsidR="00B84374" w:rsidRDefault="00B84374" w:rsidP="00B84374">
      <w:pPr>
        <w:spacing w:line="276" w:lineRule="auto"/>
        <w:jc w:val="both"/>
        <w:rPr>
          <w:rFonts w:ascii="Arial" w:eastAsia="Arial" w:hAnsi="Arial" w:cs="Arial"/>
          <w:sz w:val="24"/>
          <w:szCs w:val="24"/>
          <w:lang w:val="es-ES" w:eastAsia="es-ES" w:bidi="es-ES"/>
        </w:rPr>
      </w:pPr>
      <w:r w:rsidRPr="00B84374">
        <w:rPr>
          <w:rFonts w:ascii="Arial" w:eastAsia="Arial" w:hAnsi="Arial" w:cs="Arial"/>
          <w:sz w:val="24"/>
          <w:szCs w:val="24"/>
          <w:lang w:val="es-ES" w:eastAsia="es-ES" w:bidi="es-ES"/>
        </w:rPr>
        <w:t>Con fundamento en los Artículos 35 y 36 de la Ley de Fiscalización y Redición de Cuentas del Estado de Quintana Roo, (LFRCEQROO), se presenta</w:t>
      </w:r>
      <w:r w:rsidR="00871C62">
        <w:rPr>
          <w:rFonts w:ascii="Arial" w:eastAsia="Arial" w:hAnsi="Arial" w:cs="Arial"/>
          <w:sz w:val="24"/>
          <w:szCs w:val="24"/>
          <w:lang w:val="es-ES" w:eastAsia="es-ES" w:bidi="es-ES"/>
        </w:rPr>
        <w:t xml:space="preserve"> </w:t>
      </w:r>
      <w:r w:rsidRPr="00B84374">
        <w:rPr>
          <w:rFonts w:ascii="Arial" w:eastAsia="Arial" w:hAnsi="Arial" w:cs="Arial"/>
          <w:sz w:val="24"/>
          <w:szCs w:val="24"/>
          <w:lang w:val="es-ES" w:eastAsia="es-ES" w:bidi="es-ES"/>
        </w:rPr>
        <w:t>el Informe General Ejecutivo (IGE), su contenido</w:t>
      </w:r>
      <w:r w:rsidR="00871C62">
        <w:rPr>
          <w:rFonts w:ascii="Arial" w:eastAsia="Arial" w:hAnsi="Arial" w:cs="Arial"/>
          <w:sz w:val="24"/>
          <w:szCs w:val="24"/>
          <w:lang w:val="es-ES" w:eastAsia="es-ES" w:bidi="es-ES"/>
        </w:rPr>
        <w:t xml:space="preserve"> </w:t>
      </w:r>
      <w:r w:rsidRPr="00B84374">
        <w:rPr>
          <w:rFonts w:ascii="Arial" w:eastAsia="Arial" w:hAnsi="Arial" w:cs="Arial"/>
          <w:sz w:val="24"/>
          <w:szCs w:val="24"/>
          <w:lang w:val="es-ES" w:eastAsia="es-ES" w:bidi="es-ES"/>
        </w:rPr>
        <w:t>rep</w:t>
      </w:r>
      <w:r w:rsidR="003611E0">
        <w:rPr>
          <w:rFonts w:ascii="Arial" w:eastAsia="Arial" w:hAnsi="Arial" w:cs="Arial"/>
          <w:sz w:val="24"/>
          <w:szCs w:val="24"/>
          <w:lang w:val="es-ES" w:eastAsia="es-ES" w:bidi="es-ES"/>
        </w:rPr>
        <w:t>resenta un complemento a los 153</w:t>
      </w:r>
      <w:r w:rsidRPr="00B84374">
        <w:rPr>
          <w:rFonts w:ascii="Arial" w:eastAsia="Arial" w:hAnsi="Arial" w:cs="Arial"/>
          <w:sz w:val="24"/>
          <w:szCs w:val="24"/>
          <w:lang w:val="es-ES" w:eastAsia="es-ES" w:bidi="es-ES"/>
        </w:rPr>
        <w:t xml:space="preserve"> informes individuales presentados ante la</w:t>
      </w:r>
      <w:r w:rsidR="00871C62">
        <w:rPr>
          <w:rFonts w:ascii="Arial" w:eastAsia="Arial" w:hAnsi="Arial" w:cs="Arial"/>
          <w:sz w:val="24"/>
          <w:szCs w:val="24"/>
          <w:lang w:val="es-ES" w:eastAsia="es-ES" w:bidi="es-ES"/>
        </w:rPr>
        <w:t xml:space="preserve"> </w:t>
      </w:r>
      <w:r w:rsidRPr="00B84374">
        <w:rPr>
          <w:rFonts w:ascii="Arial" w:eastAsia="Arial" w:hAnsi="Arial" w:cs="Arial"/>
          <w:sz w:val="24"/>
          <w:szCs w:val="24"/>
          <w:lang w:val="es-ES" w:eastAsia="es-ES" w:bidi="es-ES"/>
        </w:rPr>
        <w:t xml:space="preserve">Comisión de Hacienda, Presupuesto y Cuenta del H. Congreso del Estado, su finalidad es la de aportar un enfoque integral respecto de los </w:t>
      </w:r>
      <w:r w:rsidR="003611E0">
        <w:rPr>
          <w:rFonts w:ascii="Arial" w:eastAsia="Arial" w:hAnsi="Arial" w:cs="Arial"/>
          <w:sz w:val="24"/>
          <w:szCs w:val="24"/>
          <w:lang w:val="es-ES" w:eastAsia="es-ES" w:bidi="es-ES"/>
        </w:rPr>
        <w:t>resultados</w:t>
      </w:r>
      <w:r w:rsidRPr="00B84374">
        <w:rPr>
          <w:rFonts w:ascii="Arial" w:eastAsia="Arial" w:hAnsi="Arial" w:cs="Arial"/>
          <w:sz w:val="24"/>
          <w:szCs w:val="24"/>
          <w:lang w:val="es-ES" w:eastAsia="es-ES" w:bidi="es-ES"/>
        </w:rPr>
        <w:t xml:space="preserve"> relevantes que se relacionan con la </w:t>
      </w:r>
      <w:r w:rsidR="003611E0">
        <w:rPr>
          <w:rFonts w:ascii="Arial" w:eastAsia="Arial" w:hAnsi="Arial" w:cs="Arial"/>
          <w:sz w:val="24"/>
          <w:szCs w:val="24"/>
          <w:lang w:val="es-ES" w:eastAsia="es-ES" w:bidi="es-ES"/>
        </w:rPr>
        <w:t>totalidad</w:t>
      </w:r>
      <w:r w:rsidRPr="00B84374">
        <w:rPr>
          <w:rFonts w:ascii="Arial" w:eastAsia="Arial" w:hAnsi="Arial" w:cs="Arial"/>
          <w:sz w:val="24"/>
          <w:szCs w:val="24"/>
          <w:lang w:val="es-ES" w:eastAsia="es-ES" w:bidi="es-ES"/>
        </w:rPr>
        <w:t xml:space="preserve"> de </w:t>
      </w:r>
      <w:r w:rsidR="003611E0">
        <w:rPr>
          <w:rFonts w:ascii="Arial" w:eastAsia="Arial" w:hAnsi="Arial" w:cs="Arial"/>
          <w:sz w:val="24"/>
          <w:szCs w:val="24"/>
          <w:lang w:val="es-ES" w:eastAsia="es-ES" w:bidi="es-ES"/>
        </w:rPr>
        <w:t xml:space="preserve">las </w:t>
      </w:r>
      <w:r w:rsidRPr="00B84374">
        <w:rPr>
          <w:rFonts w:ascii="Arial" w:eastAsia="Arial" w:hAnsi="Arial" w:cs="Arial"/>
          <w:sz w:val="24"/>
          <w:szCs w:val="24"/>
          <w:lang w:val="es-ES" w:eastAsia="es-ES" w:bidi="es-ES"/>
        </w:rPr>
        <w:t>observaciones en las auditorías pract</w:t>
      </w:r>
      <w:r w:rsidR="007F180B">
        <w:rPr>
          <w:rFonts w:ascii="Arial" w:eastAsia="Arial" w:hAnsi="Arial" w:cs="Arial"/>
          <w:sz w:val="24"/>
          <w:szCs w:val="24"/>
          <w:lang w:val="es-ES" w:eastAsia="es-ES" w:bidi="es-ES"/>
        </w:rPr>
        <w:t>icadas a la Cuenta Pública del Ejercicio F</w:t>
      </w:r>
      <w:r w:rsidRPr="00B84374">
        <w:rPr>
          <w:rFonts w:ascii="Arial" w:eastAsia="Arial" w:hAnsi="Arial" w:cs="Arial"/>
          <w:sz w:val="24"/>
          <w:szCs w:val="24"/>
          <w:lang w:val="es-ES" w:eastAsia="es-ES" w:bidi="es-ES"/>
        </w:rPr>
        <w:t>iscal 202</w:t>
      </w:r>
      <w:r w:rsidR="003611E0">
        <w:rPr>
          <w:rFonts w:ascii="Arial" w:eastAsia="Arial" w:hAnsi="Arial" w:cs="Arial"/>
          <w:sz w:val="24"/>
          <w:szCs w:val="24"/>
          <w:lang w:val="es-ES" w:eastAsia="es-ES" w:bidi="es-ES"/>
        </w:rPr>
        <w:t>2</w:t>
      </w:r>
      <w:r w:rsidRPr="00B84374">
        <w:rPr>
          <w:rFonts w:ascii="Arial" w:eastAsia="Arial" w:hAnsi="Arial" w:cs="Arial"/>
          <w:sz w:val="24"/>
          <w:szCs w:val="24"/>
          <w:lang w:val="es-ES" w:eastAsia="es-ES" w:bidi="es-ES"/>
        </w:rPr>
        <w:t xml:space="preserve"> de las Entidades Fiscalizables que conforman el Gobierno del Estado de Quintana Roo.</w:t>
      </w:r>
    </w:p>
    <w:p w14:paraId="6B33DD47" w14:textId="77777777" w:rsidR="00B84374" w:rsidRPr="00B84374" w:rsidRDefault="00B84374" w:rsidP="00B84374">
      <w:pPr>
        <w:spacing w:after="0" w:line="276" w:lineRule="auto"/>
        <w:jc w:val="both"/>
        <w:rPr>
          <w:rFonts w:ascii="Arial" w:eastAsia="Arial" w:hAnsi="Arial" w:cs="Arial"/>
          <w:sz w:val="16"/>
          <w:szCs w:val="16"/>
          <w:lang w:val="es-ES" w:eastAsia="es-ES" w:bidi="es-ES"/>
        </w:rPr>
      </w:pPr>
    </w:p>
    <w:p w14:paraId="3FBCE727" w14:textId="77777777" w:rsidR="00B84374" w:rsidRDefault="00B84374" w:rsidP="00B84374">
      <w:pPr>
        <w:spacing w:line="276" w:lineRule="auto"/>
        <w:jc w:val="both"/>
        <w:rPr>
          <w:rFonts w:ascii="Arial" w:eastAsia="Arial" w:hAnsi="Arial" w:cs="Arial"/>
          <w:sz w:val="24"/>
          <w:szCs w:val="24"/>
          <w:lang w:val="es-ES" w:eastAsia="es-ES" w:bidi="es-ES"/>
        </w:rPr>
      </w:pPr>
      <w:r w:rsidRPr="00B84374">
        <w:rPr>
          <w:rFonts w:ascii="Arial" w:eastAsia="Arial" w:hAnsi="Arial" w:cs="Arial"/>
          <w:sz w:val="24"/>
          <w:szCs w:val="24"/>
          <w:lang w:val="es-ES" w:eastAsia="es-ES" w:bidi="es-ES"/>
        </w:rPr>
        <w:t>Este documento, constituye un vínculo entre la Auditoría Superior del Estado de Quintana Roo y el Sistema Estatal Anti</w:t>
      </w:r>
      <w:r w:rsidR="007F180B">
        <w:rPr>
          <w:rFonts w:ascii="Arial" w:eastAsia="Arial" w:hAnsi="Arial" w:cs="Arial"/>
          <w:sz w:val="24"/>
          <w:szCs w:val="24"/>
          <w:lang w:val="es-ES" w:eastAsia="es-ES" w:bidi="es-ES"/>
        </w:rPr>
        <w:t>corrupción, (SEA) como lo cita</w:t>
      </w:r>
      <w:r w:rsidRPr="00B84374">
        <w:rPr>
          <w:rFonts w:ascii="Arial" w:eastAsia="Arial" w:hAnsi="Arial" w:cs="Arial"/>
          <w:sz w:val="24"/>
          <w:szCs w:val="24"/>
          <w:lang w:val="es-ES" w:eastAsia="es-ES" w:bidi="es-ES"/>
        </w:rPr>
        <w:t xml:space="preserve"> la propia Ley en el artículo 35 en su segundo párrafo</w:t>
      </w:r>
      <w:r w:rsidR="007F180B">
        <w:rPr>
          <w:rFonts w:ascii="Arial" w:eastAsia="Arial" w:hAnsi="Arial" w:cs="Arial"/>
          <w:sz w:val="24"/>
          <w:szCs w:val="24"/>
          <w:lang w:val="es-ES" w:eastAsia="es-ES" w:bidi="es-ES"/>
        </w:rPr>
        <w:t xml:space="preserve"> </w:t>
      </w:r>
      <w:r w:rsidRPr="00B84374">
        <w:rPr>
          <w:rFonts w:ascii="Arial" w:eastAsia="Arial" w:hAnsi="Arial" w:cs="Arial"/>
          <w:sz w:val="24"/>
          <w:szCs w:val="24"/>
          <w:lang w:val="es-ES" w:eastAsia="es-ES" w:bidi="es-ES"/>
        </w:rPr>
        <w:t>y es</w:t>
      </w:r>
      <w:r w:rsidR="007F180B">
        <w:rPr>
          <w:rFonts w:ascii="Arial" w:eastAsia="Arial" w:hAnsi="Arial" w:cs="Arial"/>
          <w:sz w:val="24"/>
          <w:szCs w:val="24"/>
          <w:lang w:val="es-ES" w:eastAsia="es-ES" w:bidi="es-ES"/>
        </w:rPr>
        <w:t xml:space="preserve">tá integrado por </w:t>
      </w:r>
      <w:r w:rsidR="007F180B" w:rsidRPr="009F2C9A">
        <w:rPr>
          <w:rFonts w:ascii="Arial" w:eastAsia="Arial" w:hAnsi="Arial" w:cs="Arial"/>
          <w:sz w:val="24"/>
          <w:szCs w:val="24"/>
          <w:lang w:val="es-ES" w:eastAsia="es-ES" w:bidi="es-ES"/>
        </w:rPr>
        <w:t>6</w:t>
      </w:r>
      <w:r w:rsidR="001E130C">
        <w:rPr>
          <w:rFonts w:ascii="Arial" w:eastAsia="Arial" w:hAnsi="Arial" w:cs="Arial"/>
          <w:sz w:val="24"/>
          <w:szCs w:val="24"/>
          <w:lang w:val="es-ES" w:eastAsia="es-ES" w:bidi="es-ES"/>
        </w:rPr>
        <w:t xml:space="preserve"> capítulos y </w:t>
      </w:r>
      <w:r w:rsidR="001E130C" w:rsidRPr="009F2C9A">
        <w:rPr>
          <w:rFonts w:ascii="Arial" w:eastAsia="Arial" w:hAnsi="Arial" w:cs="Arial"/>
          <w:sz w:val="24"/>
          <w:szCs w:val="24"/>
          <w:lang w:val="es-ES" w:eastAsia="es-ES" w:bidi="es-ES"/>
        </w:rPr>
        <w:t>3</w:t>
      </w:r>
      <w:r w:rsidRPr="00B84374">
        <w:rPr>
          <w:rFonts w:ascii="Arial" w:eastAsia="Arial" w:hAnsi="Arial" w:cs="Arial"/>
          <w:sz w:val="24"/>
          <w:szCs w:val="24"/>
          <w:lang w:val="es-ES" w:eastAsia="es-ES" w:bidi="es-ES"/>
        </w:rPr>
        <w:t xml:space="preserve"> anexos.</w:t>
      </w:r>
    </w:p>
    <w:p w14:paraId="4CFC8E78" w14:textId="77777777" w:rsidR="00B84374" w:rsidRPr="00B84374" w:rsidRDefault="00B84374" w:rsidP="00B84374">
      <w:pPr>
        <w:spacing w:after="0" w:line="276" w:lineRule="auto"/>
        <w:jc w:val="both"/>
        <w:rPr>
          <w:rFonts w:ascii="Arial" w:eastAsia="Arial" w:hAnsi="Arial" w:cs="Arial"/>
          <w:sz w:val="16"/>
          <w:szCs w:val="16"/>
          <w:lang w:val="es-ES" w:eastAsia="es-ES" w:bidi="es-ES"/>
        </w:rPr>
      </w:pPr>
    </w:p>
    <w:p w14:paraId="0FF2807E" w14:textId="77777777" w:rsidR="00B84374" w:rsidRDefault="007F180B" w:rsidP="00B84374">
      <w:pPr>
        <w:spacing w:line="276" w:lineRule="auto"/>
        <w:jc w:val="both"/>
        <w:rPr>
          <w:rFonts w:ascii="Arial" w:eastAsia="Arial" w:hAnsi="Arial" w:cs="Arial"/>
          <w:sz w:val="24"/>
          <w:szCs w:val="24"/>
          <w:lang w:val="es-ES" w:eastAsia="es-ES" w:bidi="es-ES"/>
        </w:rPr>
      </w:pPr>
      <w:r>
        <w:rPr>
          <w:rFonts w:ascii="Arial" w:eastAsia="Arial" w:hAnsi="Arial" w:cs="Arial"/>
          <w:sz w:val="24"/>
          <w:szCs w:val="24"/>
          <w:lang w:val="es-ES" w:eastAsia="es-ES" w:bidi="es-ES"/>
        </w:rPr>
        <w:t xml:space="preserve">Este informe se conforma por </w:t>
      </w:r>
      <w:r w:rsidRPr="009F2C9A">
        <w:rPr>
          <w:rFonts w:ascii="Arial" w:eastAsia="Arial" w:hAnsi="Arial" w:cs="Arial"/>
          <w:sz w:val="24"/>
          <w:szCs w:val="24"/>
          <w:lang w:val="es-ES" w:eastAsia="es-ES" w:bidi="es-ES"/>
        </w:rPr>
        <w:t>6</w:t>
      </w:r>
      <w:r>
        <w:rPr>
          <w:rFonts w:ascii="Arial" w:eastAsia="Arial" w:hAnsi="Arial" w:cs="Arial"/>
          <w:sz w:val="24"/>
          <w:szCs w:val="24"/>
          <w:lang w:val="es-ES" w:eastAsia="es-ES" w:bidi="es-ES"/>
        </w:rPr>
        <w:t xml:space="preserve"> </w:t>
      </w:r>
      <w:r w:rsidR="00D9626B">
        <w:rPr>
          <w:rFonts w:ascii="Arial" w:eastAsia="Arial" w:hAnsi="Arial" w:cs="Arial"/>
          <w:sz w:val="24"/>
          <w:szCs w:val="24"/>
          <w:lang w:val="es-ES" w:eastAsia="es-ES" w:bidi="es-ES"/>
        </w:rPr>
        <w:t>capítulos</w:t>
      </w:r>
      <w:r>
        <w:rPr>
          <w:rFonts w:ascii="Arial" w:eastAsia="Arial" w:hAnsi="Arial" w:cs="Arial"/>
          <w:sz w:val="24"/>
          <w:szCs w:val="24"/>
          <w:lang w:val="es-ES" w:eastAsia="es-ES" w:bidi="es-ES"/>
        </w:rPr>
        <w:t xml:space="preserve"> </w:t>
      </w:r>
      <w:r w:rsidR="001E130C">
        <w:rPr>
          <w:rFonts w:ascii="Arial" w:eastAsia="Arial" w:hAnsi="Arial" w:cs="Arial"/>
          <w:sz w:val="24"/>
          <w:szCs w:val="24"/>
          <w:lang w:val="es-ES" w:eastAsia="es-ES" w:bidi="es-ES"/>
        </w:rPr>
        <w:t xml:space="preserve">y </w:t>
      </w:r>
      <w:r w:rsidR="001E130C" w:rsidRPr="009F2C9A">
        <w:rPr>
          <w:rFonts w:ascii="Arial" w:eastAsia="Arial" w:hAnsi="Arial" w:cs="Arial"/>
          <w:sz w:val="24"/>
          <w:szCs w:val="24"/>
          <w:lang w:val="es-ES" w:eastAsia="es-ES" w:bidi="es-ES"/>
        </w:rPr>
        <w:t>3</w:t>
      </w:r>
      <w:r w:rsidR="00D9626B">
        <w:rPr>
          <w:rFonts w:ascii="Arial" w:eastAsia="Arial" w:hAnsi="Arial" w:cs="Arial"/>
          <w:sz w:val="24"/>
          <w:szCs w:val="24"/>
          <w:lang w:val="es-ES" w:eastAsia="es-ES" w:bidi="es-ES"/>
        </w:rPr>
        <w:t xml:space="preserve"> anexos, e</w:t>
      </w:r>
      <w:r w:rsidR="00B84374" w:rsidRPr="00B84374">
        <w:rPr>
          <w:rFonts w:ascii="Arial" w:eastAsia="Arial" w:hAnsi="Arial" w:cs="Arial"/>
          <w:sz w:val="24"/>
          <w:szCs w:val="24"/>
          <w:lang w:val="es-ES" w:eastAsia="es-ES" w:bidi="es-ES"/>
        </w:rPr>
        <w:t>l capítulo uno,</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 xml:space="preserve">incluye: un resumen de las Auditorías realizadas, así como los resultados del proceso de fiscalización y la metodología utilizada, de manera adicional se </w:t>
      </w:r>
      <w:r w:rsidR="00D9626B">
        <w:rPr>
          <w:rFonts w:ascii="Arial" w:eastAsia="Arial" w:hAnsi="Arial" w:cs="Arial"/>
          <w:sz w:val="24"/>
          <w:szCs w:val="24"/>
          <w:lang w:val="es-ES" w:eastAsia="es-ES" w:bidi="es-ES"/>
        </w:rPr>
        <w:t>presenta un comparativo de los 5</w:t>
      </w:r>
      <w:r w:rsidR="00B84374" w:rsidRPr="00B84374">
        <w:rPr>
          <w:rFonts w:ascii="Arial" w:eastAsia="Arial" w:hAnsi="Arial" w:cs="Arial"/>
          <w:sz w:val="24"/>
          <w:szCs w:val="24"/>
          <w:lang w:val="es-ES" w:eastAsia="es-ES" w:bidi="es-ES"/>
        </w:rPr>
        <w:t xml:space="preserve"> últimos ejercicios fiscalizados; en el</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capítulo dos,</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se integran</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 xml:space="preserve"> las</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áreas claves de riesgo, así como la metodología utilizada para identificarlas,</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con la finalidad de contribuir a la mejora de la gestión de cada una de las entidades fiscalizables;</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en el</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capítulo tres,</w:t>
      </w:r>
      <w:r w:rsidR="00D9626B">
        <w:rPr>
          <w:rFonts w:ascii="Arial" w:eastAsia="Arial" w:hAnsi="Arial" w:cs="Arial"/>
          <w:sz w:val="24"/>
          <w:szCs w:val="24"/>
          <w:lang w:val="es-ES" w:eastAsia="es-ES" w:bidi="es-ES"/>
        </w:rPr>
        <w:t xml:space="preserve"> se integra un resumen de los resultados de la gestión financiera y los informes, </w:t>
      </w:r>
      <w:r w:rsidR="00B84374" w:rsidRPr="00B84374">
        <w:rPr>
          <w:rFonts w:ascii="Arial" w:eastAsia="Arial" w:hAnsi="Arial" w:cs="Arial"/>
          <w:sz w:val="24"/>
          <w:szCs w:val="24"/>
          <w:lang w:val="es-ES" w:eastAsia="es-ES" w:bidi="es-ES"/>
        </w:rPr>
        <w:t>se integra un informe de la deuda pública fiscalizada del Gobierno del Estado de Quintana Roo, tanto del Sector Est</w:t>
      </w:r>
      <w:r w:rsidR="00D9626B">
        <w:rPr>
          <w:rFonts w:ascii="Arial" w:eastAsia="Arial" w:hAnsi="Arial" w:cs="Arial"/>
          <w:sz w:val="24"/>
          <w:szCs w:val="24"/>
          <w:lang w:val="es-ES" w:eastAsia="es-ES" w:bidi="es-ES"/>
        </w:rPr>
        <w:t xml:space="preserve">atal como del Sector Municipal; </w:t>
      </w:r>
      <w:r w:rsidR="00B84374" w:rsidRPr="00B84374">
        <w:rPr>
          <w:rFonts w:ascii="Arial" w:eastAsia="Arial" w:hAnsi="Arial" w:cs="Arial"/>
          <w:sz w:val="24"/>
          <w:szCs w:val="24"/>
          <w:lang w:val="es-ES" w:eastAsia="es-ES" w:bidi="es-ES"/>
        </w:rPr>
        <w:t>de manera específica y en cumplimiento al Artículo 36 de la LFRCEQROO se incluye en</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el</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capítulo cuatro, una propuesta de modificaciones y reformas legislativas que impactan en la función fiscalizadora y coadyuvan a la mejora de la gestión financiera de las Entidades Fiscalizables; en el capítulo cinco,</w:t>
      </w:r>
      <w:r w:rsidR="00871C62">
        <w:rPr>
          <w:rFonts w:ascii="Arial" w:eastAsia="Arial" w:hAnsi="Arial" w:cs="Arial"/>
          <w:sz w:val="24"/>
          <w:szCs w:val="24"/>
          <w:lang w:val="es-ES" w:eastAsia="es-ES" w:bidi="es-ES"/>
        </w:rPr>
        <w:t xml:space="preserve"> </w:t>
      </w:r>
      <w:r w:rsidR="00B84374" w:rsidRPr="00B84374">
        <w:rPr>
          <w:rFonts w:ascii="Arial" w:eastAsia="Arial" w:hAnsi="Arial" w:cs="Arial"/>
          <w:sz w:val="24"/>
          <w:szCs w:val="24"/>
          <w:lang w:val="es-ES" w:eastAsia="es-ES" w:bidi="es-ES"/>
        </w:rPr>
        <w:t>se presenta un análisis sobre las proyecciones de las finanzas públicas contenidas en los criterios generales de política económi</w:t>
      </w:r>
      <w:r w:rsidR="003611E0">
        <w:rPr>
          <w:rFonts w:ascii="Arial" w:eastAsia="Arial" w:hAnsi="Arial" w:cs="Arial"/>
          <w:sz w:val="24"/>
          <w:szCs w:val="24"/>
          <w:lang w:val="es-ES" w:eastAsia="es-ES" w:bidi="es-ES"/>
        </w:rPr>
        <w:t>ca para el ejercicio fiscal 2022</w:t>
      </w:r>
      <w:r w:rsidR="00B84374" w:rsidRPr="00B84374">
        <w:rPr>
          <w:rFonts w:ascii="Arial" w:eastAsia="Arial" w:hAnsi="Arial" w:cs="Arial"/>
          <w:sz w:val="24"/>
          <w:szCs w:val="24"/>
          <w:lang w:val="es-ES" w:eastAsia="es-ES" w:bidi="es-ES"/>
        </w:rPr>
        <w:t xml:space="preserve"> y los datos observados al final del ejercicio.</w:t>
      </w:r>
    </w:p>
    <w:p w14:paraId="65380EA7" w14:textId="77777777" w:rsidR="00B84374" w:rsidRPr="00B84374" w:rsidRDefault="00B84374" w:rsidP="00B84374">
      <w:pPr>
        <w:spacing w:after="0" w:line="276" w:lineRule="auto"/>
        <w:jc w:val="both"/>
        <w:rPr>
          <w:rFonts w:ascii="Arial" w:eastAsia="Arial" w:hAnsi="Arial" w:cs="Arial"/>
          <w:sz w:val="16"/>
          <w:szCs w:val="16"/>
          <w:lang w:val="es-ES" w:eastAsia="es-ES" w:bidi="es-ES"/>
        </w:rPr>
      </w:pPr>
    </w:p>
    <w:p w14:paraId="3297154E" w14:textId="77777777" w:rsidR="00B84374" w:rsidRDefault="00B84374" w:rsidP="00B84374">
      <w:pPr>
        <w:spacing w:line="276" w:lineRule="auto"/>
        <w:jc w:val="both"/>
        <w:rPr>
          <w:rFonts w:ascii="Arial" w:eastAsia="Arial" w:hAnsi="Arial" w:cs="Arial"/>
          <w:sz w:val="24"/>
          <w:szCs w:val="24"/>
          <w:lang w:val="es-ES" w:eastAsia="es-ES" w:bidi="es-ES"/>
        </w:rPr>
      </w:pPr>
      <w:r w:rsidRPr="00B84374">
        <w:rPr>
          <w:rFonts w:ascii="Arial" w:eastAsia="Arial" w:hAnsi="Arial" w:cs="Arial"/>
          <w:sz w:val="24"/>
          <w:szCs w:val="24"/>
          <w:lang w:val="es-ES" w:eastAsia="es-ES" w:bidi="es-ES"/>
        </w:rPr>
        <w:t>Por recomendación de la H. Comisión de Hacienda</w:t>
      </w:r>
      <w:r w:rsidR="00871C62">
        <w:rPr>
          <w:rFonts w:ascii="Arial" w:eastAsia="Arial" w:hAnsi="Arial" w:cs="Arial"/>
          <w:sz w:val="24"/>
          <w:szCs w:val="24"/>
          <w:lang w:val="es-ES" w:eastAsia="es-ES" w:bidi="es-ES"/>
        </w:rPr>
        <w:t>,</w:t>
      </w:r>
      <w:r w:rsidRPr="00B84374">
        <w:rPr>
          <w:rFonts w:ascii="Arial" w:eastAsia="Arial" w:hAnsi="Arial" w:cs="Arial"/>
          <w:sz w:val="24"/>
          <w:szCs w:val="24"/>
          <w:lang w:val="es-ES" w:eastAsia="es-ES" w:bidi="es-ES"/>
        </w:rPr>
        <w:t xml:space="preserve"> Presupuesto y Cuenta se integra en </w:t>
      </w:r>
      <w:r w:rsidRPr="009F2C9A">
        <w:rPr>
          <w:rFonts w:ascii="Arial" w:eastAsia="Arial" w:hAnsi="Arial" w:cs="Arial"/>
          <w:sz w:val="24"/>
          <w:szCs w:val="24"/>
          <w:lang w:val="es-ES" w:eastAsia="es-ES" w:bidi="es-ES"/>
        </w:rPr>
        <w:t xml:space="preserve">el capítulo </w:t>
      </w:r>
      <w:r w:rsidR="00D9626B" w:rsidRPr="009F2C9A">
        <w:rPr>
          <w:rFonts w:ascii="Arial" w:eastAsia="Arial" w:hAnsi="Arial" w:cs="Arial"/>
          <w:sz w:val="24"/>
          <w:szCs w:val="24"/>
          <w:lang w:val="es-ES" w:eastAsia="es-ES" w:bidi="es-ES"/>
        </w:rPr>
        <w:t>seis,</w:t>
      </w:r>
      <w:r w:rsidR="00D9626B" w:rsidRPr="00B84374">
        <w:rPr>
          <w:rFonts w:ascii="Arial" w:eastAsia="Arial" w:hAnsi="Arial" w:cs="Arial"/>
          <w:sz w:val="24"/>
          <w:szCs w:val="24"/>
          <w:lang w:val="es-ES" w:eastAsia="es-ES" w:bidi="es-ES"/>
        </w:rPr>
        <w:t xml:space="preserve"> un</w:t>
      </w:r>
      <w:r w:rsidRPr="00B84374">
        <w:rPr>
          <w:rFonts w:ascii="Arial" w:eastAsia="Arial" w:hAnsi="Arial" w:cs="Arial"/>
          <w:sz w:val="24"/>
          <w:szCs w:val="24"/>
          <w:lang w:val="es-ES" w:eastAsia="es-ES" w:bidi="es-ES"/>
        </w:rPr>
        <w:t xml:space="preserve"> análisis concentrado de los Informes de Avance de Gestión Financiera, del flujo contable de ingresos, egresos y del cumplimiento</w:t>
      </w:r>
      <w:r w:rsidR="00D9626B">
        <w:rPr>
          <w:rFonts w:ascii="Arial" w:eastAsia="Arial" w:hAnsi="Arial" w:cs="Arial"/>
          <w:sz w:val="24"/>
          <w:szCs w:val="24"/>
          <w:lang w:val="es-ES" w:eastAsia="es-ES" w:bidi="es-ES"/>
        </w:rPr>
        <w:t xml:space="preserve"> de los programas y objetivos</w:t>
      </w:r>
      <w:r w:rsidR="003611E0">
        <w:rPr>
          <w:rFonts w:ascii="Arial" w:eastAsia="Arial" w:hAnsi="Arial" w:cs="Arial"/>
          <w:sz w:val="24"/>
          <w:szCs w:val="24"/>
          <w:lang w:val="es-ES" w:eastAsia="es-ES" w:bidi="es-ES"/>
        </w:rPr>
        <w:t>; así mismo, se detalla las observaciones y recomendaciones que se derivaron de la auditoría de evaluación de desempeño efectuada a este Órgano Fiscalizador</w:t>
      </w:r>
      <w:r w:rsidR="00D9626B">
        <w:rPr>
          <w:rFonts w:ascii="Arial" w:eastAsia="Arial" w:hAnsi="Arial" w:cs="Arial"/>
          <w:sz w:val="24"/>
          <w:szCs w:val="24"/>
          <w:lang w:val="es-ES" w:eastAsia="es-ES" w:bidi="es-ES"/>
        </w:rPr>
        <w:t>.</w:t>
      </w:r>
    </w:p>
    <w:p w14:paraId="691915BE" w14:textId="77777777" w:rsidR="00D9626B" w:rsidRDefault="00D9626B" w:rsidP="00B84374">
      <w:pPr>
        <w:spacing w:line="276" w:lineRule="auto"/>
        <w:jc w:val="both"/>
        <w:rPr>
          <w:rFonts w:ascii="Arial" w:eastAsia="Arial" w:hAnsi="Arial" w:cs="Arial"/>
          <w:sz w:val="24"/>
          <w:szCs w:val="24"/>
          <w:lang w:val="es-ES" w:eastAsia="es-ES" w:bidi="es-ES"/>
        </w:rPr>
      </w:pPr>
      <w:r>
        <w:rPr>
          <w:rFonts w:ascii="Arial" w:eastAsia="Arial" w:hAnsi="Arial" w:cs="Arial"/>
          <w:sz w:val="24"/>
          <w:szCs w:val="24"/>
          <w:lang w:val="es-ES" w:eastAsia="es-ES" w:bidi="es-ES"/>
        </w:rPr>
        <w:lastRenderedPageBreak/>
        <w:t>Complementa el citado informe los siguientes anexos:</w:t>
      </w:r>
    </w:p>
    <w:p w14:paraId="02641403" w14:textId="77777777" w:rsidR="009F2C9A" w:rsidRPr="009F2C9A" w:rsidRDefault="009F2C9A" w:rsidP="00B84374">
      <w:pPr>
        <w:spacing w:line="276" w:lineRule="auto"/>
        <w:jc w:val="both"/>
        <w:rPr>
          <w:rFonts w:ascii="Arial" w:eastAsia="Arial" w:hAnsi="Arial" w:cs="Arial"/>
          <w:sz w:val="8"/>
          <w:szCs w:val="8"/>
          <w:lang w:val="es-ES" w:eastAsia="es-ES" w:bidi="es-ES"/>
        </w:rPr>
      </w:pPr>
    </w:p>
    <w:p w14:paraId="54605F7A" w14:textId="77777777" w:rsidR="00B84374" w:rsidRDefault="00B84374" w:rsidP="00B84374">
      <w:pPr>
        <w:spacing w:line="276" w:lineRule="auto"/>
        <w:jc w:val="both"/>
        <w:rPr>
          <w:rFonts w:ascii="Arial" w:hAnsi="Arial" w:cs="Arial"/>
          <w:sz w:val="24"/>
          <w:szCs w:val="24"/>
        </w:rPr>
      </w:pPr>
      <w:r w:rsidRPr="00D9626B">
        <w:rPr>
          <w:rFonts w:ascii="Arial" w:eastAsia="Arial" w:hAnsi="Arial" w:cs="Arial"/>
          <w:sz w:val="24"/>
          <w:szCs w:val="24"/>
          <w:lang w:val="es-ES" w:eastAsia="es-ES" w:bidi="es-ES"/>
        </w:rPr>
        <w:t xml:space="preserve">Anexo 1:  </w:t>
      </w:r>
      <w:r w:rsidR="00D9626B">
        <w:rPr>
          <w:rFonts w:ascii="Arial" w:hAnsi="Arial" w:cs="Arial"/>
          <w:sz w:val="24"/>
          <w:szCs w:val="24"/>
        </w:rPr>
        <w:t>Nota Metodológica</w:t>
      </w:r>
      <w:r w:rsidR="00A459DF">
        <w:rPr>
          <w:rFonts w:ascii="Arial" w:hAnsi="Arial" w:cs="Arial"/>
          <w:sz w:val="24"/>
          <w:szCs w:val="24"/>
        </w:rPr>
        <w:t xml:space="preserve"> del Diseño de la Muestra Objeto de Estudio</w:t>
      </w:r>
      <w:r w:rsidR="00264F6C">
        <w:rPr>
          <w:rFonts w:ascii="Arial" w:hAnsi="Arial" w:cs="Arial"/>
          <w:sz w:val="24"/>
          <w:szCs w:val="24"/>
        </w:rPr>
        <w:t>.</w:t>
      </w:r>
      <w:r w:rsidR="00D9626B">
        <w:rPr>
          <w:rFonts w:ascii="Arial" w:hAnsi="Arial" w:cs="Arial"/>
          <w:sz w:val="24"/>
          <w:szCs w:val="24"/>
        </w:rPr>
        <w:t xml:space="preserve"> </w:t>
      </w:r>
    </w:p>
    <w:p w14:paraId="103BA17E" w14:textId="77777777" w:rsidR="009F2C9A" w:rsidRPr="009F2C9A" w:rsidRDefault="009F2C9A" w:rsidP="00B84374">
      <w:pPr>
        <w:spacing w:line="276" w:lineRule="auto"/>
        <w:jc w:val="both"/>
        <w:rPr>
          <w:rFonts w:ascii="Arial" w:eastAsia="Arial" w:hAnsi="Arial" w:cs="Arial"/>
          <w:sz w:val="8"/>
          <w:szCs w:val="8"/>
          <w:lang w:val="es-ES" w:eastAsia="es-ES" w:bidi="es-ES"/>
        </w:rPr>
      </w:pPr>
    </w:p>
    <w:p w14:paraId="5AAF24E8" w14:textId="77777777" w:rsidR="00871C62" w:rsidRDefault="00B84374" w:rsidP="00871C62">
      <w:pPr>
        <w:spacing w:line="276" w:lineRule="auto"/>
        <w:jc w:val="both"/>
        <w:rPr>
          <w:rFonts w:ascii="Arial" w:eastAsia="Arial" w:hAnsi="Arial" w:cs="Arial"/>
          <w:sz w:val="24"/>
          <w:szCs w:val="24"/>
          <w:lang w:val="es-ES" w:eastAsia="es-ES" w:bidi="es-ES"/>
        </w:rPr>
      </w:pPr>
      <w:r>
        <w:rPr>
          <w:rFonts w:ascii="Arial" w:eastAsia="Arial" w:hAnsi="Arial" w:cs="Arial"/>
          <w:sz w:val="24"/>
          <w:szCs w:val="24"/>
          <w:lang w:val="es-ES" w:eastAsia="es-ES" w:bidi="es-ES"/>
        </w:rPr>
        <w:t>Anexo 2</w:t>
      </w:r>
      <w:r w:rsidR="00A459DF">
        <w:rPr>
          <w:rFonts w:ascii="Arial" w:eastAsia="Arial" w:hAnsi="Arial" w:cs="Arial"/>
          <w:sz w:val="24"/>
          <w:szCs w:val="24"/>
          <w:lang w:val="es-ES" w:eastAsia="es-ES" w:bidi="es-ES"/>
        </w:rPr>
        <w:t xml:space="preserve">:  </w:t>
      </w:r>
      <w:r w:rsidRPr="00B84374">
        <w:rPr>
          <w:rFonts w:ascii="Arial" w:eastAsia="Arial" w:hAnsi="Arial" w:cs="Arial"/>
          <w:sz w:val="24"/>
          <w:szCs w:val="24"/>
          <w:lang w:val="es-ES" w:eastAsia="es-ES" w:bidi="es-ES"/>
        </w:rPr>
        <w:t>Programa Anual de Auditorías, Visitas e I</w:t>
      </w:r>
      <w:r w:rsidR="00871C62">
        <w:rPr>
          <w:rFonts w:ascii="Arial" w:eastAsia="Arial" w:hAnsi="Arial" w:cs="Arial"/>
          <w:sz w:val="24"/>
          <w:szCs w:val="24"/>
          <w:lang w:val="es-ES" w:eastAsia="es-ES" w:bidi="es-ES"/>
        </w:rPr>
        <w:t>nspecciones 2023</w:t>
      </w:r>
      <w:r w:rsidRPr="00B84374">
        <w:rPr>
          <w:rFonts w:ascii="Arial" w:eastAsia="Arial" w:hAnsi="Arial" w:cs="Arial"/>
          <w:sz w:val="24"/>
          <w:szCs w:val="24"/>
          <w:lang w:val="es-ES" w:eastAsia="es-ES" w:bidi="es-ES"/>
        </w:rPr>
        <w:t xml:space="preserve"> (PAAVI)</w:t>
      </w:r>
      <w:r w:rsidR="00871C62">
        <w:rPr>
          <w:rFonts w:ascii="Arial" w:eastAsia="Arial" w:hAnsi="Arial" w:cs="Arial"/>
          <w:sz w:val="24"/>
          <w:szCs w:val="24"/>
          <w:lang w:val="es-ES" w:eastAsia="es-ES" w:bidi="es-ES"/>
        </w:rPr>
        <w:t>,</w:t>
      </w:r>
      <w:r w:rsidR="00A459DF">
        <w:rPr>
          <w:rFonts w:ascii="Arial" w:eastAsia="Arial" w:hAnsi="Arial" w:cs="Arial"/>
          <w:sz w:val="24"/>
          <w:szCs w:val="24"/>
          <w:lang w:val="es-ES" w:eastAsia="es-ES" w:bidi="es-ES"/>
        </w:rPr>
        <w:t xml:space="preserve"> </w:t>
      </w:r>
    </w:p>
    <w:p w14:paraId="0C27B2B9" w14:textId="77777777" w:rsidR="00B84374" w:rsidRDefault="00A459DF" w:rsidP="00871C62">
      <w:pPr>
        <w:spacing w:line="276" w:lineRule="auto"/>
        <w:ind w:firstLine="1134"/>
        <w:jc w:val="both"/>
        <w:rPr>
          <w:rFonts w:ascii="Arial" w:eastAsia="Arial" w:hAnsi="Arial" w:cs="Arial"/>
          <w:sz w:val="24"/>
          <w:szCs w:val="24"/>
          <w:lang w:val="es-ES" w:eastAsia="es-ES" w:bidi="es-ES"/>
        </w:rPr>
      </w:pPr>
      <w:r>
        <w:rPr>
          <w:rFonts w:ascii="Arial" w:eastAsia="Arial" w:hAnsi="Arial" w:cs="Arial"/>
          <w:sz w:val="24"/>
          <w:szCs w:val="24"/>
          <w:lang w:val="es-ES" w:eastAsia="es-ES" w:bidi="es-ES"/>
        </w:rPr>
        <w:t>en cumplimiento al artículo 19 segundo párrafo de la LFRCEQROO</w:t>
      </w:r>
      <w:r w:rsidR="00B84374" w:rsidRPr="00B84374">
        <w:rPr>
          <w:rFonts w:ascii="Arial" w:eastAsia="Arial" w:hAnsi="Arial" w:cs="Arial"/>
          <w:sz w:val="24"/>
          <w:szCs w:val="24"/>
          <w:lang w:val="es-ES" w:eastAsia="es-ES" w:bidi="es-ES"/>
        </w:rPr>
        <w:t>.</w:t>
      </w:r>
    </w:p>
    <w:p w14:paraId="6A001FE6" w14:textId="77777777" w:rsidR="009F2C9A" w:rsidRPr="009F2C9A" w:rsidRDefault="009F2C9A" w:rsidP="00871C62">
      <w:pPr>
        <w:spacing w:line="276" w:lineRule="auto"/>
        <w:ind w:firstLine="1134"/>
        <w:jc w:val="both"/>
        <w:rPr>
          <w:rFonts w:ascii="Arial" w:eastAsia="Arial" w:hAnsi="Arial" w:cs="Arial"/>
          <w:sz w:val="8"/>
          <w:szCs w:val="8"/>
          <w:lang w:val="es-ES" w:eastAsia="es-ES" w:bidi="es-ES"/>
        </w:rPr>
      </w:pPr>
    </w:p>
    <w:p w14:paraId="21D49957" w14:textId="77777777" w:rsidR="00C41E57" w:rsidRDefault="00B84374" w:rsidP="00B84374">
      <w:pPr>
        <w:spacing w:line="276" w:lineRule="auto"/>
        <w:jc w:val="both"/>
        <w:rPr>
          <w:rFonts w:ascii="Arial" w:eastAsia="Arial" w:hAnsi="Arial" w:cs="Arial"/>
          <w:sz w:val="24"/>
          <w:szCs w:val="24"/>
          <w:lang w:val="es-ES" w:eastAsia="es-ES" w:bidi="es-ES"/>
        </w:rPr>
      </w:pPr>
      <w:r>
        <w:rPr>
          <w:rFonts w:ascii="Arial" w:eastAsia="Arial" w:hAnsi="Arial" w:cs="Arial"/>
          <w:sz w:val="24"/>
          <w:szCs w:val="24"/>
          <w:lang w:val="es-ES" w:eastAsia="es-ES" w:bidi="es-ES"/>
        </w:rPr>
        <w:t>Anexo 3</w:t>
      </w:r>
      <w:r w:rsidR="00A459DF">
        <w:rPr>
          <w:rFonts w:ascii="Arial" w:eastAsia="Arial" w:hAnsi="Arial" w:cs="Arial"/>
          <w:sz w:val="24"/>
          <w:szCs w:val="24"/>
          <w:lang w:val="es-ES" w:eastAsia="es-ES" w:bidi="es-ES"/>
        </w:rPr>
        <w:t xml:space="preserve">: </w:t>
      </w:r>
      <w:r w:rsidR="00871C62">
        <w:rPr>
          <w:rFonts w:ascii="Arial" w:eastAsia="Arial" w:hAnsi="Arial" w:cs="Arial"/>
          <w:sz w:val="24"/>
          <w:szCs w:val="24"/>
          <w:lang w:val="es-ES" w:eastAsia="es-ES" w:bidi="es-ES"/>
        </w:rPr>
        <w:t xml:space="preserve"> </w:t>
      </w:r>
      <w:r w:rsidR="00A459DF">
        <w:rPr>
          <w:rFonts w:ascii="Arial" w:eastAsia="Arial" w:hAnsi="Arial" w:cs="Arial"/>
          <w:sz w:val="24"/>
          <w:szCs w:val="24"/>
          <w:lang w:val="es-ES" w:eastAsia="es-ES" w:bidi="es-ES"/>
        </w:rPr>
        <w:t>Principales Infografías de Auditorias Concluidas.</w:t>
      </w:r>
    </w:p>
    <w:p w14:paraId="740B6FD3" w14:textId="77777777" w:rsidR="00C41E57" w:rsidRDefault="00C41E57" w:rsidP="00C41E57">
      <w:pPr>
        <w:rPr>
          <w:rFonts w:ascii="Arial" w:eastAsia="Arial" w:hAnsi="Arial" w:cs="Arial"/>
          <w:sz w:val="24"/>
          <w:szCs w:val="24"/>
          <w:lang w:val="es-ES" w:eastAsia="es-ES" w:bidi="es-ES"/>
        </w:rPr>
      </w:pPr>
    </w:p>
    <w:p w14:paraId="75CDEDF5" w14:textId="77777777" w:rsidR="00C41E57" w:rsidRDefault="00C41E57" w:rsidP="00C41E57">
      <w:pPr>
        <w:rPr>
          <w:rFonts w:ascii="Arial" w:eastAsia="Arial" w:hAnsi="Arial" w:cs="Arial"/>
          <w:sz w:val="24"/>
          <w:szCs w:val="24"/>
          <w:lang w:val="es-ES" w:eastAsia="es-ES" w:bidi="es-ES"/>
        </w:rPr>
      </w:pPr>
    </w:p>
    <w:p w14:paraId="782EB707" w14:textId="77777777" w:rsidR="00C41E57" w:rsidRDefault="00C41E57" w:rsidP="00C41E57">
      <w:pPr>
        <w:rPr>
          <w:rFonts w:ascii="Arial" w:eastAsia="Arial" w:hAnsi="Arial" w:cs="Arial"/>
          <w:sz w:val="24"/>
          <w:szCs w:val="24"/>
          <w:lang w:val="es-ES" w:eastAsia="es-ES" w:bidi="es-ES"/>
        </w:rPr>
      </w:pPr>
    </w:p>
    <w:p w14:paraId="33307E75" w14:textId="77777777" w:rsidR="00C41E57" w:rsidRDefault="00C41E57" w:rsidP="00C41E57">
      <w:pPr>
        <w:rPr>
          <w:rFonts w:ascii="Arial" w:eastAsia="Arial" w:hAnsi="Arial" w:cs="Arial"/>
          <w:sz w:val="24"/>
          <w:szCs w:val="24"/>
          <w:lang w:val="es-ES" w:eastAsia="es-ES" w:bidi="es-ES"/>
        </w:rPr>
      </w:pPr>
    </w:p>
    <w:p w14:paraId="66700C2B" w14:textId="77777777" w:rsidR="00C41E57" w:rsidRDefault="00C41E57" w:rsidP="00C41E57">
      <w:pPr>
        <w:rPr>
          <w:rFonts w:ascii="Arial" w:eastAsia="Arial" w:hAnsi="Arial" w:cs="Arial"/>
          <w:sz w:val="24"/>
          <w:szCs w:val="24"/>
          <w:lang w:val="es-ES" w:eastAsia="es-ES" w:bidi="es-ES"/>
        </w:rPr>
      </w:pPr>
    </w:p>
    <w:p w14:paraId="738FBA44" w14:textId="77777777" w:rsidR="00C41E57" w:rsidRDefault="00C41E57" w:rsidP="00C41E57">
      <w:pPr>
        <w:rPr>
          <w:rFonts w:ascii="Arial" w:eastAsia="Arial" w:hAnsi="Arial" w:cs="Arial"/>
          <w:sz w:val="24"/>
          <w:szCs w:val="24"/>
          <w:lang w:val="es-ES" w:eastAsia="es-ES" w:bidi="es-ES"/>
        </w:rPr>
      </w:pPr>
    </w:p>
    <w:p w14:paraId="6BE9AB13" w14:textId="77777777" w:rsidR="00C41E57" w:rsidRDefault="00C41E57" w:rsidP="00C41E57">
      <w:pPr>
        <w:rPr>
          <w:rFonts w:ascii="Arial" w:eastAsia="Arial" w:hAnsi="Arial" w:cs="Arial"/>
          <w:sz w:val="24"/>
          <w:szCs w:val="24"/>
          <w:lang w:val="es-ES" w:eastAsia="es-ES" w:bidi="es-ES"/>
        </w:rPr>
      </w:pPr>
    </w:p>
    <w:p w14:paraId="7E54F926" w14:textId="77777777" w:rsidR="00C41E57" w:rsidRDefault="00C41E57" w:rsidP="00C41E57">
      <w:pPr>
        <w:rPr>
          <w:rFonts w:ascii="Arial" w:eastAsia="Arial" w:hAnsi="Arial" w:cs="Arial"/>
          <w:sz w:val="24"/>
          <w:szCs w:val="24"/>
          <w:lang w:val="es-ES" w:eastAsia="es-ES" w:bidi="es-ES"/>
        </w:rPr>
      </w:pPr>
    </w:p>
    <w:p w14:paraId="1CE733BF" w14:textId="77777777" w:rsidR="00C41E57" w:rsidRDefault="00C41E57" w:rsidP="00C41E57">
      <w:pPr>
        <w:rPr>
          <w:rFonts w:ascii="Arial" w:eastAsia="Arial" w:hAnsi="Arial" w:cs="Arial"/>
          <w:sz w:val="24"/>
          <w:szCs w:val="24"/>
          <w:lang w:val="es-ES" w:eastAsia="es-ES" w:bidi="es-ES"/>
        </w:rPr>
      </w:pPr>
    </w:p>
    <w:p w14:paraId="6CB8F37C" w14:textId="77777777" w:rsidR="00C41E57" w:rsidRDefault="00C41E57" w:rsidP="00C41E57">
      <w:pPr>
        <w:rPr>
          <w:rFonts w:ascii="Arial" w:eastAsia="Arial" w:hAnsi="Arial" w:cs="Arial"/>
          <w:sz w:val="24"/>
          <w:szCs w:val="24"/>
          <w:lang w:val="es-ES" w:eastAsia="es-ES" w:bidi="es-ES"/>
        </w:rPr>
      </w:pPr>
    </w:p>
    <w:p w14:paraId="0E61D8BB" w14:textId="77777777" w:rsidR="00C41E57" w:rsidRDefault="00C41E57" w:rsidP="00C41E57">
      <w:pPr>
        <w:rPr>
          <w:rFonts w:ascii="Arial" w:eastAsia="Arial" w:hAnsi="Arial" w:cs="Arial"/>
          <w:sz w:val="24"/>
          <w:szCs w:val="24"/>
          <w:lang w:val="es-ES" w:eastAsia="es-ES" w:bidi="es-ES"/>
        </w:rPr>
      </w:pPr>
    </w:p>
    <w:p w14:paraId="5AC43B00" w14:textId="77777777" w:rsidR="00C41E57" w:rsidRDefault="00C41E57" w:rsidP="0056159C">
      <w:pPr>
        <w:rPr>
          <w:rFonts w:ascii="Arial" w:eastAsia="Arial" w:hAnsi="Arial" w:cs="Arial"/>
          <w:sz w:val="24"/>
          <w:szCs w:val="24"/>
          <w:lang w:val="es-ES" w:eastAsia="es-ES" w:bidi="es-ES"/>
        </w:rPr>
      </w:pPr>
    </w:p>
    <w:p w14:paraId="35184A43" w14:textId="77777777" w:rsidR="00C41E57" w:rsidRDefault="00C41E57" w:rsidP="0056159C">
      <w:pPr>
        <w:rPr>
          <w:rFonts w:ascii="Arial" w:eastAsia="Arial" w:hAnsi="Arial" w:cs="Arial"/>
          <w:sz w:val="24"/>
          <w:szCs w:val="24"/>
          <w:lang w:val="es-ES" w:eastAsia="es-ES" w:bidi="es-ES"/>
        </w:rPr>
      </w:pPr>
    </w:p>
    <w:p w14:paraId="7FE5CF51" w14:textId="77777777" w:rsidR="00C41E57" w:rsidRDefault="00C41E57" w:rsidP="0056159C">
      <w:pPr>
        <w:rPr>
          <w:rFonts w:ascii="Arial" w:eastAsia="Arial" w:hAnsi="Arial" w:cs="Arial"/>
          <w:sz w:val="24"/>
          <w:szCs w:val="24"/>
          <w:lang w:val="es-ES" w:eastAsia="es-ES" w:bidi="es-ES"/>
        </w:rPr>
      </w:pPr>
    </w:p>
    <w:p w14:paraId="2E4F549B" w14:textId="77777777" w:rsidR="0056159C" w:rsidRDefault="0056159C" w:rsidP="0056159C">
      <w:pPr>
        <w:rPr>
          <w:rFonts w:ascii="Arial" w:eastAsia="Arial" w:hAnsi="Arial" w:cs="Arial"/>
          <w:sz w:val="24"/>
          <w:szCs w:val="24"/>
          <w:lang w:val="es-ES" w:eastAsia="es-ES" w:bidi="es-ES"/>
        </w:rPr>
      </w:pPr>
    </w:p>
    <w:p w14:paraId="346D93A7" w14:textId="77777777" w:rsidR="0056159C" w:rsidRDefault="0056159C" w:rsidP="0056159C">
      <w:pPr>
        <w:rPr>
          <w:rFonts w:ascii="Arial" w:eastAsia="Arial" w:hAnsi="Arial" w:cs="Arial"/>
          <w:sz w:val="24"/>
          <w:szCs w:val="24"/>
          <w:lang w:val="es-ES" w:eastAsia="es-ES" w:bidi="es-ES"/>
        </w:rPr>
      </w:pPr>
    </w:p>
    <w:p w14:paraId="6AC6433C" w14:textId="77777777" w:rsidR="006F722B" w:rsidRDefault="006F722B" w:rsidP="0056159C">
      <w:pPr>
        <w:rPr>
          <w:rFonts w:ascii="Arial" w:eastAsia="Arial" w:hAnsi="Arial" w:cs="Arial"/>
          <w:sz w:val="24"/>
          <w:szCs w:val="24"/>
          <w:lang w:val="es-ES" w:eastAsia="es-ES" w:bidi="es-ES"/>
        </w:rPr>
      </w:pPr>
    </w:p>
    <w:p w14:paraId="530E3F45" w14:textId="77777777" w:rsidR="000517E1" w:rsidRDefault="000517E1" w:rsidP="0056159C">
      <w:pPr>
        <w:rPr>
          <w:rFonts w:ascii="Arial" w:eastAsia="Arial" w:hAnsi="Arial" w:cs="Arial"/>
          <w:sz w:val="24"/>
          <w:szCs w:val="24"/>
          <w:lang w:val="es-ES" w:eastAsia="es-ES" w:bidi="es-ES"/>
        </w:rPr>
        <w:sectPr w:rsidR="000517E1" w:rsidSect="00747D75">
          <w:pgSz w:w="12240" w:h="15840"/>
          <w:pgMar w:top="1404" w:right="1701" w:bottom="993" w:left="1701" w:header="426" w:footer="708" w:gutter="0"/>
          <w:cols w:space="708"/>
          <w:docGrid w:linePitch="360"/>
        </w:sectPr>
      </w:pPr>
    </w:p>
    <w:p w14:paraId="649E1840" w14:textId="77777777" w:rsidR="005E3854" w:rsidRPr="004E67A5" w:rsidRDefault="006F722B" w:rsidP="004E67A5">
      <w:pPr>
        <w:pStyle w:val="Ttulo1"/>
        <w:rPr>
          <w:rFonts w:ascii="Arial" w:eastAsia="Arial" w:hAnsi="Arial" w:cs="Arial"/>
          <w:color w:val="auto"/>
          <w:sz w:val="24"/>
          <w:szCs w:val="24"/>
          <w:lang w:val="es-ES" w:eastAsia="es-ES" w:bidi="es-ES"/>
        </w:rPr>
      </w:pPr>
      <w:bookmarkStart w:id="2" w:name="_Toc158567466"/>
      <w:r w:rsidRPr="004E67A5">
        <w:rPr>
          <w:rFonts w:ascii="Arial" w:eastAsia="Arial" w:hAnsi="Arial" w:cs="Arial"/>
          <w:b/>
          <w:color w:val="auto"/>
          <w:sz w:val="28"/>
          <w:szCs w:val="24"/>
          <w:lang w:val="es-ES" w:eastAsia="es-ES" w:bidi="es-ES"/>
        </w:rPr>
        <w:lastRenderedPageBreak/>
        <w:t>REQUISITOS MÍNIMOS DEL INFORME GENERAL EJECUTIVO</w:t>
      </w:r>
      <w:bookmarkEnd w:id="2"/>
      <w:r w:rsidRPr="004E67A5">
        <w:rPr>
          <w:rFonts w:ascii="Arial" w:eastAsia="Arial" w:hAnsi="Arial" w:cs="Arial"/>
          <w:b/>
          <w:color w:val="auto"/>
          <w:sz w:val="28"/>
          <w:szCs w:val="24"/>
          <w:lang w:val="es-ES" w:eastAsia="es-ES" w:bidi="es-ES"/>
        </w:rPr>
        <w:t xml:space="preserve"> </w:t>
      </w:r>
    </w:p>
    <w:p w14:paraId="20153574" w14:textId="77777777" w:rsidR="00732B48" w:rsidRDefault="00732B48" w:rsidP="00732B48">
      <w:pPr>
        <w:rPr>
          <w:lang w:val="es-ES" w:eastAsia="es-ES" w:bidi="es-ES"/>
        </w:rPr>
      </w:pPr>
    </w:p>
    <w:p w14:paraId="68B073B0" w14:textId="77777777" w:rsidR="00732B48" w:rsidRPr="00F7194B" w:rsidRDefault="00732B48" w:rsidP="00F20A38">
      <w:pPr>
        <w:jc w:val="both"/>
        <w:rPr>
          <w:rFonts w:ascii="Arial" w:hAnsi="Arial" w:cs="Arial"/>
          <w:sz w:val="24"/>
          <w:szCs w:val="24"/>
        </w:rPr>
      </w:pPr>
      <w:bookmarkStart w:id="3" w:name="_Toc63340056"/>
      <w:bookmarkStart w:id="4" w:name="_Toc63341245"/>
      <w:bookmarkStart w:id="5" w:name="_Toc63343852"/>
      <w:r w:rsidRPr="00F7194B">
        <w:rPr>
          <w:rFonts w:ascii="Arial" w:hAnsi="Arial" w:cs="Arial"/>
          <w:sz w:val="24"/>
          <w:szCs w:val="24"/>
        </w:rPr>
        <w:t>De acuerdo al artículo 36 de la Ley de Fiscalización y Rendición de Cuentas del Estado de Quintana Roo</w:t>
      </w:r>
      <w:bookmarkEnd w:id="3"/>
      <w:bookmarkEnd w:id="4"/>
      <w:bookmarkEnd w:id="5"/>
      <w:r w:rsidRPr="00F7194B">
        <w:rPr>
          <w:rFonts w:ascii="Arial" w:hAnsi="Arial" w:cs="Arial"/>
          <w:sz w:val="24"/>
          <w:szCs w:val="24"/>
        </w:rPr>
        <w:t>.</w:t>
      </w:r>
    </w:p>
    <w:p w14:paraId="54530AE4" w14:textId="77777777" w:rsidR="00732B48" w:rsidRDefault="00732B48" w:rsidP="00732B48">
      <w:pPr>
        <w:rPr>
          <w:lang w:val="es-ES" w:eastAsia="es-ES" w:bidi="es-ES"/>
        </w:rPr>
      </w:pPr>
    </w:p>
    <w:p w14:paraId="10D5B282" w14:textId="77777777" w:rsidR="00F20A38" w:rsidRDefault="00732B48" w:rsidP="00F20A38">
      <w:pPr>
        <w:keepNext/>
        <w:jc w:val="center"/>
      </w:pPr>
      <w:r w:rsidRPr="00F7194B">
        <w:rPr>
          <w:rFonts w:ascii="Arial" w:hAnsi="Arial" w:cs="Arial"/>
          <w:noProof/>
          <w:sz w:val="24"/>
          <w:szCs w:val="24"/>
          <w:lang w:eastAsia="es-MX"/>
        </w:rPr>
        <w:drawing>
          <wp:inline distT="0" distB="0" distL="0" distR="0" wp14:anchorId="0566C7B0" wp14:editId="53075F89">
            <wp:extent cx="5394786" cy="4997669"/>
            <wp:effectExtent l="0" t="0" r="0" b="0"/>
            <wp:docPr id="906" name="Imagen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nfografia1.jpg"/>
                    <pic:cNvPicPr/>
                  </pic:nvPicPr>
                  <pic:blipFill rotWithShape="1">
                    <a:blip r:embed="rId11" cstate="print">
                      <a:extLst>
                        <a:ext uri="{28A0092B-C50C-407E-A947-70E740481C1C}">
                          <a14:useLocalDpi xmlns:a14="http://schemas.microsoft.com/office/drawing/2010/main" val="0"/>
                        </a:ext>
                      </a:extLst>
                    </a:blip>
                    <a:srcRect l="9388" r="18625"/>
                    <a:stretch/>
                  </pic:blipFill>
                  <pic:spPr bwMode="auto">
                    <a:xfrm>
                      <a:off x="0" y="0"/>
                      <a:ext cx="5409915" cy="5011685"/>
                    </a:xfrm>
                    <a:prstGeom prst="rect">
                      <a:avLst/>
                    </a:prstGeom>
                    <a:ln>
                      <a:noFill/>
                    </a:ln>
                    <a:extLst>
                      <a:ext uri="{53640926-AAD7-44D8-BBD7-CCE9431645EC}">
                        <a14:shadowObscured xmlns:a14="http://schemas.microsoft.com/office/drawing/2010/main"/>
                      </a:ext>
                    </a:extLst>
                  </pic:spPr>
                </pic:pic>
              </a:graphicData>
            </a:graphic>
          </wp:inline>
        </w:drawing>
      </w:r>
    </w:p>
    <w:p w14:paraId="712DEB5B" w14:textId="2E2D19C5" w:rsidR="00732B48" w:rsidRPr="00B004CF" w:rsidRDefault="00F20A38" w:rsidP="00F20A38">
      <w:pPr>
        <w:pStyle w:val="Descripcin"/>
        <w:jc w:val="center"/>
        <w:rPr>
          <w:rFonts w:ascii="Arial" w:hAnsi="Arial" w:cs="Arial"/>
          <w:color w:val="000000" w:themeColor="text1"/>
          <w:lang w:val="es-ES" w:eastAsia="es-ES" w:bidi="es-ES"/>
        </w:rPr>
      </w:pPr>
      <w:r w:rsidRPr="00B004CF">
        <w:rPr>
          <w:rFonts w:ascii="Arial" w:hAnsi="Arial" w:cs="Arial"/>
          <w:b/>
          <w:color w:val="000000" w:themeColor="text1"/>
        </w:rPr>
        <w:t xml:space="preserve">Figura N° </w:t>
      </w:r>
      <w:r w:rsidRPr="00B004CF">
        <w:rPr>
          <w:rFonts w:ascii="Arial" w:hAnsi="Arial" w:cs="Arial"/>
          <w:b/>
          <w:color w:val="000000" w:themeColor="text1"/>
        </w:rPr>
        <w:fldChar w:fldCharType="begin"/>
      </w:r>
      <w:r w:rsidRPr="00B004CF">
        <w:rPr>
          <w:rFonts w:ascii="Arial" w:hAnsi="Arial" w:cs="Arial"/>
          <w:b/>
          <w:color w:val="000000" w:themeColor="text1"/>
        </w:rPr>
        <w:instrText xml:space="preserve"> SEQ Figura_N° \* ARABIC </w:instrText>
      </w:r>
      <w:r w:rsidRPr="00B004CF">
        <w:rPr>
          <w:rFonts w:ascii="Arial" w:hAnsi="Arial" w:cs="Arial"/>
          <w:b/>
          <w:color w:val="000000" w:themeColor="text1"/>
        </w:rPr>
        <w:fldChar w:fldCharType="separate"/>
      </w:r>
      <w:r w:rsidR="00FD773B">
        <w:rPr>
          <w:rFonts w:ascii="Arial" w:hAnsi="Arial" w:cs="Arial"/>
          <w:b/>
          <w:noProof/>
          <w:color w:val="000000" w:themeColor="text1"/>
        </w:rPr>
        <w:t>1</w:t>
      </w:r>
      <w:r w:rsidRPr="00B004CF">
        <w:rPr>
          <w:rFonts w:ascii="Arial" w:hAnsi="Arial" w:cs="Arial"/>
          <w:b/>
          <w:color w:val="000000" w:themeColor="text1"/>
        </w:rPr>
        <w:fldChar w:fldCharType="end"/>
      </w:r>
      <w:r w:rsidRPr="00B004CF">
        <w:rPr>
          <w:rFonts w:ascii="Arial" w:hAnsi="Arial" w:cs="Arial"/>
          <w:color w:val="000000" w:themeColor="text1"/>
        </w:rPr>
        <w:t xml:space="preserve"> Elaboración propia.</w:t>
      </w:r>
    </w:p>
    <w:p w14:paraId="09AB02DD" w14:textId="77777777" w:rsidR="00732B48" w:rsidRDefault="00732B48" w:rsidP="00732B48">
      <w:pPr>
        <w:rPr>
          <w:lang w:val="es-ES" w:eastAsia="es-ES" w:bidi="es-ES"/>
        </w:rPr>
      </w:pPr>
    </w:p>
    <w:p w14:paraId="0099950E" w14:textId="77777777" w:rsidR="00732B48" w:rsidRDefault="00732B48" w:rsidP="00732B48">
      <w:pPr>
        <w:rPr>
          <w:lang w:val="es-ES" w:eastAsia="es-ES" w:bidi="es-ES"/>
        </w:rPr>
      </w:pPr>
    </w:p>
    <w:p w14:paraId="1EF7F97A" w14:textId="77777777" w:rsidR="00877457" w:rsidRDefault="00877457" w:rsidP="00732B48">
      <w:pPr>
        <w:rPr>
          <w:lang w:val="es-ES" w:eastAsia="es-ES" w:bidi="es-ES"/>
        </w:rPr>
      </w:pPr>
    </w:p>
    <w:p w14:paraId="2A2A8A6D" w14:textId="77777777" w:rsidR="00877457" w:rsidRDefault="00877457" w:rsidP="00732B48">
      <w:pPr>
        <w:rPr>
          <w:lang w:val="es-ES" w:eastAsia="es-ES" w:bidi="es-ES"/>
        </w:rPr>
      </w:pPr>
    </w:p>
    <w:p w14:paraId="3D0D330E" w14:textId="77777777" w:rsidR="00877457" w:rsidRDefault="00877457" w:rsidP="00732B48">
      <w:pPr>
        <w:rPr>
          <w:lang w:val="es-ES" w:eastAsia="es-ES" w:bidi="es-ES"/>
        </w:rPr>
      </w:pPr>
    </w:p>
    <w:p w14:paraId="3E6C6BCD" w14:textId="77777777" w:rsidR="000517E1" w:rsidRDefault="000517E1" w:rsidP="00732B48">
      <w:pPr>
        <w:rPr>
          <w:lang w:val="es-ES" w:eastAsia="es-ES" w:bidi="es-ES"/>
        </w:rPr>
        <w:sectPr w:rsidR="000517E1" w:rsidSect="00747D75">
          <w:pgSz w:w="12240" w:h="15840"/>
          <w:pgMar w:top="1404" w:right="1701" w:bottom="993" w:left="1701" w:header="426" w:footer="708" w:gutter="0"/>
          <w:cols w:space="708"/>
          <w:docGrid w:linePitch="360"/>
        </w:sectPr>
      </w:pPr>
    </w:p>
    <w:p w14:paraId="6070732F" w14:textId="77777777" w:rsidR="003774BF" w:rsidRPr="00F440B1" w:rsidRDefault="006F722B" w:rsidP="00F440B1">
      <w:pPr>
        <w:pStyle w:val="Ttulo1"/>
        <w:rPr>
          <w:rFonts w:ascii="Arial" w:eastAsia="Arial" w:hAnsi="Arial" w:cs="Arial"/>
          <w:b/>
          <w:color w:val="auto"/>
          <w:sz w:val="28"/>
          <w:szCs w:val="24"/>
          <w:lang w:val="es-ES" w:eastAsia="es-ES" w:bidi="es-ES"/>
        </w:rPr>
      </w:pPr>
      <w:bookmarkStart w:id="6" w:name="_Toc158567467"/>
      <w:r w:rsidRPr="001501B3">
        <w:rPr>
          <w:rFonts w:ascii="Arial" w:eastAsia="Arial" w:hAnsi="Arial" w:cs="Arial"/>
          <w:b/>
          <w:color w:val="auto"/>
          <w:sz w:val="28"/>
          <w:szCs w:val="24"/>
          <w:lang w:val="es-ES" w:eastAsia="es-ES" w:bidi="es-ES"/>
        </w:rPr>
        <w:lastRenderedPageBreak/>
        <w:t>MENSAJE DEL AUDITOR SUPERIOR DEL ESTADO</w:t>
      </w:r>
      <w:bookmarkEnd w:id="6"/>
    </w:p>
    <w:p w14:paraId="54FFB880" w14:textId="77777777" w:rsidR="003774BF" w:rsidRPr="00DA7900" w:rsidRDefault="003774BF" w:rsidP="000578F7">
      <w:pPr>
        <w:rPr>
          <w:sz w:val="20"/>
          <w:szCs w:val="20"/>
          <w:lang w:val="es-ES" w:eastAsia="es-ES" w:bidi="es-ES"/>
        </w:rPr>
      </w:pPr>
    </w:p>
    <w:p w14:paraId="7155EBF3" w14:textId="77777777" w:rsidR="00843F85" w:rsidRDefault="00843F85" w:rsidP="00843F85">
      <w:pPr>
        <w:spacing w:line="360" w:lineRule="auto"/>
        <w:jc w:val="both"/>
        <w:rPr>
          <w:rFonts w:ascii="Arial" w:hAnsi="Arial" w:cs="Arial"/>
          <w:sz w:val="24"/>
          <w:szCs w:val="24"/>
          <w:lang w:val="es-ES"/>
        </w:rPr>
      </w:pPr>
      <w:r w:rsidRPr="00854C03">
        <w:rPr>
          <w:rFonts w:ascii="Arial" w:hAnsi="Arial" w:cs="Arial"/>
          <w:sz w:val="24"/>
          <w:szCs w:val="24"/>
          <w:lang w:val="es-ES"/>
        </w:rPr>
        <w:t>El gobierno abierto es una cultura de gobernanza que promueve los principios de transparencia, integridad, rendición de cuentas y participación de las partes interesadas en apoyo de la democracia</w:t>
      </w:r>
      <w:r>
        <w:rPr>
          <w:rFonts w:ascii="Arial" w:hAnsi="Arial" w:cs="Arial"/>
          <w:sz w:val="24"/>
          <w:szCs w:val="24"/>
          <w:lang w:val="es-ES"/>
        </w:rPr>
        <w:t>, al</w:t>
      </w:r>
      <w:r w:rsidRPr="00854C03">
        <w:rPr>
          <w:rFonts w:ascii="Arial" w:hAnsi="Arial" w:cs="Arial"/>
          <w:sz w:val="24"/>
          <w:szCs w:val="24"/>
          <w:lang w:val="es-ES"/>
        </w:rPr>
        <w:t xml:space="preserve"> crecimiento inclusivo</w:t>
      </w:r>
      <w:r>
        <w:rPr>
          <w:rFonts w:ascii="Arial" w:hAnsi="Arial" w:cs="Arial"/>
          <w:sz w:val="24"/>
          <w:szCs w:val="24"/>
          <w:lang w:val="es-ES"/>
        </w:rPr>
        <w:t xml:space="preserve"> y permite establecer una comunicación constante con la ciudadanía como una nueva forma de concebir la relación entre gobiernos y gobernados.</w:t>
      </w:r>
    </w:p>
    <w:p w14:paraId="0849C73C" w14:textId="77777777" w:rsidR="00843F85" w:rsidRDefault="00843F85" w:rsidP="00843F85">
      <w:pPr>
        <w:spacing w:line="360" w:lineRule="auto"/>
        <w:jc w:val="both"/>
        <w:rPr>
          <w:rFonts w:ascii="Arial" w:hAnsi="Arial" w:cs="Arial"/>
          <w:sz w:val="24"/>
          <w:szCs w:val="24"/>
          <w:lang w:val="es-ES"/>
        </w:rPr>
      </w:pPr>
      <w:r>
        <w:rPr>
          <w:rFonts w:ascii="Arial" w:hAnsi="Arial" w:cs="Arial"/>
          <w:sz w:val="24"/>
          <w:szCs w:val="24"/>
          <w:lang w:val="es-ES"/>
        </w:rPr>
        <w:t>Quintana Roo es un Estado democrático y abierto, los esfuerzos que se realizan en transparencia, rendición de cuentas y combate a la corrupción serán siempre producto de un trabajo conjunto y coordinado de los poderes del Estado y sus Municipios.</w:t>
      </w:r>
    </w:p>
    <w:p w14:paraId="116D0950" w14:textId="77777777" w:rsidR="00843F85" w:rsidRDefault="00843F85" w:rsidP="00843F85">
      <w:pPr>
        <w:spacing w:line="360" w:lineRule="auto"/>
        <w:jc w:val="both"/>
        <w:rPr>
          <w:rFonts w:ascii="Arial" w:hAnsi="Arial" w:cs="Arial"/>
          <w:sz w:val="24"/>
          <w:szCs w:val="24"/>
          <w:lang w:val="es-ES"/>
        </w:rPr>
      </w:pPr>
      <w:r>
        <w:rPr>
          <w:rFonts w:ascii="Arial" w:hAnsi="Arial" w:cs="Arial"/>
          <w:sz w:val="24"/>
          <w:szCs w:val="24"/>
          <w:lang w:val="es-ES"/>
        </w:rPr>
        <w:t>Bajo estas premisas la Auditoría Superior del Estado como órgano técnico del Congreso del Estado de Quintana Roo, tiene la responsabilidad y el compromiso de hacer de la función fiscalizadora una contribución fundamental a la transparencia, redición de cuentas y combate a la corrupción, a través de procesos de calidad apegados siempre a los principios y valores éticos de la institución, y con el fiel cumplimiento a las disposiciones legales.</w:t>
      </w:r>
      <w:r w:rsidR="001501B3">
        <w:rPr>
          <w:rFonts w:ascii="Arial" w:hAnsi="Arial" w:cs="Arial"/>
          <w:sz w:val="24"/>
          <w:szCs w:val="24"/>
          <w:lang w:val="es-ES"/>
        </w:rPr>
        <w:t xml:space="preserve"> </w:t>
      </w:r>
    </w:p>
    <w:p w14:paraId="1F0B049A" w14:textId="77777777" w:rsidR="00843F85" w:rsidRDefault="00843F85" w:rsidP="00843F85">
      <w:pPr>
        <w:spacing w:line="360" w:lineRule="auto"/>
        <w:jc w:val="both"/>
        <w:rPr>
          <w:rFonts w:ascii="Arial" w:hAnsi="Arial" w:cs="Arial"/>
          <w:sz w:val="24"/>
          <w:szCs w:val="24"/>
          <w:lang w:val="es-ES"/>
        </w:rPr>
      </w:pPr>
      <w:r>
        <w:rPr>
          <w:rFonts w:ascii="Arial" w:hAnsi="Arial" w:cs="Arial"/>
          <w:sz w:val="24"/>
          <w:szCs w:val="24"/>
          <w:lang w:val="es-ES"/>
        </w:rPr>
        <w:t xml:space="preserve">En este tenor, presentamos ante la Comisión de Hacienda, Presupuesto y Cuenta, con gran satisfacción el </w:t>
      </w:r>
      <w:r w:rsidRPr="004E4D40">
        <w:rPr>
          <w:rFonts w:ascii="Arial" w:hAnsi="Arial" w:cs="Arial"/>
          <w:sz w:val="24"/>
          <w:szCs w:val="24"/>
          <w:lang w:val="es-ES"/>
        </w:rPr>
        <w:t>sexto</w:t>
      </w:r>
      <w:r w:rsidRPr="00004961">
        <w:rPr>
          <w:rFonts w:ascii="Arial" w:hAnsi="Arial" w:cs="Arial"/>
          <w:b/>
          <w:sz w:val="24"/>
          <w:szCs w:val="24"/>
          <w:lang w:val="es-ES"/>
        </w:rPr>
        <w:t xml:space="preserve"> Informe General Ejecutivo</w:t>
      </w:r>
      <w:r w:rsidR="009E04D5">
        <w:rPr>
          <w:rFonts w:ascii="Arial" w:hAnsi="Arial" w:cs="Arial"/>
          <w:sz w:val="24"/>
          <w:szCs w:val="24"/>
          <w:lang w:val="es-ES"/>
        </w:rPr>
        <w:t>, en cumplimiento al a</w:t>
      </w:r>
      <w:r>
        <w:rPr>
          <w:rFonts w:ascii="Arial" w:hAnsi="Arial" w:cs="Arial"/>
          <w:sz w:val="24"/>
          <w:szCs w:val="24"/>
          <w:lang w:val="es-ES"/>
        </w:rPr>
        <w:t>rtículo 36 de la Ley de Fiscalización y Rendición de Cuentas del Estado de Quintana Roo, en el que se integran de manera general los resultados de las revisiones a las cuentas públicas</w:t>
      </w:r>
      <w:r w:rsidR="001501B3">
        <w:rPr>
          <w:rFonts w:ascii="Arial" w:hAnsi="Arial" w:cs="Arial"/>
          <w:sz w:val="24"/>
          <w:szCs w:val="24"/>
          <w:lang w:val="es-ES"/>
        </w:rPr>
        <w:t xml:space="preserve"> </w:t>
      </w:r>
      <w:r>
        <w:rPr>
          <w:rFonts w:ascii="Arial" w:hAnsi="Arial" w:cs="Arial"/>
          <w:sz w:val="24"/>
          <w:szCs w:val="24"/>
          <w:lang w:val="es-ES"/>
        </w:rPr>
        <w:t xml:space="preserve">del ejercicio fiscal </w:t>
      </w:r>
      <w:r w:rsidR="001501B3">
        <w:rPr>
          <w:rFonts w:ascii="Arial" w:hAnsi="Arial" w:cs="Arial"/>
          <w:sz w:val="24"/>
          <w:szCs w:val="24"/>
          <w:lang w:val="es-ES"/>
        </w:rPr>
        <w:t>2022</w:t>
      </w:r>
      <w:r>
        <w:rPr>
          <w:rFonts w:ascii="Arial" w:hAnsi="Arial" w:cs="Arial"/>
          <w:sz w:val="24"/>
          <w:szCs w:val="24"/>
          <w:lang w:val="es-ES"/>
        </w:rPr>
        <w:t xml:space="preserve"> de 101 entidades fiscalizadas,</w:t>
      </w:r>
      <w:r w:rsidR="001501B3">
        <w:rPr>
          <w:rFonts w:ascii="Arial" w:hAnsi="Arial" w:cs="Arial"/>
          <w:sz w:val="24"/>
          <w:szCs w:val="24"/>
          <w:lang w:val="es-ES"/>
        </w:rPr>
        <w:t xml:space="preserve"> </w:t>
      </w:r>
      <w:r>
        <w:rPr>
          <w:rFonts w:ascii="Arial" w:hAnsi="Arial" w:cs="Arial"/>
          <w:sz w:val="24"/>
          <w:szCs w:val="24"/>
          <w:lang w:val="es-ES"/>
        </w:rPr>
        <w:t>se p</w:t>
      </w:r>
      <w:r w:rsidR="001501B3">
        <w:rPr>
          <w:rFonts w:ascii="Arial" w:hAnsi="Arial" w:cs="Arial"/>
          <w:sz w:val="24"/>
          <w:szCs w:val="24"/>
          <w:lang w:val="es-ES"/>
        </w:rPr>
        <w:t>resentaron en tiempo y forma 153</w:t>
      </w:r>
      <w:r>
        <w:rPr>
          <w:rFonts w:ascii="Arial" w:hAnsi="Arial" w:cs="Arial"/>
          <w:sz w:val="24"/>
          <w:szCs w:val="24"/>
          <w:lang w:val="es-ES"/>
        </w:rPr>
        <w:t xml:space="preserve"> informes individuales derivados de la ejecución de 24</w:t>
      </w:r>
      <w:r w:rsidR="001501B3">
        <w:rPr>
          <w:rFonts w:ascii="Arial" w:hAnsi="Arial" w:cs="Arial"/>
          <w:sz w:val="24"/>
          <w:szCs w:val="24"/>
          <w:lang w:val="es-ES"/>
        </w:rPr>
        <w:t>7</w:t>
      </w:r>
      <w:r>
        <w:rPr>
          <w:rFonts w:ascii="Arial" w:hAnsi="Arial" w:cs="Arial"/>
          <w:sz w:val="24"/>
          <w:szCs w:val="24"/>
          <w:lang w:val="es-ES"/>
        </w:rPr>
        <w:t xml:space="preserve"> auditorías en el correcto</w:t>
      </w:r>
      <w:r w:rsidR="001501B3">
        <w:rPr>
          <w:rFonts w:ascii="Arial" w:hAnsi="Arial" w:cs="Arial"/>
          <w:sz w:val="24"/>
          <w:szCs w:val="24"/>
          <w:lang w:val="es-ES"/>
        </w:rPr>
        <w:t xml:space="preserve"> </w:t>
      </w:r>
      <w:r>
        <w:rPr>
          <w:rFonts w:ascii="Arial" w:hAnsi="Arial" w:cs="Arial"/>
          <w:sz w:val="24"/>
          <w:szCs w:val="24"/>
          <w:lang w:val="es-ES"/>
        </w:rPr>
        <w:t>cumplimiento al Programa Anual de Auditor</w:t>
      </w:r>
      <w:r w:rsidR="001501B3">
        <w:rPr>
          <w:rFonts w:ascii="Arial" w:hAnsi="Arial" w:cs="Arial"/>
          <w:sz w:val="24"/>
          <w:szCs w:val="24"/>
          <w:lang w:val="es-ES"/>
        </w:rPr>
        <w:t>ías, Visitas e Inspecciones 2023</w:t>
      </w:r>
      <w:r>
        <w:rPr>
          <w:rFonts w:ascii="Arial" w:hAnsi="Arial" w:cs="Arial"/>
          <w:sz w:val="24"/>
          <w:szCs w:val="24"/>
          <w:lang w:val="es-ES"/>
        </w:rPr>
        <w:t>.</w:t>
      </w:r>
    </w:p>
    <w:p w14:paraId="04BC46D0" w14:textId="77777777" w:rsidR="00843F85" w:rsidRDefault="00843F85" w:rsidP="00843F85">
      <w:pPr>
        <w:spacing w:line="360" w:lineRule="auto"/>
        <w:jc w:val="both"/>
        <w:rPr>
          <w:rFonts w:ascii="Arial" w:hAnsi="Arial" w:cs="Arial"/>
          <w:sz w:val="24"/>
          <w:szCs w:val="24"/>
          <w:lang w:val="es-ES"/>
        </w:rPr>
      </w:pPr>
      <w:r>
        <w:rPr>
          <w:rFonts w:ascii="Arial" w:hAnsi="Arial" w:cs="Arial"/>
          <w:sz w:val="24"/>
          <w:szCs w:val="24"/>
          <w:lang w:val="es-ES"/>
        </w:rPr>
        <w:t xml:space="preserve">A casi siete años de este período de gestión </w:t>
      </w:r>
      <w:r w:rsidR="00034451">
        <w:rPr>
          <w:rFonts w:ascii="Arial" w:hAnsi="Arial" w:cs="Arial"/>
          <w:sz w:val="24"/>
          <w:szCs w:val="24"/>
          <w:lang w:val="es-ES"/>
        </w:rPr>
        <w:t>tengo la seguridad</w:t>
      </w:r>
      <w:r>
        <w:rPr>
          <w:rFonts w:ascii="Arial" w:hAnsi="Arial" w:cs="Arial"/>
          <w:sz w:val="24"/>
          <w:szCs w:val="24"/>
          <w:lang w:val="es-ES"/>
        </w:rPr>
        <w:t xml:space="preserve"> que cada uno de los servidores públicos que conformamos la Auditoría Superior del Estado hemos contribuido al fortalecimiento de la función fiscalizadora y al rescate de la confianza ciudadana en sus instituciones, como lo señala la misión y visión institucional.</w:t>
      </w:r>
    </w:p>
    <w:p w14:paraId="45F55C40" w14:textId="338D57BC" w:rsidR="00843F85" w:rsidRDefault="003611E0" w:rsidP="00843F85">
      <w:pPr>
        <w:spacing w:line="360" w:lineRule="auto"/>
        <w:jc w:val="both"/>
        <w:rPr>
          <w:rFonts w:ascii="Arial" w:hAnsi="Arial" w:cs="Arial"/>
          <w:sz w:val="24"/>
          <w:szCs w:val="24"/>
          <w:lang w:val="es-ES"/>
        </w:rPr>
      </w:pPr>
      <w:r w:rsidRPr="003611E0">
        <w:rPr>
          <w:rFonts w:ascii="Arial" w:hAnsi="Arial" w:cs="Arial"/>
          <w:sz w:val="24"/>
          <w:szCs w:val="24"/>
          <w:lang w:val="es-ES"/>
        </w:rPr>
        <w:lastRenderedPageBreak/>
        <w:t xml:space="preserve">Cada año se presentan nuevos retos y diferentes desafíos, en estos seis </w:t>
      </w:r>
      <w:r w:rsidR="00282D2B">
        <w:rPr>
          <w:rFonts w:ascii="Arial" w:hAnsi="Arial" w:cs="Arial"/>
          <w:sz w:val="24"/>
          <w:szCs w:val="24"/>
          <w:lang w:val="es-ES"/>
        </w:rPr>
        <w:t xml:space="preserve">años </w:t>
      </w:r>
      <w:r w:rsidRPr="003611E0">
        <w:rPr>
          <w:rFonts w:ascii="Arial" w:hAnsi="Arial" w:cs="Arial"/>
          <w:sz w:val="24"/>
          <w:szCs w:val="24"/>
          <w:lang w:val="es-ES"/>
        </w:rPr>
        <w:t>de transcendencia en la fiscalización pública gubernamental</w:t>
      </w:r>
      <w:r>
        <w:rPr>
          <w:rFonts w:ascii="Arial" w:hAnsi="Arial" w:cs="Arial"/>
          <w:sz w:val="24"/>
          <w:szCs w:val="24"/>
          <w:lang w:val="es-ES"/>
        </w:rPr>
        <w:t>, podemos concluir que hemos logrado la mejora constante con resultados y objetivos alcanzado</w:t>
      </w:r>
      <w:r w:rsidR="00034451">
        <w:rPr>
          <w:rFonts w:ascii="Arial" w:hAnsi="Arial" w:cs="Arial"/>
          <w:sz w:val="24"/>
          <w:szCs w:val="24"/>
          <w:lang w:val="es-ES"/>
        </w:rPr>
        <w:t>s; d</w:t>
      </w:r>
      <w:r w:rsidR="00843F85">
        <w:rPr>
          <w:rFonts w:ascii="Arial" w:hAnsi="Arial" w:cs="Arial"/>
          <w:sz w:val="24"/>
          <w:szCs w:val="24"/>
          <w:lang w:val="es-ES"/>
        </w:rPr>
        <w:t>e ahí la satisfacción d</w:t>
      </w:r>
      <w:r w:rsidR="00034451">
        <w:rPr>
          <w:rFonts w:ascii="Arial" w:hAnsi="Arial" w:cs="Arial"/>
          <w:sz w:val="24"/>
          <w:szCs w:val="24"/>
          <w:lang w:val="es-ES"/>
        </w:rPr>
        <w:t>e presentar el Informe General E</w:t>
      </w:r>
      <w:r w:rsidR="00843F85">
        <w:rPr>
          <w:rFonts w:ascii="Arial" w:hAnsi="Arial" w:cs="Arial"/>
          <w:sz w:val="24"/>
          <w:szCs w:val="24"/>
          <w:lang w:val="es-ES"/>
        </w:rPr>
        <w:t xml:space="preserve">jecutivo, producto de un trabajo profesional e imparcial y al margen de toda consideración política, con la contribución directa al fortalecimiento de Quintana Roo </w:t>
      </w:r>
      <w:r w:rsidR="009E04D5">
        <w:rPr>
          <w:rFonts w:ascii="Arial" w:hAnsi="Arial" w:cs="Arial"/>
          <w:sz w:val="24"/>
          <w:szCs w:val="24"/>
          <w:lang w:val="es-ES"/>
        </w:rPr>
        <w:t>como un</w:t>
      </w:r>
      <w:r w:rsidR="00843F85">
        <w:rPr>
          <w:rFonts w:ascii="Arial" w:hAnsi="Arial" w:cs="Arial"/>
          <w:sz w:val="24"/>
          <w:szCs w:val="24"/>
          <w:lang w:val="es-ES"/>
        </w:rPr>
        <w:t xml:space="preserve"> estado democrático y abierto</w:t>
      </w:r>
      <w:r w:rsidR="00BF61C5">
        <w:rPr>
          <w:rFonts w:ascii="Arial" w:hAnsi="Arial" w:cs="Arial"/>
          <w:sz w:val="24"/>
          <w:szCs w:val="24"/>
          <w:lang w:val="es-ES"/>
        </w:rPr>
        <w:t>.</w:t>
      </w:r>
    </w:p>
    <w:p w14:paraId="70E0D00D" w14:textId="77777777" w:rsidR="00B84374" w:rsidRPr="00B84374" w:rsidRDefault="00B84374" w:rsidP="00B84374">
      <w:pPr>
        <w:spacing w:line="276" w:lineRule="auto"/>
        <w:jc w:val="both"/>
        <w:rPr>
          <w:rFonts w:ascii="Arial" w:hAnsi="Arial" w:cs="Arial"/>
          <w:sz w:val="24"/>
          <w:szCs w:val="24"/>
        </w:rPr>
      </w:pPr>
    </w:p>
    <w:p w14:paraId="7B9A6387" w14:textId="77777777" w:rsidR="00B84374" w:rsidRPr="00B84374" w:rsidRDefault="00B84374" w:rsidP="00B84374">
      <w:pPr>
        <w:spacing w:line="276" w:lineRule="auto"/>
        <w:jc w:val="both"/>
        <w:rPr>
          <w:rFonts w:ascii="Arial" w:hAnsi="Arial" w:cs="Arial"/>
          <w:sz w:val="24"/>
          <w:szCs w:val="24"/>
        </w:rPr>
      </w:pPr>
    </w:p>
    <w:p w14:paraId="6CE925F4" w14:textId="77777777" w:rsidR="00B84374" w:rsidRDefault="00B84374" w:rsidP="00B84374">
      <w:pPr>
        <w:spacing w:line="276" w:lineRule="auto"/>
        <w:jc w:val="both"/>
        <w:rPr>
          <w:rFonts w:ascii="Arial" w:hAnsi="Arial" w:cs="Arial"/>
          <w:sz w:val="24"/>
          <w:szCs w:val="24"/>
        </w:rPr>
      </w:pPr>
    </w:p>
    <w:p w14:paraId="476201D8" w14:textId="77777777" w:rsidR="00413308" w:rsidRDefault="00413308" w:rsidP="00B84374">
      <w:pPr>
        <w:spacing w:line="276" w:lineRule="auto"/>
        <w:jc w:val="both"/>
        <w:rPr>
          <w:rFonts w:ascii="Arial" w:hAnsi="Arial" w:cs="Arial"/>
          <w:sz w:val="24"/>
          <w:szCs w:val="24"/>
        </w:rPr>
      </w:pPr>
    </w:p>
    <w:p w14:paraId="15ED8D38" w14:textId="77777777" w:rsidR="00413308" w:rsidRPr="00B84374" w:rsidRDefault="00413308" w:rsidP="00B84374">
      <w:pPr>
        <w:spacing w:line="276" w:lineRule="auto"/>
        <w:jc w:val="both"/>
        <w:rPr>
          <w:rFonts w:ascii="Arial" w:hAnsi="Arial" w:cs="Arial"/>
          <w:sz w:val="24"/>
          <w:szCs w:val="24"/>
        </w:rPr>
      </w:pPr>
    </w:p>
    <w:p w14:paraId="554F5756" w14:textId="77777777" w:rsidR="00B84374" w:rsidRPr="00B84374" w:rsidRDefault="00B84374" w:rsidP="00B84374">
      <w:pPr>
        <w:spacing w:line="276" w:lineRule="auto"/>
        <w:jc w:val="both"/>
        <w:rPr>
          <w:rFonts w:ascii="Arial" w:hAnsi="Arial" w:cs="Arial"/>
          <w:sz w:val="24"/>
          <w:szCs w:val="24"/>
        </w:rPr>
      </w:pPr>
    </w:p>
    <w:p w14:paraId="5FD66EB5" w14:textId="77777777" w:rsidR="00B84374" w:rsidRPr="00B84374" w:rsidRDefault="00B84374" w:rsidP="00B84374">
      <w:pPr>
        <w:spacing w:line="276" w:lineRule="auto"/>
        <w:jc w:val="both"/>
        <w:rPr>
          <w:rFonts w:ascii="Arial" w:hAnsi="Arial" w:cs="Arial"/>
          <w:sz w:val="24"/>
          <w:szCs w:val="24"/>
        </w:rPr>
      </w:pPr>
    </w:p>
    <w:p w14:paraId="4062083F" w14:textId="77777777" w:rsidR="00B84374" w:rsidRPr="00B84374" w:rsidRDefault="00B84374" w:rsidP="00B84374">
      <w:pPr>
        <w:spacing w:line="276" w:lineRule="auto"/>
        <w:jc w:val="both"/>
        <w:rPr>
          <w:rFonts w:ascii="Arial" w:hAnsi="Arial" w:cs="Arial"/>
          <w:sz w:val="24"/>
          <w:szCs w:val="24"/>
        </w:rPr>
      </w:pPr>
    </w:p>
    <w:p w14:paraId="0BE32159" w14:textId="77777777" w:rsidR="00B84374" w:rsidRPr="00B84374" w:rsidRDefault="00B84374" w:rsidP="00B84374">
      <w:pPr>
        <w:spacing w:line="276" w:lineRule="auto"/>
        <w:jc w:val="both"/>
        <w:rPr>
          <w:rFonts w:ascii="Arial" w:hAnsi="Arial" w:cs="Arial"/>
          <w:sz w:val="24"/>
          <w:szCs w:val="24"/>
        </w:rPr>
      </w:pPr>
    </w:p>
    <w:p w14:paraId="2382F93F" w14:textId="77777777" w:rsidR="00B84374" w:rsidRPr="00B84374" w:rsidRDefault="00B84374" w:rsidP="00B84374">
      <w:pPr>
        <w:spacing w:line="276" w:lineRule="auto"/>
        <w:jc w:val="both"/>
        <w:rPr>
          <w:rFonts w:ascii="Arial" w:hAnsi="Arial" w:cs="Arial"/>
          <w:sz w:val="24"/>
          <w:szCs w:val="24"/>
        </w:rPr>
      </w:pPr>
    </w:p>
    <w:p w14:paraId="72A0BC47" w14:textId="77777777" w:rsidR="00B84374" w:rsidRPr="007F180B" w:rsidRDefault="007F180B" w:rsidP="007F180B">
      <w:pPr>
        <w:spacing w:after="0" w:line="276" w:lineRule="auto"/>
        <w:jc w:val="right"/>
        <w:rPr>
          <w:rFonts w:ascii="Arial" w:hAnsi="Arial" w:cs="Arial"/>
          <w:b/>
          <w:sz w:val="28"/>
          <w:szCs w:val="24"/>
        </w:rPr>
      </w:pPr>
      <w:r w:rsidRPr="007F180B">
        <w:rPr>
          <w:rFonts w:ascii="Arial" w:hAnsi="Arial" w:cs="Arial"/>
          <w:b/>
          <w:sz w:val="28"/>
          <w:szCs w:val="24"/>
        </w:rPr>
        <w:t>M. en Aud</w:t>
      </w:r>
      <w:r w:rsidR="00B84374" w:rsidRPr="007F180B">
        <w:rPr>
          <w:rFonts w:ascii="Arial" w:hAnsi="Arial" w:cs="Arial"/>
          <w:b/>
          <w:sz w:val="28"/>
          <w:szCs w:val="24"/>
        </w:rPr>
        <w:t>. Manuel Palacios Herrera</w:t>
      </w:r>
    </w:p>
    <w:p w14:paraId="1B63DA32" w14:textId="77777777" w:rsidR="000578F7" w:rsidRPr="007F180B" w:rsidRDefault="007F180B" w:rsidP="00B84374">
      <w:pPr>
        <w:spacing w:line="276" w:lineRule="auto"/>
        <w:jc w:val="right"/>
        <w:rPr>
          <w:rFonts w:ascii="Arial" w:hAnsi="Arial" w:cs="Arial"/>
          <w:b/>
          <w:sz w:val="28"/>
          <w:szCs w:val="24"/>
        </w:rPr>
      </w:pPr>
      <w:r w:rsidRPr="007F180B">
        <w:rPr>
          <w:rFonts w:ascii="Arial" w:hAnsi="Arial" w:cs="Arial"/>
          <w:b/>
          <w:sz w:val="28"/>
          <w:szCs w:val="24"/>
        </w:rPr>
        <w:t>Auditor Superior del Estado de Quintana Roo</w:t>
      </w:r>
    </w:p>
    <w:p w14:paraId="60B660F1" w14:textId="77777777" w:rsidR="002552FD" w:rsidRDefault="00413308">
      <w:pPr>
        <w:rPr>
          <w:rFonts w:ascii="Arial" w:hAnsi="Arial" w:cs="Arial"/>
          <w:sz w:val="24"/>
          <w:szCs w:val="24"/>
        </w:rPr>
        <w:sectPr w:rsidR="002552FD" w:rsidSect="00747D75">
          <w:pgSz w:w="12240" w:h="15840"/>
          <w:pgMar w:top="1404" w:right="1701" w:bottom="993" w:left="1701" w:header="426" w:footer="708" w:gutter="0"/>
          <w:cols w:space="708"/>
          <w:docGrid w:linePitch="360"/>
        </w:sectPr>
      </w:pPr>
      <w:r>
        <w:rPr>
          <w:rFonts w:ascii="Arial" w:hAnsi="Arial" w:cs="Arial"/>
          <w:sz w:val="24"/>
          <w:szCs w:val="24"/>
        </w:rPr>
        <w:br w:type="page"/>
      </w:r>
    </w:p>
    <w:p w14:paraId="4FB1E0E8" w14:textId="77777777" w:rsidR="00413308" w:rsidRDefault="00413308">
      <w:pPr>
        <w:rPr>
          <w:rFonts w:ascii="Arial" w:hAnsi="Arial" w:cs="Arial"/>
          <w:sz w:val="24"/>
          <w:szCs w:val="24"/>
        </w:rPr>
      </w:pPr>
    </w:p>
    <w:p w14:paraId="760DF893" w14:textId="77777777" w:rsidR="002552FD" w:rsidRDefault="002552FD">
      <w:pPr>
        <w:rPr>
          <w:rFonts w:ascii="Arial" w:hAnsi="Arial" w:cs="Arial"/>
          <w:sz w:val="24"/>
          <w:szCs w:val="24"/>
        </w:rPr>
      </w:pPr>
    </w:p>
    <w:p w14:paraId="11060682" w14:textId="77777777" w:rsidR="002552FD" w:rsidRDefault="002552FD">
      <w:pPr>
        <w:rPr>
          <w:rFonts w:ascii="Arial" w:hAnsi="Arial" w:cs="Arial"/>
          <w:sz w:val="24"/>
          <w:szCs w:val="24"/>
        </w:rPr>
      </w:pPr>
    </w:p>
    <w:p w14:paraId="2F345A4E" w14:textId="77777777" w:rsidR="002552FD" w:rsidRDefault="002552FD">
      <w:pPr>
        <w:rPr>
          <w:rFonts w:ascii="Arial" w:hAnsi="Arial" w:cs="Arial"/>
          <w:sz w:val="24"/>
          <w:szCs w:val="24"/>
        </w:rPr>
      </w:pPr>
    </w:p>
    <w:p w14:paraId="06793B34" w14:textId="77777777" w:rsidR="002552FD" w:rsidRDefault="002552FD">
      <w:pPr>
        <w:rPr>
          <w:rFonts w:ascii="Arial" w:hAnsi="Arial" w:cs="Arial"/>
          <w:sz w:val="24"/>
          <w:szCs w:val="24"/>
        </w:rPr>
      </w:pPr>
    </w:p>
    <w:p w14:paraId="73E0FDB3" w14:textId="77777777" w:rsidR="002552FD" w:rsidRDefault="002552FD">
      <w:pPr>
        <w:rPr>
          <w:rFonts w:ascii="Arial" w:hAnsi="Arial" w:cs="Arial"/>
          <w:sz w:val="24"/>
          <w:szCs w:val="24"/>
        </w:rPr>
      </w:pPr>
    </w:p>
    <w:p w14:paraId="1971A4A1" w14:textId="77777777" w:rsidR="002552FD" w:rsidRDefault="002552FD">
      <w:pPr>
        <w:rPr>
          <w:rFonts w:ascii="Arial" w:hAnsi="Arial" w:cs="Arial"/>
          <w:sz w:val="24"/>
          <w:szCs w:val="24"/>
        </w:rPr>
      </w:pPr>
    </w:p>
    <w:p w14:paraId="37C57DD8" w14:textId="77777777" w:rsidR="002552FD" w:rsidRDefault="002552FD">
      <w:pPr>
        <w:rPr>
          <w:rFonts w:ascii="Arial" w:hAnsi="Arial" w:cs="Arial"/>
          <w:sz w:val="24"/>
          <w:szCs w:val="24"/>
        </w:rPr>
      </w:pPr>
    </w:p>
    <w:p w14:paraId="2E799AA4" w14:textId="77777777" w:rsidR="002552FD" w:rsidRDefault="002552FD">
      <w:pPr>
        <w:rPr>
          <w:rFonts w:ascii="Arial" w:hAnsi="Arial" w:cs="Arial"/>
          <w:sz w:val="24"/>
          <w:szCs w:val="24"/>
        </w:rPr>
      </w:pPr>
    </w:p>
    <w:p w14:paraId="0A2E50E2" w14:textId="77777777" w:rsidR="002552FD" w:rsidRDefault="002552FD">
      <w:pPr>
        <w:rPr>
          <w:rFonts w:ascii="Arial" w:hAnsi="Arial" w:cs="Arial"/>
          <w:sz w:val="24"/>
          <w:szCs w:val="24"/>
        </w:rPr>
      </w:pPr>
    </w:p>
    <w:p w14:paraId="2DE1B6A2" w14:textId="77777777" w:rsidR="002552FD" w:rsidRDefault="002552FD">
      <w:pPr>
        <w:rPr>
          <w:rFonts w:ascii="Arial" w:hAnsi="Arial" w:cs="Arial"/>
          <w:sz w:val="24"/>
          <w:szCs w:val="24"/>
        </w:rPr>
      </w:pPr>
    </w:p>
    <w:p w14:paraId="47283819" w14:textId="77777777" w:rsidR="002552FD" w:rsidRDefault="002552FD">
      <w:pPr>
        <w:rPr>
          <w:rFonts w:ascii="Arial" w:hAnsi="Arial" w:cs="Arial"/>
          <w:sz w:val="24"/>
          <w:szCs w:val="24"/>
        </w:rPr>
      </w:pPr>
    </w:p>
    <w:p w14:paraId="6CFCE95A" w14:textId="77777777" w:rsidR="002552FD" w:rsidRDefault="002552FD">
      <w:pPr>
        <w:rPr>
          <w:rFonts w:ascii="Arial" w:hAnsi="Arial" w:cs="Arial"/>
          <w:sz w:val="24"/>
          <w:szCs w:val="24"/>
        </w:rPr>
      </w:pPr>
    </w:p>
    <w:p w14:paraId="3D910C78" w14:textId="77777777" w:rsidR="002552FD" w:rsidRDefault="002552FD">
      <w:pPr>
        <w:rPr>
          <w:rFonts w:ascii="Arial" w:hAnsi="Arial" w:cs="Arial"/>
          <w:sz w:val="24"/>
          <w:szCs w:val="24"/>
        </w:rPr>
        <w:sectPr w:rsidR="002552FD" w:rsidSect="00747D75">
          <w:headerReference w:type="default" r:id="rId12"/>
          <w:footerReference w:type="default" r:id="rId13"/>
          <w:pgSz w:w="12240" w:h="15840"/>
          <w:pgMar w:top="1404" w:right="1701" w:bottom="993" w:left="1701" w:header="426" w:footer="708" w:gutter="0"/>
          <w:cols w:space="708"/>
          <w:docGrid w:linePitch="360"/>
        </w:sectPr>
      </w:pPr>
    </w:p>
    <w:p w14:paraId="00982B4B" w14:textId="77777777" w:rsidR="002552FD" w:rsidRDefault="002552FD">
      <w:pPr>
        <w:rPr>
          <w:rFonts w:ascii="Arial" w:hAnsi="Arial" w:cs="Arial"/>
          <w:sz w:val="24"/>
          <w:szCs w:val="24"/>
        </w:rPr>
      </w:pPr>
    </w:p>
    <w:p w14:paraId="68C18B99" w14:textId="77777777" w:rsidR="00300219" w:rsidRDefault="00300219" w:rsidP="000578F7">
      <w:pPr>
        <w:rPr>
          <w:rFonts w:ascii="Arial" w:hAnsi="Arial" w:cs="Arial"/>
          <w:sz w:val="24"/>
          <w:szCs w:val="24"/>
        </w:rPr>
      </w:pPr>
    </w:p>
    <w:p w14:paraId="641564FE" w14:textId="77777777" w:rsidR="00300219" w:rsidRDefault="00300219" w:rsidP="000578F7">
      <w:pPr>
        <w:rPr>
          <w:rFonts w:ascii="Arial" w:hAnsi="Arial" w:cs="Arial"/>
          <w:sz w:val="24"/>
          <w:szCs w:val="24"/>
        </w:rPr>
      </w:pPr>
    </w:p>
    <w:p w14:paraId="23D0459B" w14:textId="77777777" w:rsidR="00300219" w:rsidRDefault="00300219" w:rsidP="000578F7">
      <w:pPr>
        <w:rPr>
          <w:rFonts w:ascii="Arial" w:hAnsi="Arial" w:cs="Arial"/>
          <w:sz w:val="24"/>
          <w:szCs w:val="24"/>
        </w:rPr>
      </w:pPr>
    </w:p>
    <w:p w14:paraId="080B2347" w14:textId="77777777" w:rsidR="00300219" w:rsidRDefault="00300219" w:rsidP="000578F7">
      <w:pPr>
        <w:rPr>
          <w:rFonts w:ascii="Arial" w:hAnsi="Arial" w:cs="Arial"/>
          <w:sz w:val="24"/>
          <w:szCs w:val="24"/>
        </w:rPr>
      </w:pPr>
    </w:p>
    <w:p w14:paraId="2E5517B6" w14:textId="77777777" w:rsidR="00300219" w:rsidRDefault="00300219" w:rsidP="000578F7">
      <w:pPr>
        <w:rPr>
          <w:rFonts w:ascii="Arial" w:hAnsi="Arial" w:cs="Arial"/>
          <w:sz w:val="24"/>
          <w:szCs w:val="24"/>
        </w:rPr>
      </w:pPr>
    </w:p>
    <w:p w14:paraId="117B6E72" w14:textId="77777777" w:rsidR="00300219" w:rsidRDefault="00300219" w:rsidP="000578F7">
      <w:pPr>
        <w:rPr>
          <w:rFonts w:ascii="Arial" w:hAnsi="Arial" w:cs="Arial"/>
          <w:sz w:val="24"/>
          <w:szCs w:val="24"/>
        </w:rPr>
      </w:pPr>
    </w:p>
    <w:p w14:paraId="4748D046" w14:textId="77777777" w:rsidR="00300219" w:rsidRDefault="00300219" w:rsidP="000578F7">
      <w:pPr>
        <w:rPr>
          <w:rFonts w:ascii="Arial" w:hAnsi="Arial" w:cs="Arial"/>
          <w:sz w:val="24"/>
          <w:szCs w:val="24"/>
        </w:rPr>
      </w:pPr>
    </w:p>
    <w:p w14:paraId="4F6AE47F" w14:textId="77777777" w:rsidR="00300219" w:rsidRDefault="00300219" w:rsidP="000578F7">
      <w:pPr>
        <w:rPr>
          <w:rFonts w:ascii="Arial" w:hAnsi="Arial" w:cs="Arial"/>
          <w:sz w:val="24"/>
          <w:szCs w:val="24"/>
        </w:rPr>
      </w:pPr>
    </w:p>
    <w:p w14:paraId="52CCB886" w14:textId="77777777" w:rsidR="00300219" w:rsidRDefault="00300219" w:rsidP="000578F7">
      <w:pPr>
        <w:rPr>
          <w:rFonts w:ascii="Arial" w:hAnsi="Arial" w:cs="Arial"/>
          <w:sz w:val="24"/>
          <w:szCs w:val="24"/>
        </w:rPr>
      </w:pPr>
    </w:p>
    <w:p w14:paraId="12CFC519" w14:textId="77777777" w:rsidR="00300219" w:rsidRPr="00300219" w:rsidRDefault="00300219" w:rsidP="000578F7">
      <w:pPr>
        <w:rPr>
          <w:rFonts w:ascii="Arial" w:hAnsi="Arial" w:cs="Arial"/>
          <w:sz w:val="24"/>
          <w:szCs w:val="24"/>
        </w:rPr>
      </w:pPr>
    </w:p>
    <w:p w14:paraId="47C91072" w14:textId="77777777" w:rsidR="007F180B" w:rsidRDefault="00FD4225" w:rsidP="007F180B">
      <w:pPr>
        <w:pStyle w:val="Ttulo1"/>
        <w:spacing w:line="276" w:lineRule="auto"/>
        <w:jc w:val="center"/>
        <w:rPr>
          <w:rFonts w:ascii="Arial" w:eastAsia="Arial" w:hAnsi="Arial" w:cs="Arial"/>
          <w:b/>
          <w:color w:val="auto"/>
          <w:sz w:val="40"/>
          <w:szCs w:val="24"/>
          <w:lang w:val="es-ES" w:eastAsia="es-ES" w:bidi="es-ES"/>
        </w:rPr>
      </w:pPr>
      <w:bookmarkStart w:id="7" w:name="_Toc158567468"/>
      <w:r w:rsidRPr="005F2283">
        <w:rPr>
          <w:rFonts w:ascii="Arial" w:eastAsia="Arial" w:hAnsi="Arial" w:cs="Arial"/>
          <w:b/>
          <w:color w:val="auto"/>
          <w:sz w:val="40"/>
          <w:szCs w:val="24"/>
          <w:lang w:val="es-ES" w:eastAsia="es-ES" w:bidi="es-ES"/>
        </w:rPr>
        <w:t>CAPÍTULO 1</w:t>
      </w:r>
      <w:bookmarkEnd w:id="7"/>
    </w:p>
    <w:p w14:paraId="0788C061" w14:textId="77777777" w:rsidR="00FD4225" w:rsidRPr="007F180B" w:rsidRDefault="001D2E8A" w:rsidP="007F180B">
      <w:pPr>
        <w:jc w:val="center"/>
        <w:rPr>
          <w:rFonts w:ascii="Arial" w:hAnsi="Arial" w:cs="Arial"/>
          <w:b/>
          <w:sz w:val="40"/>
          <w:szCs w:val="40"/>
        </w:rPr>
      </w:pPr>
      <w:r w:rsidRPr="007F180B">
        <w:rPr>
          <w:rFonts w:ascii="Arial" w:hAnsi="Arial" w:cs="Arial"/>
          <w:b/>
          <w:sz w:val="40"/>
          <w:szCs w:val="40"/>
        </w:rPr>
        <w:t>Resu</w:t>
      </w:r>
      <w:r w:rsidR="00B91497" w:rsidRPr="007F180B">
        <w:rPr>
          <w:rFonts w:ascii="Arial" w:hAnsi="Arial" w:cs="Arial"/>
          <w:b/>
          <w:sz w:val="40"/>
          <w:szCs w:val="40"/>
        </w:rPr>
        <w:t>men de Auditorías Realizadas y Observaciones E</w:t>
      </w:r>
      <w:r w:rsidRPr="007F180B">
        <w:rPr>
          <w:rFonts w:ascii="Arial" w:hAnsi="Arial" w:cs="Arial"/>
          <w:b/>
          <w:sz w:val="40"/>
          <w:szCs w:val="40"/>
        </w:rPr>
        <w:t>mitidas.</w:t>
      </w:r>
    </w:p>
    <w:p w14:paraId="24491059" w14:textId="77777777" w:rsidR="00665D2D" w:rsidRPr="0088381B" w:rsidRDefault="00665D2D" w:rsidP="007F180B">
      <w:pPr>
        <w:jc w:val="center"/>
        <w:rPr>
          <w:rFonts w:ascii="Arial" w:eastAsia="Arial" w:hAnsi="Arial" w:cs="Arial"/>
          <w:sz w:val="28"/>
          <w:szCs w:val="20"/>
          <w:lang w:val="es-ES" w:eastAsia="es-ES" w:bidi="es-ES"/>
        </w:rPr>
      </w:pPr>
      <w:r w:rsidRPr="0088381B">
        <w:rPr>
          <w:rFonts w:ascii="Arial" w:eastAsia="Arial" w:hAnsi="Arial" w:cs="Arial"/>
          <w:sz w:val="28"/>
          <w:szCs w:val="20"/>
          <w:lang w:val="es-ES" w:eastAsia="es-ES" w:bidi="es-ES"/>
        </w:rPr>
        <w:t>Cumplimiento de la Fracción I y IV, artículo 36 de la LFRCEQROO</w:t>
      </w:r>
    </w:p>
    <w:p w14:paraId="2204E845" w14:textId="77777777" w:rsidR="006C414B" w:rsidRPr="00300219" w:rsidRDefault="006C414B" w:rsidP="00300219">
      <w:pPr>
        <w:rPr>
          <w:rFonts w:ascii="Arial" w:hAnsi="Arial" w:cs="Arial"/>
          <w:sz w:val="24"/>
          <w:szCs w:val="24"/>
        </w:rPr>
      </w:pPr>
    </w:p>
    <w:p w14:paraId="314F72EA" w14:textId="77777777" w:rsidR="000578F7" w:rsidRPr="00300219" w:rsidRDefault="000578F7" w:rsidP="00300219">
      <w:pPr>
        <w:rPr>
          <w:rFonts w:ascii="Arial" w:hAnsi="Arial" w:cs="Arial"/>
          <w:sz w:val="24"/>
          <w:szCs w:val="24"/>
        </w:rPr>
      </w:pPr>
    </w:p>
    <w:p w14:paraId="4FF8384C" w14:textId="77777777" w:rsidR="000578F7" w:rsidRPr="00300219" w:rsidRDefault="000578F7" w:rsidP="00300219">
      <w:pPr>
        <w:rPr>
          <w:rFonts w:ascii="Arial" w:hAnsi="Arial" w:cs="Arial"/>
          <w:sz w:val="24"/>
          <w:szCs w:val="24"/>
        </w:rPr>
      </w:pPr>
    </w:p>
    <w:p w14:paraId="0094ABC8" w14:textId="77777777" w:rsidR="000578F7" w:rsidRPr="00300219" w:rsidRDefault="000578F7" w:rsidP="00300219">
      <w:pPr>
        <w:rPr>
          <w:rFonts w:ascii="Arial" w:hAnsi="Arial" w:cs="Arial"/>
          <w:sz w:val="24"/>
          <w:szCs w:val="24"/>
        </w:rPr>
      </w:pPr>
    </w:p>
    <w:p w14:paraId="628EC7E9" w14:textId="77777777" w:rsidR="003461C9" w:rsidRDefault="003461C9" w:rsidP="00300219">
      <w:pPr>
        <w:rPr>
          <w:rFonts w:ascii="Arial" w:hAnsi="Arial" w:cs="Arial"/>
          <w:sz w:val="24"/>
          <w:szCs w:val="24"/>
        </w:rPr>
      </w:pPr>
    </w:p>
    <w:p w14:paraId="1A980E97" w14:textId="77777777" w:rsidR="0088381B" w:rsidRDefault="0088381B" w:rsidP="00300219">
      <w:pPr>
        <w:rPr>
          <w:rFonts w:ascii="Arial" w:hAnsi="Arial" w:cs="Arial"/>
          <w:sz w:val="24"/>
          <w:szCs w:val="24"/>
        </w:rPr>
      </w:pPr>
    </w:p>
    <w:p w14:paraId="567466BC" w14:textId="77777777" w:rsidR="0088381B" w:rsidRPr="00300219" w:rsidRDefault="0088381B" w:rsidP="00300219">
      <w:pPr>
        <w:rPr>
          <w:rFonts w:ascii="Arial" w:hAnsi="Arial" w:cs="Arial"/>
          <w:sz w:val="24"/>
          <w:szCs w:val="24"/>
        </w:rPr>
      </w:pPr>
    </w:p>
    <w:p w14:paraId="4A9616C2" w14:textId="77777777" w:rsidR="003461C9" w:rsidRPr="00300219" w:rsidRDefault="003461C9" w:rsidP="00300219">
      <w:pPr>
        <w:rPr>
          <w:rFonts w:ascii="Arial" w:hAnsi="Arial" w:cs="Arial"/>
          <w:sz w:val="24"/>
          <w:szCs w:val="24"/>
        </w:rPr>
      </w:pPr>
    </w:p>
    <w:p w14:paraId="7AF3EFDB" w14:textId="77777777" w:rsidR="003461C9" w:rsidRPr="00300219" w:rsidRDefault="003461C9" w:rsidP="00300219">
      <w:pPr>
        <w:rPr>
          <w:rFonts w:ascii="Arial" w:hAnsi="Arial" w:cs="Arial"/>
          <w:sz w:val="24"/>
          <w:szCs w:val="24"/>
        </w:rPr>
      </w:pPr>
    </w:p>
    <w:p w14:paraId="7B45AD86" w14:textId="77777777" w:rsidR="003461C9" w:rsidRPr="00300219" w:rsidRDefault="003461C9" w:rsidP="00300219">
      <w:pPr>
        <w:rPr>
          <w:rFonts w:ascii="Arial" w:hAnsi="Arial" w:cs="Arial"/>
          <w:sz w:val="24"/>
          <w:szCs w:val="24"/>
        </w:rPr>
      </w:pPr>
    </w:p>
    <w:p w14:paraId="3B1EEF62" w14:textId="77777777" w:rsidR="003461C9" w:rsidRPr="00300219" w:rsidRDefault="003461C9" w:rsidP="00300219">
      <w:pPr>
        <w:rPr>
          <w:rFonts w:ascii="Arial" w:hAnsi="Arial" w:cs="Arial"/>
          <w:sz w:val="24"/>
          <w:szCs w:val="24"/>
        </w:rPr>
      </w:pPr>
    </w:p>
    <w:p w14:paraId="2CD24643" w14:textId="77777777" w:rsidR="003461C9" w:rsidRPr="00300219" w:rsidRDefault="003461C9" w:rsidP="00300219">
      <w:pPr>
        <w:rPr>
          <w:rFonts w:ascii="Arial" w:hAnsi="Arial" w:cs="Arial"/>
          <w:sz w:val="24"/>
          <w:szCs w:val="24"/>
        </w:rPr>
      </w:pPr>
    </w:p>
    <w:p w14:paraId="19DE5301" w14:textId="77777777" w:rsidR="006C414B" w:rsidRDefault="00C8415B" w:rsidP="006E4490">
      <w:pPr>
        <w:spacing w:line="360" w:lineRule="auto"/>
        <w:jc w:val="both"/>
        <w:rPr>
          <w:rFonts w:ascii="Arial" w:hAnsi="Arial" w:cs="Arial"/>
          <w:sz w:val="24"/>
          <w:szCs w:val="24"/>
        </w:rPr>
      </w:pPr>
      <w:r w:rsidRPr="00F7194B">
        <w:rPr>
          <w:rFonts w:ascii="Arial" w:hAnsi="Arial" w:cs="Arial"/>
          <w:sz w:val="24"/>
          <w:szCs w:val="24"/>
        </w:rPr>
        <w:lastRenderedPageBreak/>
        <w:t>Con fundamento en el artículo 36, de la Ley de Fiscalización y Rendición de Cuentas del Estado de Quintana Roo se presenta, a través del Informe General Ejecutivo, una síntesis del trabajo de la fiscalización que se llevó a cabo por la Auditoría Superior del Estado de Quintana Roo en relación a la Cuenta Pública 202</w:t>
      </w:r>
      <w:r w:rsidR="00871C62">
        <w:rPr>
          <w:rFonts w:ascii="Arial" w:hAnsi="Arial" w:cs="Arial"/>
          <w:sz w:val="24"/>
          <w:szCs w:val="24"/>
        </w:rPr>
        <w:t>2</w:t>
      </w:r>
      <w:r w:rsidRPr="00F7194B">
        <w:rPr>
          <w:rFonts w:ascii="Arial" w:hAnsi="Arial" w:cs="Arial"/>
          <w:sz w:val="24"/>
          <w:szCs w:val="24"/>
        </w:rPr>
        <w:t>; integrado por el marco legal, procedimientos realizados y resultados obtenidos.</w:t>
      </w:r>
    </w:p>
    <w:p w14:paraId="01231EF7" w14:textId="77777777" w:rsidR="006C414B" w:rsidRPr="002A31A2" w:rsidRDefault="006C414B" w:rsidP="00C8415B">
      <w:pPr>
        <w:rPr>
          <w:rFonts w:ascii="Arial" w:eastAsia="Arial" w:hAnsi="Arial" w:cs="Arial"/>
          <w:sz w:val="10"/>
          <w:szCs w:val="20"/>
          <w:lang w:val="es-ES" w:eastAsia="es-ES" w:bidi="es-ES"/>
        </w:rPr>
      </w:pPr>
    </w:p>
    <w:p w14:paraId="3B6795CA" w14:textId="77777777" w:rsidR="00501682" w:rsidRPr="00C70285" w:rsidRDefault="007E099D" w:rsidP="00683FD0">
      <w:pPr>
        <w:pStyle w:val="Ttulo2"/>
        <w:numPr>
          <w:ilvl w:val="0"/>
          <w:numId w:val="1"/>
        </w:numPr>
        <w:spacing w:before="240" w:line="276" w:lineRule="auto"/>
        <w:jc w:val="both"/>
        <w:rPr>
          <w:rFonts w:ascii="Arial" w:hAnsi="Arial" w:cs="Arial"/>
          <w:b/>
          <w:color w:val="auto"/>
          <w:sz w:val="24"/>
          <w:szCs w:val="24"/>
        </w:rPr>
      </w:pPr>
      <w:bookmarkStart w:id="8" w:name="_Toc158567469"/>
      <w:r w:rsidRPr="00C70285">
        <w:rPr>
          <w:rFonts w:ascii="Arial" w:hAnsi="Arial" w:cs="Arial"/>
          <w:b/>
          <w:color w:val="auto"/>
          <w:sz w:val="24"/>
          <w:szCs w:val="24"/>
        </w:rPr>
        <w:t>MARCO LEGAL QUE RIGE LA FISCALIZACIÓN SUPERIOR DE LA CUENTA PÚBLICA</w:t>
      </w:r>
      <w:bookmarkEnd w:id="8"/>
    </w:p>
    <w:p w14:paraId="0FEA38BC" w14:textId="77777777" w:rsidR="00904E2E" w:rsidRPr="0088381B" w:rsidRDefault="00904E2E" w:rsidP="00904E2E">
      <w:pPr>
        <w:rPr>
          <w:sz w:val="18"/>
        </w:rPr>
      </w:pPr>
    </w:p>
    <w:p w14:paraId="278F34C7" w14:textId="77777777" w:rsidR="00904E2E" w:rsidRDefault="00904E2E" w:rsidP="00904E2E">
      <w:pPr>
        <w:spacing w:line="360" w:lineRule="auto"/>
        <w:ind w:left="360"/>
        <w:jc w:val="both"/>
        <w:rPr>
          <w:rFonts w:ascii="Arial" w:hAnsi="Arial" w:cs="Arial"/>
          <w:sz w:val="24"/>
          <w:szCs w:val="24"/>
        </w:rPr>
      </w:pPr>
      <w:r w:rsidRPr="00904E2E">
        <w:rPr>
          <w:rFonts w:ascii="Arial" w:hAnsi="Arial" w:cs="Arial"/>
          <w:sz w:val="24"/>
          <w:szCs w:val="24"/>
        </w:rPr>
        <w:t xml:space="preserve">En cumplimiento al artículo 77, fracción II de la Constitución Política del Estado Libre y Soberano de Quintana Roo, y a lo dispuesto en los artículos 6, fracciones I, II y XX, 41, 86 fracciones II, XIII y XXXVI, y 101 de la Ley de Fiscalización y Rendición de Cuentas del Estado de Quintana Roo; así como en los artículos 4, 8 y 9 fracción XXVI del Reglamento Interior de la Auditoría Superior del Estado de Quintana Roo, se brinda certeza jurídica al proceso de fiscalización superior plasmado en este Informe General Ejecutivo. </w:t>
      </w:r>
    </w:p>
    <w:p w14:paraId="3BE87DC6" w14:textId="77777777" w:rsidR="00A6095C" w:rsidRPr="002A31A2" w:rsidRDefault="00A6095C" w:rsidP="00904E2E">
      <w:pPr>
        <w:spacing w:line="360" w:lineRule="auto"/>
        <w:ind w:left="360"/>
        <w:jc w:val="both"/>
        <w:rPr>
          <w:rFonts w:ascii="Arial" w:hAnsi="Arial" w:cs="Arial"/>
          <w:sz w:val="10"/>
          <w:szCs w:val="24"/>
        </w:rPr>
      </w:pPr>
    </w:p>
    <w:p w14:paraId="612DF9B5" w14:textId="77777777" w:rsidR="00480219" w:rsidRDefault="00480219" w:rsidP="00480219">
      <w:pPr>
        <w:spacing w:line="360" w:lineRule="auto"/>
        <w:ind w:left="360"/>
        <w:jc w:val="both"/>
        <w:rPr>
          <w:rFonts w:ascii="Arial" w:hAnsi="Arial" w:cs="Arial"/>
          <w:sz w:val="24"/>
          <w:szCs w:val="24"/>
        </w:rPr>
      </w:pPr>
      <w:r>
        <w:rPr>
          <w:rFonts w:ascii="Arial" w:hAnsi="Arial" w:cs="Arial"/>
          <w:sz w:val="24"/>
          <w:szCs w:val="24"/>
        </w:rPr>
        <w:t xml:space="preserve">Así mismo es </w:t>
      </w:r>
      <w:r w:rsidRPr="00F7194B">
        <w:rPr>
          <w:rFonts w:ascii="Arial" w:hAnsi="Arial" w:cs="Arial"/>
          <w:sz w:val="24"/>
          <w:szCs w:val="24"/>
        </w:rPr>
        <w:t>importante señalar que, de acuerdo al artículo 37 de la Ley de Fiscalización y Rendición de Cuentas del Estado de Quintana Roo, este Órgano de Fiscalización Superior entregó</w:t>
      </w:r>
      <w:r w:rsidR="00034451">
        <w:rPr>
          <w:rFonts w:ascii="Arial" w:hAnsi="Arial" w:cs="Arial"/>
          <w:sz w:val="24"/>
          <w:szCs w:val="24"/>
        </w:rPr>
        <w:t xml:space="preserve"> </w:t>
      </w:r>
      <w:r w:rsidR="00034451" w:rsidRPr="00F7194B">
        <w:rPr>
          <w:rFonts w:ascii="Arial" w:hAnsi="Arial" w:cs="Arial"/>
          <w:sz w:val="24"/>
          <w:szCs w:val="24"/>
        </w:rPr>
        <w:t>a la Comisión de Hacienda, Presupuesto y Cuenta del H. Congreso del Estado</w:t>
      </w:r>
      <w:r w:rsidRPr="00F7194B">
        <w:rPr>
          <w:rFonts w:ascii="Arial" w:hAnsi="Arial" w:cs="Arial"/>
          <w:sz w:val="24"/>
          <w:szCs w:val="24"/>
        </w:rPr>
        <w:t xml:space="preserve"> los</w:t>
      </w:r>
      <w:r>
        <w:rPr>
          <w:rFonts w:ascii="Arial" w:hAnsi="Arial" w:cs="Arial"/>
          <w:sz w:val="24"/>
          <w:szCs w:val="24"/>
        </w:rPr>
        <w:t xml:space="preserve"> </w:t>
      </w:r>
      <w:r w:rsidR="00871C62">
        <w:rPr>
          <w:rFonts w:ascii="Arial" w:hAnsi="Arial" w:cs="Arial"/>
          <w:sz w:val="24"/>
          <w:szCs w:val="24"/>
        </w:rPr>
        <w:t>153</w:t>
      </w:r>
      <w:r w:rsidRPr="00F7194B">
        <w:rPr>
          <w:rFonts w:ascii="Arial" w:hAnsi="Arial" w:cs="Arial"/>
          <w:sz w:val="24"/>
          <w:szCs w:val="24"/>
        </w:rPr>
        <w:t xml:space="preserve"> </w:t>
      </w:r>
      <w:r w:rsidR="00034451" w:rsidRPr="00F7194B">
        <w:rPr>
          <w:rFonts w:ascii="Arial" w:hAnsi="Arial" w:cs="Arial"/>
          <w:sz w:val="24"/>
          <w:szCs w:val="24"/>
        </w:rPr>
        <w:t xml:space="preserve">Informes Individuales </w:t>
      </w:r>
      <w:r w:rsidRPr="00F7194B">
        <w:rPr>
          <w:rFonts w:ascii="Arial" w:hAnsi="Arial" w:cs="Arial"/>
          <w:sz w:val="24"/>
          <w:szCs w:val="24"/>
        </w:rPr>
        <w:t>derivados de la</w:t>
      </w:r>
      <w:r>
        <w:rPr>
          <w:rFonts w:ascii="Arial" w:hAnsi="Arial" w:cs="Arial"/>
          <w:sz w:val="24"/>
          <w:szCs w:val="24"/>
        </w:rPr>
        <w:t xml:space="preserve"> fiscalización al ejercicio 202</w:t>
      </w:r>
      <w:r w:rsidR="001501B3">
        <w:rPr>
          <w:rFonts w:ascii="Arial" w:hAnsi="Arial" w:cs="Arial"/>
          <w:sz w:val="24"/>
          <w:szCs w:val="24"/>
        </w:rPr>
        <w:t>2</w:t>
      </w:r>
      <w:r w:rsidRPr="00F7194B">
        <w:rPr>
          <w:rFonts w:ascii="Arial" w:hAnsi="Arial" w:cs="Arial"/>
          <w:sz w:val="24"/>
          <w:szCs w:val="24"/>
        </w:rPr>
        <w:t xml:space="preserve"> en las tres respectivas fechas que cita la ley</w:t>
      </w:r>
      <w:r>
        <w:rPr>
          <w:rFonts w:ascii="Arial" w:hAnsi="Arial" w:cs="Arial"/>
          <w:sz w:val="24"/>
          <w:szCs w:val="24"/>
        </w:rPr>
        <w:t xml:space="preserve">; </w:t>
      </w:r>
      <w:r w:rsidR="0020687F">
        <w:rPr>
          <w:rFonts w:ascii="Arial" w:hAnsi="Arial" w:cs="Arial"/>
          <w:sz w:val="24"/>
          <w:szCs w:val="24"/>
        </w:rPr>
        <w:t>como se puede observar en la Tabla N°1</w:t>
      </w:r>
      <w:r w:rsidR="00034451">
        <w:rPr>
          <w:rFonts w:ascii="Arial" w:hAnsi="Arial" w:cs="Arial"/>
          <w:sz w:val="24"/>
          <w:szCs w:val="24"/>
        </w:rPr>
        <w:t>.</w:t>
      </w:r>
    </w:p>
    <w:p w14:paraId="3BD17A5B" w14:textId="77777777" w:rsidR="00A6095C" w:rsidRPr="002A31A2" w:rsidRDefault="00A6095C" w:rsidP="002A31A2">
      <w:pPr>
        <w:spacing w:line="360" w:lineRule="auto"/>
        <w:jc w:val="both"/>
        <w:rPr>
          <w:rFonts w:ascii="Arial" w:hAnsi="Arial" w:cs="Arial"/>
          <w:color w:val="FF0000"/>
          <w:sz w:val="4"/>
          <w:szCs w:val="24"/>
        </w:rPr>
      </w:pPr>
    </w:p>
    <w:p w14:paraId="6E4FDA95" w14:textId="77777777" w:rsidR="00904E2E" w:rsidRDefault="00904E2E" w:rsidP="00904E2E">
      <w:pPr>
        <w:spacing w:line="360" w:lineRule="auto"/>
        <w:ind w:left="360"/>
        <w:jc w:val="both"/>
        <w:rPr>
          <w:rFonts w:ascii="Arial" w:hAnsi="Arial" w:cs="Arial"/>
          <w:sz w:val="24"/>
          <w:szCs w:val="24"/>
        </w:rPr>
      </w:pPr>
      <w:r w:rsidRPr="00904E2E">
        <w:rPr>
          <w:rFonts w:ascii="Arial" w:hAnsi="Arial" w:cs="Arial"/>
          <w:sz w:val="24"/>
          <w:szCs w:val="24"/>
        </w:rPr>
        <w:t>Destacando que a algunas entidades fiscalizables se les practicaron más de una auditoría, toda vez que los tipos de auditorías que realiza esta Auditoría Superior son: Auditoría de Cumplimiento Financiero, Auditoría de</w:t>
      </w:r>
      <w:r w:rsidR="00BF61C5">
        <w:rPr>
          <w:rFonts w:ascii="Arial" w:hAnsi="Arial" w:cs="Arial"/>
          <w:sz w:val="24"/>
          <w:szCs w:val="24"/>
        </w:rPr>
        <w:t xml:space="preserve"> Cumplimiento de</w:t>
      </w:r>
      <w:r w:rsidRPr="00904E2E">
        <w:rPr>
          <w:rFonts w:ascii="Arial" w:hAnsi="Arial" w:cs="Arial"/>
          <w:sz w:val="24"/>
          <w:szCs w:val="24"/>
        </w:rPr>
        <w:t xml:space="preserve"> I</w:t>
      </w:r>
      <w:r w:rsidR="00BF61C5">
        <w:rPr>
          <w:rFonts w:ascii="Arial" w:hAnsi="Arial" w:cs="Arial"/>
          <w:sz w:val="24"/>
          <w:szCs w:val="24"/>
        </w:rPr>
        <w:t>nversiones Físicas y Auditoría de</w:t>
      </w:r>
      <w:r w:rsidRPr="00904E2E">
        <w:rPr>
          <w:rFonts w:ascii="Arial" w:hAnsi="Arial" w:cs="Arial"/>
          <w:sz w:val="24"/>
          <w:szCs w:val="24"/>
        </w:rPr>
        <w:t xml:space="preserve"> Desempeño.</w:t>
      </w:r>
    </w:p>
    <w:p w14:paraId="08818B0E" w14:textId="77777777" w:rsidR="00B0286F" w:rsidRDefault="00B0286F" w:rsidP="00BB2A13">
      <w:pPr>
        <w:spacing w:line="360" w:lineRule="auto"/>
        <w:jc w:val="both"/>
        <w:rPr>
          <w:rFonts w:ascii="Arial" w:hAnsi="Arial" w:cs="Arial"/>
          <w:sz w:val="10"/>
          <w:szCs w:val="24"/>
        </w:rPr>
      </w:pPr>
    </w:p>
    <w:p w14:paraId="6CC0548D" w14:textId="77777777" w:rsidR="002A31A2" w:rsidRDefault="002A31A2" w:rsidP="00BB2A13">
      <w:pPr>
        <w:spacing w:line="360" w:lineRule="auto"/>
        <w:jc w:val="both"/>
        <w:rPr>
          <w:rFonts w:ascii="Arial" w:hAnsi="Arial" w:cs="Arial"/>
          <w:sz w:val="10"/>
          <w:szCs w:val="24"/>
        </w:rPr>
      </w:pPr>
    </w:p>
    <w:p w14:paraId="29789578" w14:textId="77777777" w:rsidR="002A31A2" w:rsidRPr="00BB2A13" w:rsidRDefault="002A31A2" w:rsidP="00BB2A13">
      <w:pPr>
        <w:spacing w:line="360" w:lineRule="auto"/>
        <w:jc w:val="both"/>
        <w:rPr>
          <w:rFonts w:ascii="Arial" w:hAnsi="Arial" w:cs="Arial"/>
          <w:sz w:val="10"/>
          <w:szCs w:val="24"/>
        </w:rPr>
      </w:pPr>
    </w:p>
    <w:p w14:paraId="120AD3F8" w14:textId="77777777" w:rsidR="009A5301" w:rsidRDefault="009A5301" w:rsidP="00E53D44">
      <w:pPr>
        <w:tabs>
          <w:tab w:val="left" w:pos="6994"/>
        </w:tabs>
        <w:spacing w:after="0" w:line="276" w:lineRule="auto"/>
        <w:jc w:val="center"/>
        <w:rPr>
          <w:rFonts w:ascii="Arial" w:eastAsia="Times New Roman" w:hAnsi="Arial" w:cs="Arial"/>
          <w:b/>
          <w:color w:val="000000"/>
          <w:szCs w:val="24"/>
          <w:lang w:eastAsia="es-MX"/>
        </w:rPr>
      </w:pPr>
      <w:r w:rsidRPr="00F7194B">
        <w:rPr>
          <w:rFonts w:ascii="Arial" w:eastAsia="Times New Roman" w:hAnsi="Arial" w:cs="Arial"/>
          <w:b/>
          <w:color w:val="000000"/>
          <w:szCs w:val="24"/>
          <w:lang w:eastAsia="es-MX"/>
        </w:rPr>
        <w:lastRenderedPageBreak/>
        <w:t xml:space="preserve">Informes Individuales Entregados al H. Congreso del Estado, </w:t>
      </w:r>
    </w:p>
    <w:p w14:paraId="44728D7C" w14:textId="77777777" w:rsidR="009A5301" w:rsidRDefault="009A5301" w:rsidP="00E53D44">
      <w:pPr>
        <w:tabs>
          <w:tab w:val="left" w:pos="6994"/>
        </w:tabs>
        <w:spacing w:after="0" w:line="276" w:lineRule="auto"/>
        <w:jc w:val="center"/>
        <w:rPr>
          <w:rFonts w:ascii="Arial" w:eastAsia="Times New Roman" w:hAnsi="Arial" w:cs="Arial"/>
          <w:b/>
          <w:color w:val="000000"/>
          <w:szCs w:val="24"/>
          <w:lang w:eastAsia="es-MX"/>
        </w:rPr>
      </w:pPr>
      <w:r w:rsidRPr="00F7194B">
        <w:rPr>
          <w:rFonts w:ascii="Arial" w:eastAsia="Times New Roman" w:hAnsi="Arial" w:cs="Arial"/>
          <w:b/>
          <w:color w:val="000000"/>
          <w:szCs w:val="24"/>
          <w:lang w:eastAsia="es-MX"/>
        </w:rPr>
        <w:t>correspondientes al ejercicio fiscal auditado 202</w:t>
      </w:r>
      <w:r w:rsidR="00282D44">
        <w:rPr>
          <w:rFonts w:ascii="Arial" w:eastAsia="Times New Roman" w:hAnsi="Arial" w:cs="Arial"/>
          <w:b/>
          <w:color w:val="000000"/>
          <w:szCs w:val="24"/>
          <w:lang w:eastAsia="es-MX"/>
        </w:rPr>
        <w:t>2</w:t>
      </w:r>
    </w:p>
    <w:p w14:paraId="79AAB751" w14:textId="77777777" w:rsidR="00B103B0" w:rsidRDefault="00B103B0" w:rsidP="00E53D44">
      <w:pPr>
        <w:tabs>
          <w:tab w:val="left" w:pos="6994"/>
        </w:tabs>
        <w:spacing w:after="0" w:line="276" w:lineRule="auto"/>
        <w:jc w:val="center"/>
        <w:rPr>
          <w:rFonts w:ascii="Arial" w:eastAsia="Times New Roman" w:hAnsi="Arial" w:cs="Arial"/>
          <w:b/>
          <w:color w:val="000000"/>
          <w:szCs w:val="24"/>
          <w:lang w:eastAsia="es-MX"/>
        </w:rPr>
      </w:pPr>
    </w:p>
    <w:tbl>
      <w:tblPr>
        <w:tblStyle w:val="Tabladelista3-nfasis41"/>
        <w:tblW w:w="0" w:type="auto"/>
        <w:tblBorders>
          <w:top w:val="single" w:sz="4" w:space="0" w:color="808080"/>
          <w:left w:val="single" w:sz="4" w:space="0" w:color="808080"/>
          <w:bottom w:val="single" w:sz="4" w:space="0" w:color="808080"/>
          <w:right w:val="single" w:sz="4" w:space="0" w:color="808080"/>
          <w:insideH w:val="single" w:sz="4" w:space="0" w:color="808080"/>
        </w:tblBorders>
        <w:tblLook w:val="04A0" w:firstRow="1" w:lastRow="0" w:firstColumn="1" w:lastColumn="0" w:noHBand="0" w:noVBand="1"/>
      </w:tblPr>
      <w:tblGrid>
        <w:gridCol w:w="2942"/>
        <w:gridCol w:w="2943"/>
        <w:gridCol w:w="2943"/>
      </w:tblGrid>
      <w:tr w:rsidR="00B103B0" w:rsidRPr="00B103B0" w14:paraId="29810209" w14:textId="77777777" w:rsidTr="00BB2A13">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942" w:type="dxa"/>
            <w:shd w:val="clear" w:color="auto" w:fill="A5A5A5" w:themeFill="accent3"/>
            <w:vAlign w:val="center"/>
          </w:tcPr>
          <w:p w14:paraId="2547A67F" w14:textId="77777777" w:rsidR="00B103B0" w:rsidRPr="00B103B0" w:rsidRDefault="00B103B0" w:rsidP="00B103B0">
            <w:pPr>
              <w:jc w:val="center"/>
              <w:rPr>
                <w:rFonts w:ascii="Arial" w:eastAsia="Trebuchet MS" w:hAnsi="Arial" w:cs="Arial"/>
              </w:rPr>
            </w:pPr>
            <w:r w:rsidRPr="00B103B0">
              <w:rPr>
                <w:rFonts w:ascii="Arial" w:eastAsia="Trebuchet MS" w:hAnsi="Arial" w:cs="Arial"/>
              </w:rPr>
              <w:t>Entregas</w:t>
            </w:r>
          </w:p>
        </w:tc>
        <w:tc>
          <w:tcPr>
            <w:tcW w:w="2943" w:type="dxa"/>
            <w:shd w:val="clear" w:color="auto" w:fill="A5A5A5" w:themeFill="accent3"/>
          </w:tcPr>
          <w:p w14:paraId="48CB2A95" w14:textId="77777777" w:rsidR="00B103B0" w:rsidRPr="00B103B0" w:rsidRDefault="00B103B0" w:rsidP="00B103B0">
            <w:pPr>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cs="Arial"/>
              </w:rPr>
            </w:pPr>
            <w:r w:rsidRPr="00B103B0">
              <w:rPr>
                <w:rFonts w:ascii="Arial" w:eastAsia="Trebuchet MS" w:hAnsi="Arial" w:cs="Arial"/>
              </w:rPr>
              <w:t>Informes Individuales entregados</w:t>
            </w:r>
          </w:p>
        </w:tc>
        <w:tc>
          <w:tcPr>
            <w:tcW w:w="2943" w:type="dxa"/>
            <w:shd w:val="clear" w:color="auto" w:fill="A5A5A5" w:themeFill="accent3"/>
            <w:vAlign w:val="center"/>
          </w:tcPr>
          <w:p w14:paraId="352D64CE" w14:textId="77777777" w:rsidR="00B103B0" w:rsidRPr="00B103B0" w:rsidRDefault="00B103B0" w:rsidP="00B103B0">
            <w:pPr>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cs="Arial"/>
              </w:rPr>
            </w:pPr>
            <w:r w:rsidRPr="00B103B0">
              <w:rPr>
                <w:rFonts w:ascii="Arial" w:eastAsia="Trebuchet MS" w:hAnsi="Arial" w:cs="Arial"/>
              </w:rPr>
              <w:t>%</w:t>
            </w:r>
          </w:p>
        </w:tc>
      </w:tr>
      <w:tr w:rsidR="00B103B0" w:rsidRPr="00B103B0" w14:paraId="65B1CC89" w14:textId="77777777" w:rsidTr="00A25C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2" w:type="dxa"/>
            <w:tcBorders>
              <w:top w:val="none" w:sz="0" w:space="0" w:color="auto"/>
              <w:bottom w:val="none" w:sz="0" w:space="0" w:color="auto"/>
              <w:right w:val="none" w:sz="0" w:space="0" w:color="auto"/>
            </w:tcBorders>
            <w:shd w:val="clear" w:color="auto" w:fill="EDEDED" w:themeFill="accent3" w:themeFillTint="33"/>
            <w:vAlign w:val="center"/>
          </w:tcPr>
          <w:p w14:paraId="5537ECE2" w14:textId="77777777" w:rsidR="00B103B0" w:rsidRPr="00A25C8C" w:rsidRDefault="008D7893" w:rsidP="00282D44">
            <w:pPr>
              <w:rPr>
                <w:rFonts w:ascii="Arial" w:eastAsia="Times New Roman" w:hAnsi="Arial" w:cs="Arial"/>
                <w:lang w:eastAsia="es-MX"/>
              </w:rPr>
            </w:pPr>
            <w:r w:rsidRPr="00A25C8C">
              <w:rPr>
                <w:rFonts w:ascii="Arial" w:eastAsia="Times New Roman" w:hAnsi="Arial" w:cs="Arial"/>
                <w:lang w:eastAsia="es-MX"/>
              </w:rPr>
              <w:t>Primera Entrega</w:t>
            </w:r>
            <w:r w:rsidRPr="00A25C8C">
              <w:rPr>
                <w:rFonts w:ascii="Arial" w:eastAsia="Times New Roman" w:hAnsi="Arial" w:cs="Arial"/>
                <w:lang w:eastAsia="es-MX"/>
              </w:rPr>
              <w:br/>
            </w:r>
            <w:r w:rsidRPr="00BD2A5F">
              <w:rPr>
                <w:rFonts w:ascii="Arial" w:eastAsia="Times New Roman" w:hAnsi="Arial" w:cs="Arial"/>
                <w:b w:val="0"/>
                <w:lang w:eastAsia="es-MX"/>
              </w:rPr>
              <w:t>2</w:t>
            </w:r>
            <w:r w:rsidR="004A7970">
              <w:rPr>
                <w:rFonts w:ascii="Arial" w:eastAsia="Times New Roman" w:hAnsi="Arial" w:cs="Arial"/>
                <w:b w:val="0"/>
                <w:lang w:eastAsia="es-MX"/>
              </w:rPr>
              <w:t>8</w:t>
            </w:r>
            <w:r w:rsidRPr="00BD2A5F">
              <w:rPr>
                <w:rFonts w:ascii="Arial" w:eastAsia="Times New Roman" w:hAnsi="Arial" w:cs="Arial"/>
                <w:b w:val="0"/>
                <w:lang w:eastAsia="es-MX"/>
              </w:rPr>
              <w:t xml:space="preserve"> de junio de 202</w:t>
            </w:r>
            <w:r w:rsidR="00282D44">
              <w:rPr>
                <w:rFonts w:ascii="Arial" w:eastAsia="Times New Roman" w:hAnsi="Arial" w:cs="Arial"/>
                <w:b w:val="0"/>
                <w:lang w:eastAsia="es-MX"/>
              </w:rPr>
              <w:t>3</w:t>
            </w:r>
          </w:p>
        </w:tc>
        <w:tc>
          <w:tcPr>
            <w:tcW w:w="2943" w:type="dxa"/>
            <w:tcBorders>
              <w:top w:val="none" w:sz="0" w:space="0" w:color="auto"/>
              <w:bottom w:val="none" w:sz="0" w:space="0" w:color="auto"/>
            </w:tcBorders>
            <w:shd w:val="clear" w:color="auto" w:fill="EDEDED" w:themeFill="accent3" w:themeFillTint="33"/>
            <w:vAlign w:val="center"/>
          </w:tcPr>
          <w:p w14:paraId="5D877D3B" w14:textId="77777777" w:rsidR="00B103B0" w:rsidRPr="00A25C8C" w:rsidRDefault="00282D44" w:rsidP="00B103B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Pr>
                <w:rFonts w:ascii="Arial" w:eastAsia="Times New Roman" w:hAnsi="Arial" w:cs="Arial"/>
                <w:lang w:eastAsia="es-MX"/>
              </w:rPr>
              <w:t>26</w:t>
            </w:r>
          </w:p>
        </w:tc>
        <w:tc>
          <w:tcPr>
            <w:tcW w:w="2943" w:type="dxa"/>
            <w:tcBorders>
              <w:top w:val="none" w:sz="0" w:space="0" w:color="auto"/>
              <w:bottom w:val="none" w:sz="0" w:space="0" w:color="auto"/>
            </w:tcBorders>
            <w:shd w:val="clear" w:color="auto" w:fill="EDEDED" w:themeFill="accent3" w:themeFillTint="33"/>
            <w:vAlign w:val="center"/>
          </w:tcPr>
          <w:p w14:paraId="31DC2630" w14:textId="77777777" w:rsidR="00B103B0" w:rsidRPr="00A25C8C" w:rsidRDefault="00282D44" w:rsidP="00B103B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Pr>
                <w:rFonts w:ascii="Arial" w:eastAsia="Times New Roman" w:hAnsi="Arial" w:cs="Arial"/>
                <w:lang w:eastAsia="es-MX"/>
              </w:rPr>
              <w:t>17</w:t>
            </w:r>
          </w:p>
        </w:tc>
      </w:tr>
      <w:tr w:rsidR="00B103B0" w:rsidRPr="00B103B0" w14:paraId="42861DCE" w14:textId="77777777" w:rsidTr="00BB2A13">
        <w:trPr>
          <w:trHeight w:val="567"/>
        </w:trPr>
        <w:tc>
          <w:tcPr>
            <w:cnfStyle w:val="001000000000" w:firstRow="0" w:lastRow="0" w:firstColumn="1" w:lastColumn="0" w:oddVBand="0" w:evenVBand="0" w:oddHBand="0" w:evenHBand="0" w:firstRowFirstColumn="0" w:firstRowLastColumn="0" w:lastRowFirstColumn="0" w:lastRowLastColumn="0"/>
            <w:tcW w:w="2942" w:type="dxa"/>
            <w:tcBorders>
              <w:right w:val="none" w:sz="0" w:space="0" w:color="auto"/>
            </w:tcBorders>
            <w:vAlign w:val="center"/>
          </w:tcPr>
          <w:p w14:paraId="7100A073" w14:textId="77777777" w:rsidR="00B103B0" w:rsidRPr="00B103B0" w:rsidRDefault="008D7893" w:rsidP="00B103B0">
            <w:pPr>
              <w:rPr>
                <w:rFonts w:ascii="Arial" w:eastAsia="Trebuchet MS" w:hAnsi="Arial" w:cs="Arial"/>
              </w:rPr>
            </w:pPr>
            <w:r>
              <w:rPr>
                <w:rFonts w:ascii="Arial" w:eastAsia="Trebuchet MS" w:hAnsi="Arial" w:cs="Arial"/>
              </w:rPr>
              <w:t>Segunda Entrega</w:t>
            </w:r>
            <w:r>
              <w:rPr>
                <w:rFonts w:ascii="Arial" w:eastAsia="Trebuchet MS" w:hAnsi="Arial" w:cs="Arial"/>
              </w:rPr>
              <w:br/>
            </w:r>
            <w:r w:rsidR="00282D44">
              <w:rPr>
                <w:rFonts w:ascii="Arial" w:eastAsia="Trebuchet MS" w:hAnsi="Arial" w:cs="Arial"/>
                <w:b w:val="0"/>
              </w:rPr>
              <w:t>26 de octubre de 2023</w:t>
            </w:r>
          </w:p>
        </w:tc>
        <w:tc>
          <w:tcPr>
            <w:tcW w:w="2943" w:type="dxa"/>
            <w:vAlign w:val="center"/>
          </w:tcPr>
          <w:p w14:paraId="40183F35" w14:textId="77777777" w:rsidR="00B103B0" w:rsidRPr="00B103B0" w:rsidRDefault="00282D44" w:rsidP="00B103B0">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rPr>
            </w:pPr>
            <w:r>
              <w:rPr>
                <w:rFonts w:ascii="Arial" w:eastAsia="Trebuchet MS" w:hAnsi="Arial" w:cs="Arial"/>
              </w:rPr>
              <w:t>60</w:t>
            </w:r>
          </w:p>
        </w:tc>
        <w:tc>
          <w:tcPr>
            <w:tcW w:w="2943" w:type="dxa"/>
            <w:vAlign w:val="center"/>
          </w:tcPr>
          <w:p w14:paraId="7D3DAF97" w14:textId="77777777" w:rsidR="00B103B0" w:rsidRPr="00B103B0" w:rsidRDefault="00282D44" w:rsidP="00B103B0">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rPr>
            </w:pPr>
            <w:r>
              <w:rPr>
                <w:rFonts w:ascii="Arial" w:eastAsia="Trebuchet MS" w:hAnsi="Arial" w:cs="Arial"/>
              </w:rPr>
              <w:t>39</w:t>
            </w:r>
          </w:p>
        </w:tc>
      </w:tr>
      <w:tr w:rsidR="00B103B0" w:rsidRPr="00B103B0" w14:paraId="36359BC2" w14:textId="77777777" w:rsidTr="00A25C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2" w:type="dxa"/>
            <w:tcBorders>
              <w:top w:val="none" w:sz="0" w:space="0" w:color="auto"/>
              <w:bottom w:val="none" w:sz="0" w:space="0" w:color="auto"/>
              <w:right w:val="none" w:sz="0" w:space="0" w:color="auto"/>
            </w:tcBorders>
            <w:shd w:val="clear" w:color="auto" w:fill="EDEDED" w:themeFill="accent3" w:themeFillTint="33"/>
            <w:vAlign w:val="center"/>
          </w:tcPr>
          <w:p w14:paraId="2E323BAF" w14:textId="77777777" w:rsidR="00B103B0" w:rsidRPr="00B103B0" w:rsidRDefault="008C49AB" w:rsidP="00B91497">
            <w:pPr>
              <w:rPr>
                <w:rFonts w:ascii="Arial" w:eastAsia="Trebuchet MS" w:hAnsi="Arial" w:cs="Arial"/>
              </w:rPr>
            </w:pPr>
            <w:r>
              <w:rPr>
                <w:rFonts w:ascii="Arial" w:eastAsia="Trebuchet MS" w:hAnsi="Arial" w:cs="Arial"/>
              </w:rPr>
              <w:t>Tercera Entrega</w:t>
            </w:r>
            <w:r>
              <w:rPr>
                <w:rFonts w:ascii="Arial" w:eastAsia="Trebuchet MS" w:hAnsi="Arial" w:cs="Arial"/>
              </w:rPr>
              <w:br/>
            </w:r>
            <w:r w:rsidR="008D7893" w:rsidRPr="00CB0D2D">
              <w:rPr>
                <w:rFonts w:ascii="Arial" w:eastAsia="Trebuchet MS" w:hAnsi="Arial" w:cs="Arial"/>
                <w:b w:val="0"/>
              </w:rPr>
              <w:t>1</w:t>
            </w:r>
            <w:r w:rsidR="004A7970" w:rsidRPr="00CB0D2D">
              <w:rPr>
                <w:rFonts w:ascii="Arial" w:eastAsia="Trebuchet MS" w:hAnsi="Arial" w:cs="Arial"/>
                <w:b w:val="0"/>
              </w:rPr>
              <w:t>5</w:t>
            </w:r>
            <w:r w:rsidR="00282D44" w:rsidRPr="00CB0D2D">
              <w:rPr>
                <w:rFonts w:ascii="Arial" w:eastAsia="Trebuchet MS" w:hAnsi="Arial" w:cs="Arial"/>
                <w:b w:val="0"/>
              </w:rPr>
              <w:t xml:space="preserve"> d</w:t>
            </w:r>
            <w:r w:rsidR="00282D44">
              <w:rPr>
                <w:rFonts w:ascii="Arial" w:eastAsia="Trebuchet MS" w:hAnsi="Arial" w:cs="Arial"/>
                <w:b w:val="0"/>
              </w:rPr>
              <w:t>e febrero de 2024</w:t>
            </w:r>
          </w:p>
        </w:tc>
        <w:tc>
          <w:tcPr>
            <w:tcW w:w="2943" w:type="dxa"/>
            <w:tcBorders>
              <w:top w:val="none" w:sz="0" w:space="0" w:color="auto"/>
              <w:bottom w:val="none" w:sz="0" w:space="0" w:color="auto"/>
            </w:tcBorders>
            <w:shd w:val="clear" w:color="auto" w:fill="EDEDED" w:themeFill="accent3" w:themeFillTint="33"/>
            <w:vAlign w:val="center"/>
          </w:tcPr>
          <w:p w14:paraId="582865DD" w14:textId="77777777" w:rsidR="00B103B0" w:rsidRPr="00B103B0" w:rsidRDefault="00282D44" w:rsidP="00B103B0">
            <w:pPr>
              <w:jc w:val="center"/>
              <w:cnfStyle w:val="000000100000" w:firstRow="0" w:lastRow="0" w:firstColumn="0" w:lastColumn="0" w:oddVBand="0" w:evenVBand="0" w:oddHBand="1" w:evenHBand="0" w:firstRowFirstColumn="0" w:firstRowLastColumn="0" w:lastRowFirstColumn="0" w:lastRowLastColumn="0"/>
              <w:rPr>
                <w:rFonts w:ascii="Arial" w:eastAsia="Trebuchet MS" w:hAnsi="Arial" w:cs="Arial"/>
              </w:rPr>
            </w:pPr>
            <w:r>
              <w:rPr>
                <w:rFonts w:ascii="Arial" w:eastAsia="Trebuchet MS" w:hAnsi="Arial" w:cs="Arial"/>
              </w:rPr>
              <w:t>67</w:t>
            </w:r>
          </w:p>
        </w:tc>
        <w:tc>
          <w:tcPr>
            <w:tcW w:w="2943" w:type="dxa"/>
            <w:tcBorders>
              <w:top w:val="none" w:sz="0" w:space="0" w:color="auto"/>
              <w:bottom w:val="none" w:sz="0" w:space="0" w:color="auto"/>
            </w:tcBorders>
            <w:shd w:val="clear" w:color="auto" w:fill="EDEDED" w:themeFill="accent3" w:themeFillTint="33"/>
            <w:vAlign w:val="center"/>
          </w:tcPr>
          <w:p w14:paraId="20D8BF74" w14:textId="77777777" w:rsidR="00B103B0" w:rsidRPr="00B103B0" w:rsidRDefault="00282D44" w:rsidP="00B103B0">
            <w:pPr>
              <w:jc w:val="center"/>
              <w:cnfStyle w:val="000000100000" w:firstRow="0" w:lastRow="0" w:firstColumn="0" w:lastColumn="0" w:oddVBand="0" w:evenVBand="0" w:oddHBand="1" w:evenHBand="0" w:firstRowFirstColumn="0" w:firstRowLastColumn="0" w:lastRowFirstColumn="0" w:lastRowLastColumn="0"/>
              <w:rPr>
                <w:rFonts w:ascii="Arial" w:eastAsia="Trebuchet MS" w:hAnsi="Arial" w:cs="Arial"/>
              </w:rPr>
            </w:pPr>
            <w:r>
              <w:rPr>
                <w:rFonts w:ascii="Arial" w:eastAsia="Trebuchet MS" w:hAnsi="Arial" w:cs="Arial"/>
              </w:rPr>
              <w:t>44</w:t>
            </w:r>
          </w:p>
        </w:tc>
      </w:tr>
      <w:tr w:rsidR="00B103B0" w:rsidRPr="00B103B0" w14:paraId="3CEDE9D3" w14:textId="77777777" w:rsidTr="00BB2A13">
        <w:trPr>
          <w:trHeight w:val="567"/>
        </w:trPr>
        <w:tc>
          <w:tcPr>
            <w:cnfStyle w:val="001000000000" w:firstRow="0" w:lastRow="0" w:firstColumn="1" w:lastColumn="0" w:oddVBand="0" w:evenVBand="0" w:oddHBand="0" w:evenHBand="0" w:firstRowFirstColumn="0" w:firstRowLastColumn="0" w:lastRowFirstColumn="0" w:lastRowLastColumn="0"/>
            <w:tcW w:w="2942" w:type="dxa"/>
            <w:tcBorders>
              <w:right w:val="none" w:sz="0" w:space="0" w:color="auto"/>
            </w:tcBorders>
            <w:shd w:val="clear" w:color="auto" w:fill="auto"/>
            <w:vAlign w:val="center"/>
          </w:tcPr>
          <w:p w14:paraId="41A53A6B" w14:textId="77777777" w:rsidR="00B103B0" w:rsidRPr="00B103B0" w:rsidRDefault="00B103B0" w:rsidP="00B103B0">
            <w:pPr>
              <w:rPr>
                <w:rFonts w:ascii="Arial" w:eastAsia="Trebuchet MS" w:hAnsi="Arial" w:cs="Arial"/>
              </w:rPr>
            </w:pPr>
            <w:r w:rsidRPr="00B103B0">
              <w:rPr>
                <w:rFonts w:ascii="Arial" w:eastAsia="Trebuchet MS" w:hAnsi="Arial" w:cs="Arial"/>
              </w:rPr>
              <w:t>Total de Informes</w:t>
            </w:r>
          </w:p>
        </w:tc>
        <w:tc>
          <w:tcPr>
            <w:tcW w:w="2943" w:type="dxa"/>
            <w:shd w:val="clear" w:color="auto" w:fill="auto"/>
            <w:vAlign w:val="center"/>
          </w:tcPr>
          <w:p w14:paraId="7ABEE5A5" w14:textId="77777777" w:rsidR="00B103B0" w:rsidRPr="00B103B0" w:rsidRDefault="008D7893" w:rsidP="00282D44">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b/>
              </w:rPr>
            </w:pPr>
            <w:r>
              <w:rPr>
                <w:rFonts w:ascii="Arial" w:eastAsia="Trebuchet MS" w:hAnsi="Arial" w:cs="Arial"/>
                <w:b/>
              </w:rPr>
              <w:t>15</w:t>
            </w:r>
            <w:r w:rsidR="00282D44">
              <w:rPr>
                <w:rFonts w:ascii="Arial" w:eastAsia="Trebuchet MS" w:hAnsi="Arial" w:cs="Arial"/>
                <w:b/>
              </w:rPr>
              <w:t>3</w:t>
            </w:r>
          </w:p>
        </w:tc>
        <w:tc>
          <w:tcPr>
            <w:tcW w:w="2943" w:type="dxa"/>
            <w:shd w:val="clear" w:color="auto" w:fill="auto"/>
            <w:vAlign w:val="center"/>
          </w:tcPr>
          <w:p w14:paraId="087CF5CA" w14:textId="77777777" w:rsidR="00B103B0" w:rsidRPr="00B103B0" w:rsidRDefault="00B103B0" w:rsidP="008D7893">
            <w:pPr>
              <w:keepNext/>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b/>
              </w:rPr>
            </w:pPr>
            <w:r w:rsidRPr="00B103B0">
              <w:rPr>
                <w:rFonts w:ascii="Arial" w:eastAsia="Trebuchet MS" w:hAnsi="Arial" w:cs="Arial"/>
                <w:b/>
              </w:rPr>
              <w:t>100</w:t>
            </w:r>
          </w:p>
        </w:tc>
      </w:tr>
    </w:tbl>
    <w:p w14:paraId="0E301A46" w14:textId="7003C86C" w:rsidR="00B103B0" w:rsidRPr="00B004CF" w:rsidRDefault="008D7893" w:rsidP="00854DB1">
      <w:pPr>
        <w:pStyle w:val="Descripcin"/>
        <w:spacing w:before="240"/>
        <w:jc w:val="both"/>
        <w:rPr>
          <w:rFonts w:ascii="Arial" w:eastAsia="Times New Roman" w:hAnsi="Arial" w:cs="Arial"/>
          <w:b/>
          <w:color w:val="000000" w:themeColor="text1"/>
          <w:szCs w:val="24"/>
          <w:lang w:eastAsia="es-MX"/>
        </w:rPr>
      </w:pPr>
      <w:r w:rsidRPr="00B004CF">
        <w:rPr>
          <w:rFonts w:ascii="Arial" w:hAnsi="Arial" w:cs="Arial"/>
          <w:b/>
          <w:color w:val="000000" w:themeColor="text1"/>
        </w:rPr>
        <w:t xml:space="preserve">Tabla N°  </w:t>
      </w:r>
      <w:r w:rsidRPr="00B004CF">
        <w:rPr>
          <w:rFonts w:ascii="Arial" w:hAnsi="Arial" w:cs="Arial"/>
          <w:b/>
          <w:color w:val="000000" w:themeColor="text1"/>
        </w:rPr>
        <w:fldChar w:fldCharType="begin"/>
      </w:r>
      <w:r w:rsidRPr="00B004CF">
        <w:rPr>
          <w:rFonts w:ascii="Arial" w:hAnsi="Arial" w:cs="Arial"/>
          <w:b/>
          <w:color w:val="000000" w:themeColor="text1"/>
        </w:rPr>
        <w:instrText xml:space="preserve"> SEQ Tabla_N°_ \* ARABIC </w:instrText>
      </w:r>
      <w:r w:rsidRPr="00B004CF">
        <w:rPr>
          <w:rFonts w:ascii="Arial" w:hAnsi="Arial" w:cs="Arial"/>
          <w:b/>
          <w:color w:val="000000" w:themeColor="text1"/>
        </w:rPr>
        <w:fldChar w:fldCharType="separate"/>
      </w:r>
      <w:r w:rsidR="00FD773B">
        <w:rPr>
          <w:rFonts w:ascii="Arial" w:hAnsi="Arial" w:cs="Arial"/>
          <w:b/>
          <w:noProof/>
          <w:color w:val="000000" w:themeColor="text1"/>
        </w:rPr>
        <w:t>1</w:t>
      </w:r>
      <w:r w:rsidRPr="00B004CF">
        <w:rPr>
          <w:rFonts w:ascii="Arial" w:hAnsi="Arial" w:cs="Arial"/>
          <w:b/>
          <w:color w:val="000000" w:themeColor="text1"/>
        </w:rPr>
        <w:fldChar w:fldCharType="end"/>
      </w:r>
      <w:r w:rsidRPr="00B004CF">
        <w:rPr>
          <w:rFonts w:ascii="Arial" w:hAnsi="Arial" w:cs="Arial"/>
          <w:color w:val="000000" w:themeColor="text1"/>
        </w:rPr>
        <w:t xml:space="preserve"> Realizada por la ASEQROO, con los resultados de los Informes Individuales entregados al H. Congreso del Estado por conducto de la Comisión de Hacienda, Presupuesto y Cuenta.</w:t>
      </w:r>
    </w:p>
    <w:p w14:paraId="666CA201" w14:textId="77777777" w:rsidR="00C610B1" w:rsidRPr="00B004CF" w:rsidRDefault="00C610B1" w:rsidP="00C610B1">
      <w:pPr>
        <w:rPr>
          <w:sz w:val="20"/>
          <w:szCs w:val="20"/>
        </w:rPr>
      </w:pPr>
    </w:p>
    <w:p w14:paraId="708FF181" w14:textId="77777777" w:rsidR="004B4A89" w:rsidRDefault="0024619B" w:rsidP="004B4A89">
      <w:pPr>
        <w:keepNext/>
        <w:jc w:val="center"/>
      </w:pPr>
      <w:r>
        <w:rPr>
          <w:noProof/>
          <w:lang w:eastAsia="es-MX"/>
        </w:rPr>
        <w:drawing>
          <wp:inline distT="0" distB="0" distL="0" distR="0" wp14:anchorId="5CE8F83D" wp14:editId="70882475">
            <wp:extent cx="5612130" cy="4209415"/>
            <wp:effectExtent l="0" t="0" r="7620" b="635"/>
            <wp:docPr id="921" name="Imagen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5D30C657" w14:textId="2BD8D24E" w:rsidR="005E3D70" w:rsidRPr="00B004CF" w:rsidRDefault="004B4A89" w:rsidP="004B4A89">
      <w:pPr>
        <w:pStyle w:val="Descripcin"/>
        <w:jc w:val="center"/>
        <w:rPr>
          <w:rFonts w:ascii="Arial" w:hAnsi="Arial" w:cs="Arial"/>
          <w:color w:val="000000" w:themeColor="text1"/>
        </w:rPr>
      </w:pPr>
      <w:r w:rsidRPr="00B004CF">
        <w:rPr>
          <w:rFonts w:ascii="Arial" w:hAnsi="Arial" w:cs="Arial"/>
          <w:b/>
          <w:color w:val="000000" w:themeColor="text1"/>
        </w:rPr>
        <w:t xml:space="preserve">Gráfica N° </w:t>
      </w:r>
      <w:r w:rsidRPr="00B004CF">
        <w:rPr>
          <w:rFonts w:ascii="Arial" w:hAnsi="Arial" w:cs="Arial"/>
          <w:b/>
          <w:color w:val="000000" w:themeColor="text1"/>
        </w:rPr>
        <w:fldChar w:fldCharType="begin"/>
      </w:r>
      <w:r w:rsidRPr="00B004CF">
        <w:rPr>
          <w:rFonts w:ascii="Arial" w:hAnsi="Arial" w:cs="Arial"/>
          <w:b/>
          <w:color w:val="000000" w:themeColor="text1"/>
        </w:rPr>
        <w:instrText xml:space="preserve"> SEQ Gráfina_N°_ \* ARABIC </w:instrText>
      </w:r>
      <w:r w:rsidRPr="00B004CF">
        <w:rPr>
          <w:rFonts w:ascii="Arial" w:hAnsi="Arial" w:cs="Arial"/>
          <w:b/>
          <w:color w:val="000000" w:themeColor="text1"/>
        </w:rPr>
        <w:fldChar w:fldCharType="separate"/>
      </w:r>
      <w:r w:rsidR="00FD773B">
        <w:rPr>
          <w:rFonts w:ascii="Arial" w:hAnsi="Arial" w:cs="Arial"/>
          <w:b/>
          <w:noProof/>
          <w:color w:val="000000" w:themeColor="text1"/>
        </w:rPr>
        <w:t>1</w:t>
      </w:r>
      <w:r w:rsidRPr="00B004CF">
        <w:rPr>
          <w:rFonts w:ascii="Arial" w:hAnsi="Arial" w:cs="Arial"/>
          <w:b/>
          <w:color w:val="000000" w:themeColor="text1"/>
        </w:rPr>
        <w:fldChar w:fldCharType="end"/>
      </w:r>
      <w:r w:rsidRPr="00B004CF">
        <w:rPr>
          <w:rFonts w:ascii="Arial" w:hAnsi="Arial" w:cs="Arial"/>
          <w:color w:val="000000" w:themeColor="text1"/>
        </w:rPr>
        <w:t xml:space="preserve"> Realizado por la ASEQROO con datos provenientes de las entregas señaladas en la LFRCEQROO</w:t>
      </w:r>
    </w:p>
    <w:p w14:paraId="3335E7C6" w14:textId="77777777" w:rsidR="006C76F5" w:rsidRPr="006C76F5" w:rsidRDefault="006C76F5" w:rsidP="006C76F5"/>
    <w:p w14:paraId="36096D8C" w14:textId="31353216" w:rsidR="00FD4225" w:rsidRPr="00C70285" w:rsidRDefault="007E099D" w:rsidP="00683FD0">
      <w:pPr>
        <w:pStyle w:val="Prrafodelista"/>
        <w:numPr>
          <w:ilvl w:val="0"/>
          <w:numId w:val="1"/>
        </w:numPr>
        <w:spacing w:before="240" w:after="0" w:line="276" w:lineRule="auto"/>
        <w:jc w:val="both"/>
        <w:outlineLvl w:val="1"/>
        <w:rPr>
          <w:rFonts w:ascii="Arial" w:hAnsi="Arial" w:cs="Arial"/>
          <w:b/>
          <w:sz w:val="24"/>
          <w:szCs w:val="24"/>
        </w:rPr>
      </w:pPr>
      <w:bookmarkStart w:id="9" w:name="_Toc158567470"/>
      <w:r w:rsidRPr="00C70285">
        <w:rPr>
          <w:rFonts w:ascii="Arial" w:hAnsi="Arial" w:cs="Arial"/>
          <w:b/>
          <w:sz w:val="24"/>
          <w:szCs w:val="24"/>
        </w:rPr>
        <w:lastRenderedPageBreak/>
        <w:t xml:space="preserve">COMPARATIVO </w:t>
      </w:r>
      <w:r w:rsidR="00BD2A5F">
        <w:rPr>
          <w:rFonts w:ascii="Arial" w:hAnsi="Arial" w:cs="Arial"/>
          <w:b/>
          <w:sz w:val="24"/>
          <w:szCs w:val="24"/>
        </w:rPr>
        <w:t xml:space="preserve">DE LAS AUDITORIAS REALIZADAS EN LOS </w:t>
      </w:r>
      <w:r w:rsidR="00932290">
        <w:rPr>
          <w:rFonts w:ascii="Arial" w:hAnsi="Arial" w:cs="Arial"/>
          <w:b/>
          <w:sz w:val="24"/>
          <w:szCs w:val="24"/>
        </w:rPr>
        <w:t>6</w:t>
      </w:r>
      <w:r w:rsidR="00BD2A5F">
        <w:rPr>
          <w:rFonts w:ascii="Arial" w:hAnsi="Arial" w:cs="Arial"/>
          <w:b/>
          <w:sz w:val="24"/>
          <w:szCs w:val="24"/>
        </w:rPr>
        <w:t xml:space="preserve"> ÚLTIMOS EJERCICIOS DESDE LA ENTRADA EN VIGOR </w:t>
      </w:r>
      <w:r w:rsidRPr="00C70285">
        <w:rPr>
          <w:rFonts w:ascii="Arial" w:hAnsi="Arial" w:cs="Arial"/>
          <w:b/>
          <w:sz w:val="24"/>
          <w:szCs w:val="24"/>
        </w:rPr>
        <w:t>DE LA LFRCEQROO</w:t>
      </w:r>
      <w:bookmarkEnd w:id="9"/>
      <w:r w:rsidRPr="00C70285">
        <w:rPr>
          <w:rFonts w:ascii="Arial" w:hAnsi="Arial" w:cs="Arial"/>
          <w:b/>
          <w:sz w:val="24"/>
          <w:szCs w:val="24"/>
        </w:rPr>
        <w:t xml:space="preserve"> </w:t>
      </w:r>
    </w:p>
    <w:p w14:paraId="22BC6CCD" w14:textId="77777777" w:rsidR="0067653F" w:rsidRDefault="0067653F" w:rsidP="0067653F">
      <w:pPr>
        <w:rPr>
          <w:rFonts w:ascii="Arial" w:hAnsi="Arial" w:cs="Arial"/>
          <w:sz w:val="24"/>
          <w:szCs w:val="24"/>
        </w:rPr>
      </w:pPr>
    </w:p>
    <w:p w14:paraId="31A6BF41" w14:textId="77777777" w:rsidR="0051253E" w:rsidRDefault="0067653F" w:rsidP="00F87D58">
      <w:pPr>
        <w:pStyle w:val="Textoindependiente"/>
        <w:spacing w:line="360" w:lineRule="auto"/>
        <w:jc w:val="both"/>
      </w:pPr>
      <w:r>
        <w:t>C</w:t>
      </w:r>
      <w:r w:rsidR="00F87D58">
        <w:t xml:space="preserve">omo parte del IGE, se han venido presentando comparativos de los ejercicios fiscalizados desde la entrada </w:t>
      </w:r>
      <w:r w:rsidR="00F87D58" w:rsidRPr="00F7194B">
        <w:t>en vigor de la Ley de Fiscalización y Rendición de Cuentas del Estado de Quintana Roo,</w:t>
      </w:r>
      <w:r w:rsidR="00F87D58">
        <w:t xml:space="preserve"> publicada  en el Periódico Oficial de Estado de Quintana Roo el 19 de julio de 2017 y </w:t>
      </w:r>
      <w:r w:rsidR="00EE243C">
        <w:t>última</w:t>
      </w:r>
      <w:r w:rsidR="00282D44">
        <w:t xml:space="preserve"> reforma el 13</w:t>
      </w:r>
      <w:r w:rsidR="00F87D58">
        <w:t xml:space="preserve"> de </w:t>
      </w:r>
      <w:r w:rsidR="00282D44">
        <w:t>julio del 2023</w:t>
      </w:r>
      <w:r w:rsidR="00F87D58">
        <w:t>, para  citar  que “</w:t>
      </w:r>
      <w:r w:rsidR="00F87D58" w:rsidRPr="00F87D58">
        <w:rPr>
          <w:i/>
        </w:rPr>
        <w:t>las funciones de fiscalización y revisión de la Auditoría Superior del Estado previstas en la presente Ley, entrarán en vigor a partir de la Cuenta Pública del año 2017</w:t>
      </w:r>
      <w:r w:rsidR="00F87D58">
        <w:t xml:space="preserve">.”, por lo que en la </w:t>
      </w:r>
      <w:r w:rsidR="00AD4C00">
        <w:t>gráfica</w:t>
      </w:r>
      <w:r w:rsidR="00034451">
        <w:t xml:space="preserve"> y tabla</w:t>
      </w:r>
      <w:r w:rsidR="00BD2A5F">
        <w:t xml:space="preserve"> N</w:t>
      </w:r>
      <w:r w:rsidR="00F87D58">
        <w:t>°</w:t>
      </w:r>
      <w:r w:rsidR="000A52AA">
        <w:t>2 se presentan los comparativos entre los ejercicios fiscalizados de</w:t>
      </w:r>
      <w:r w:rsidR="00CE7B6C">
        <w:t>l 2017 al 2022</w:t>
      </w:r>
      <w:r w:rsidR="00F87D58" w:rsidRPr="00F7194B">
        <w:t>.</w:t>
      </w:r>
    </w:p>
    <w:p w14:paraId="6503DEBA" w14:textId="77777777" w:rsidR="0067653F" w:rsidRPr="007E099D" w:rsidRDefault="00F87D58" w:rsidP="0067653F">
      <w:pPr>
        <w:rPr>
          <w:rFonts w:ascii="Arial" w:hAnsi="Arial" w:cs="Arial"/>
          <w:sz w:val="6"/>
          <w:szCs w:val="24"/>
        </w:rPr>
      </w:pPr>
      <w:r>
        <w:rPr>
          <w:rFonts w:ascii="Arial" w:hAnsi="Arial" w:cs="Arial"/>
          <w:sz w:val="24"/>
          <w:szCs w:val="24"/>
        </w:rPr>
        <w:t xml:space="preserve"> </w:t>
      </w:r>
    </w:p>
    <w:p w14:paraId="608475A9" w14:textId="77777777" w:rsidR="00FF3BF0" w:rsidRDefault="009F2C9A" w:rsidP="00FF3BF0">
      <w:pPr>
        <w:jc w:val="center"/>
        <w:rPr>
          <w:rFonts w:ascii="Arial" w:hAnsi="Arial" w:cs="Arial"/>
          <w:sz w:val="24"/>
          <w:szCs w:val="24"/>
        </w:rPr>
      </w:pPr>
      <w:r>
        <w:rPr>
          <w:noProof/>
          <w:lang w:eastAsia="es-MX"/>
        </w:rPr>
        <w:drawing>
          <wp:inline distT="0" distB="0" distL="0" distR="0" wp14:anchorId="446C32CB" wp14:editId="05E56C84">
            <wp:extent cx="5612130" cy="4370705"/>
            <wp:effectExtent l="0" t="0" r="7620" b="1079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A2CA68" w14:textId="77777777" w:rsidR="00F020A7" w:rsidRPr="00B004CF" w:rsidRDefault="00034451" w:rsidP="00F020A7">
      <w:pPr>
        <w:pStyle w:val="Descripcin"/>
        <w:spacing w:after="0" w:line="276" w:lineRule="auto"/>
        <w:jc w:val="center"/>
        <w:rPr>
          <w:rFonts w:ascii="Arial" w:hAnsi="Arial" w:cs="Arial"/>
          <w:b/>
          <w:color w:val="000000" w:themeColor="text1"/>
        </w:rPr>
      </w:pPr>
      <w:r>
        <w:rPr>
          <w:rFonts w:ascii="Arial" w:hAnsi="Arial" w:cs="Arial"/>
          <w:b/>
          <w:color w:val="000000" w:themeColor="text1"/>
        </w:rPr>
        <w:t xml:space="preserve">Gráfica N° 2 </w:t>
      </w:r>
    </w:p>
    <w:p w14:paraId="043BD4D9" w14:textId="77777777" w:rsidR="00F020A7" w:rsidRPr="00B004CF" w:rsidRDefault="00F020A7" w:rsidP="00F020A7">
      <w:pPr>
        <w:pStyle w:val="Descripcin"/>
        <w:spacing w:after="0" w:line="276" w:lineRule="auto"/>
        <w:jc w:val="center"/>
        <w:rPr>
          <w:rFonts w:ascii="Arial" w:hAnsi="Arial" w:cs="Arial"/>
          <w:color w:val="000000" w:themeColor="text1"/>
        </w:rPr>
      </w:pPr>
      <w:r w:rsidRPr="00B004CF">
        <w:rPr>
          <w:rFonts w:ascii="Arial" w:hAnsi="Arial" w:cs="Arial"/>
          <w:b/>
          <w:color w:val="000000" w:themeColor="text1"/>
        </w:rPr>
        <w:t>Fuente:</w:t>
      </w:r>
      <w:r w:rsidRPr="00B004CF">
        <w:rPr>
          <w:rFonts w:ascii="Arial" w:hAnsi="Arial" w:cs="Arial"/>
          <w:color w:val="000000" w:themeColor="text1"/>
        </w:rPr>
        <w:t xml:space="preserve"> Informes Individuales y entes fiscalizados correspondientes a la</w:t>
      </w:r>
    </w:p>
    <w:p w14:paraId="06612CE0" w14:textId="77777777" w:rsidR="00F020A7" w:rsidRPr="00B004CF" w:rsidRDefault="00F020A7" w:rsidP="00F020A7">
      <w:pPr>
        <w:pStyle w:val="Descripcin"/>
        <w:spacing w:after="0" w:line="276" w:lineRule="auto"/>
        <w:jc w:val="center"/>
        <w:rPr>
          <w:rFonts w:ascii="Arial" w:hAnsi="Arial" w:cs="Arial"/>
          <w:color w:val="auto"/>
        </w:rPr>
      </w:pPr>
      <w:r w:rsidRPr="00B004CF">
        <w:rPr>
          <w:rFonts w:ascii="Arial" w:hAnsi="Arial" w:cs="Arial"/>
          <w:color w:val="000000" w:themeColor="text1"/>
        </w:rPr>
        <w:t>Cuenta Pública ejercicios fiscalizados de 2017, 2018, 2019, 2020, 2021 y 2022</w:t>
      </w:r>
      <w:r w:rsidRPr="00B004CF">
        <w:rPr>
          <w:rFonts w:ascii="Arial" w:hAnsi="Arial" w:cs="Arial"/>
          <w:color w:val="auto"/>
        </w:rPr>
        <w:t>.</w:t>
      </w:r>
    </w:p>
    <w:p w14:paraId="59034F03" w14:textId="77777777" w:rsidR="00F020A7" w:rsidRDefault="00F020A7" w:rsidP="00B004CF">
      <w:pPr>
        <w:rPr>
          <w:rFonts w:ascii="Arial" w:hAnsi="Arial" w:cs="Arial"/>
          <w:sz w:val="24"/>
          <w:szCs w:val="24"/>
        </w:rPr>
      </w:pPr>
    </w:p>
    <w:tbl>
      <w:tblPr>
        <w:tblStyle w:val="Tabladecuadrcula4-nfasis3"/>
        <w:tblW w:w="5000" w:type="pct"/>
        <w:tblLook w:val="04A0" w:firstRow="1" w:lastRow="0" w:firstColumn="1" w:lastColumn="0" w:noHBand="0" w:noVBand="1"/>
      </w:tblPr>
      <w:tblGrid>
        <w:gridCol w:w="3726"/>
        <w:gridCol w:w="849"/>
        <w:gridCol w:w="849"/>
        <w:gridCol w:w="849"/>
        <w:gridCol w:w="849"/>
        <w:gridCol w:w="851"/>
        <w:gridCol w:w="855"/>
      </w:tblGrid>
      <w:tr w:rsidR="00282D44" w:rsidRPr="00B0286F" w14:paraId="7818B727" w14:textId="77777777" w:rsidTr="00282D4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6EFB046C" w14:textId="77777777" w:rsidR="00282D44" w:rsidRPr="00B0286F" w:rsidRDefault="00282D44" w:rsidP="009C59E1">
            <w:pPr>
              <w:jc w:val="center"/>
              <w:rPr>
                <w:rFonts w:ascii="Arial" w:eastAsia="Times New Roman" w:hAnsi="Arial" w:cs="Arial"/>
                <w:sz w:val="24"/>
                <w:szCs w:val="24"/>
                <w:lang w:eastAsia="es-MX"/>
              </w:rPr>
            </w:pPr>
            <w:r>
              <w:rPr>
                <w:rFonts w:ascii="Arial" w:eastAsia="Times New Roman" w:hAnsi="Arial" w:cs="Arial"/>
                <w:sz w:val="24"/>
                <w:szCs w:val="24"/>
                <w:lang w:eastAsia="es-MX"/>
              </w:rPr>
              <w:lastRenderedPageBreak/>
              <w:t>Universo</w:t>
            </w:r>
          </w:p>
        </w:tc>
        <w:tc>
          <w:tcPr>
            <w:tcW w:w="481" w:type="pct"/>
          </w:tcPr>
          <w:p w14:paraId="2EE59760" w14:textId="77777777" w:rsidR="00282D44" w:rsidRPr="0024719E" w:rsidRDefault="00282D44" w:rsidP="009C59E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p>
        </w:tc>
        <w:tc>
          <w:tcPr>
            <w:tcW w:w="2409" w:type="pct"/>
            <w:gridSpan w:val="5"/>
            <w:noWrap/>
            <w:vAlign w:val="center"/>
            <w:hideMark/>
          </w:tcPr>
          <w:p w14:paraId="38ED0655" w14:textId="77777777" w:rsidR="00282D44" w:rsidRPr="00B0286F" w:rsidRDefault="00282D44" w:rsidP="009C59E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MX"/>
              </w:rPr>
            </w:pPr>
            <w:r w:rsidRPr="0024719E">
              <w:rPr>
                <w:rFonts w:ascii="Arial" w:eastAsia="Times New Roman" w:hAnsi="Arial" w:cs="Arial"/>
                <w:lang w:eastAsia="es-MX"/>
              </w:rPr>
              <w:t>Ejercicios Fiscalizados</w:t>
            </w:r>
          </w:p>
        </w:tc>
      </w:tr>
      <w:tr w:rsidR="00282D44" w:rsidRPr="00B0286F" w14:paraId="4C4A12D6" w14:textId="77777777" w:rsidTr="000344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67374FEC" w14:textId="77777777" w:rsidR="00282D44" w:rsidRPr="00B0286F" w:rsidRDefault="00282D44" w:rsidP="009C59E1">
            <w:pPr>
              <w:rPr>
                <w:rFonts w:ascii="Arial" w:eastAsia="Times New Roman" w:hAnsi="Arial" w:cs="Arial"/>
                <w:lang w:eastAsia="es-MX"/>
              </w:rPr>
            </w:pPr>
          </w:p>
        </w:tc>
        <w:tc>
          <w:tcPr>
            <w:tcW w:w="481" w:type="pct"/>
            <w:vAlign w:val="center"/>
          </w:tcPr>
          <w:p w14:paraId="5001FB35" w14:textId="77777777" w:rsidR="00282D44" w:rsidRPr="00B0286F" w:rsidRDefault="00282D44" w:rsidP="00282D4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es-MX"/>
              </w:rPr>
            </w:pPr>
            <w:r>
              <w:rPr>
                <w:rFonts w:ascii="Arial" w:eastAsia="Times New Roman" w:hAnsi="Arial" w:cs="Arial"/>
                <w:b/>
                <w:lang w:eastAsia="es-MX"/>
              </w:rPr>
              <w:t>2022</w:t>
            </w:r>
          </w:p>
        </w:tc>
        <w:tc>
          <w:tcPr>
            <w:tcW w:w="481" w:type="pct"/>
            <w:noWrap/>
            <w:vAlign w:val="center"/>
            <w:hideMark/>
          </w:tcPr>
          <w:p w14:paraId="770EFE5C" w14:textId="77777777" w:rsidR="00282D44" w:rsidRPr="00B0286F" w:rsidRDefault="00282D44" w:rsidP="009C59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es-MX"/>
              </w:rPr>
            </w:pPr>
            <w:r w:rsidRPr="00B0286F">
              <w:rPr>
                <w:rFonts w:ascii="Arial" w:eastAsia="Times New Roman" w:hAnsi="Arial" w:cs="Arial"/>
                <w:b/>
                <w:lang w:eastAsia="es-MX"/>
              </w:rPr>
              <w:t>2021</w:t>
            </w:r>
          </w:p>
        </w:tc>
        <w:tc>
          <w:tcPr>
            <w:tcW w:w="481" w:type="pct"/>
            <w:noWrap/>
            <w:vAlign w:val="center"/>
            <w:hideMark/>
          </w:tcPr>
          <w:p w14:paraId="15411506" w14:textId="77777777" w:rsidR="00282D44" w:rsidRPr="00B0286F" w:rsidRDefault="00282D44" w:rsidP="009C59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es-MX"/>
              </w:rPr>
            </w:pPr>
            <w:r w:rsidRPr="00B0286F">
              <w:rPr>
                <w:rFonts w:ascii="Arial" w:eastAsia="Times New Roman" w:hAnsi="Arial" w:cs="Arial"/>
                <w:b/>
                <w:lang w:eastAsia="es-MX"/>
              </w:rPr>
              <w:t>2020</w:t>
            </w:r>
          </w:p>
        </w:tc>
        <w:tc>
          <w:tcPr>
            <w:tcW w:w="481" w:type="pct"/>
            <w:noWrap/>
            <w:vAlign w:val="center"/>
            <w:hideMark/>
          </w:tcPr>
          <w:p w14:paraId="7CD0358F" w14:textId="77777777" w:rsidR="00282D44" w:rsidRPr="00B0286F" w:rsidRDefault="00282D44" w:rsidP="009C59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es-MX"/>
              </w:rPr>
            </w:pPr>
            <w:r w:rsidRPr="00B0286F">
              <w:rPr>
                <w:rFonts w:ascii="Arial" w:eastAsia="Times New Roman" w:hAnsi="Arial" w:cs="Arial"/>
                <w:b/>
                <w:lang w:eastAsia="es-MX"/>
              </w:rPr>
              <w:t>2019</w:t>
            </w:r>
          </w:p>
        </w:tc>
        <w:tc>
          <w:tcPr>
            <w:tcW w:w="482" w:type="pct"/>
            <w:noWrap/>
            <w:vAlign w:val="center"/>
            <w:hideMark/>
          </w:tcPr>
          <w:p w14:paraId="5AA3997F" w14:textId="77777777" w:rsidR="00282D44" w:rsidRPr="00B0286F" w:rsidRDefault="00282D44" w:rsidP="009C59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es-MX"/>
              </w:rPr>
            </w:pPr>
            <w:r w:rsidRPr="00B0286F">
              <w:rPr>
                <w:rFonts w:ascii="Arial" w:eastAsia="Times New Roman" w:hAnsi="Arial" w:cs="Arial"/>
                <w:b/>
                <w:lang w:eastAsia="es-MX"/>
              </w:rPr>
              <w:t>2018</w:t>
            </w:r>
          </w:p>
        </w:tc>
        <w:tc>
          <w:tcPr>
            <w:tcW w:w="484" w:type="pct"/>
            <w:noWrap/>
            <w:vAlign w:val="center"/>
            <w:hideMark/>
          </w:tcPr>
          <w:p w14:paraId="5144825D" w14:textId="77777777" w:rsidR="00282D44" w:rsidRPr="00B0286F" w:rsidRDefault="00282D44" w:rsidP="009C59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es-MX"/>
              </w:rPr>
            </w:pPr>
            <w:r w:rsidRPr="00B0286F">
              <w:rPr>
                <w:rFonts w:ascii="Arial" w:eastAsia="Times New Roman" w:hAnsi="Arial" w:cs="Arial"/>
                <w:b/>
                <w:lang w:eastAsia="es-MX"/>
              </w:rPr>
              <w:t>2017</w:t>
            </w:r>
          </w:p>
        </w:tc>
      </w:tr>
      <w:tr w:rsidR="00282D44" w:rsidRPr="00B0286F" w14:paraId="4FF04502" w14:textId="77777777" w:rsidTr="00034451">
        <w:trPr>
          <w:trHeight w:val="397"/>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50C1688B" w14:textId="77777777" w:rsidR="00282D44" w:rsidRPr="00B0286F" w:rsidRDefault="00282D44" w:rsidP="009C59E1">
            <w:pPr>
              <w:rPr>
                <w:rFonts w:ascii="Arial" w:eastAsia="Times New Roman" w:hAnsi="Arial" w:cs="Arial"/>
                <w:lang w:eastAsia="es-MX"/>
              </w:rPr>
            </w:pPr>
            <w:r w:rsidRPr="00B0286F">
              <w:rPr>
                <w:rFonts w:ascii="Arial" w:eastAsia="Times New Roman" w:hAnsi="Arial" w:cs="Arial"/>
                <w:lang w:eastAsia="es-MX"/>
              </w:rPr>
              <w:t>Entes auditados</w:t>
            </w:r>
          </w:p>
        </w:tc>
        <w:tc>
          <w:tcPr>
            <w:tcW w:w="481" w:type="pct"/>
            <w:vAlign w:val="center"/>
          </w:tcPr>
          <w:p w14:paraId="26D47D4E" w14:textId="77777777" w:rsidR="00282D44" w:rsidRPr="00B0286F" w:rsidRDefault="00282D44" w:rsidP="00CE7B6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Pr>
                <w:rFonts w:ascii="Arial" w:eastAsia="Times New Roman" w:hAnsi="Arial" w:cs="Arial"/>
                <w:lang w:eastAsia="es-MX"/>
              </w:rPr>
              <w:t>101</w:t>
            </w:r>
          </w:p>
        </w:tc>
        <w:tc>
          <w:tcPr>
            <w:tcW w:w="481" w:type="pct"/>
            <w:noWrap/>
            <w:vAlign w:val="center"/>
            <w:hideMark/>
          </w:tcPr>
          <w:p w14:paraId="40D7E6E3" w14:textId="77777777" w:rsidR="00282D44" w:rsidRPr="00B0286F" w:rsidRDefault="00282D44" w:rsidP="009C59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101</w:t>
            </w:r>
          </w:p>
        </w:tc>
        <w:tc>
          <w:tcPr>
            <w:tcW w:w="481" w:type="pct"/>
            <w:noWrap/>
            <w:vAlign w:val="center"/>
            <w:hideMark/>
          </w:tcPr>
          <w:p w14:paraId="35C16C3B" w14:textId="77777777" w:rsidR="00282D44" w:rsidRPr="00B0286F" w:rsidRDefault="00282D44" w:rsidP="009C59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101</w:t>
            </w:r>
          </w:p>
        </w:tc>
        <w:tc>
          <w:tcPr>
            <w:tcW w:w="481" w:type="pct"/>
            <w:noWrap/>
            <w:vAlign w:val="center"/>
            <w:hideMark/>
          </w:tcPr>
          <w:p w14:paraId="5861DE23" w14:textId="77777777" w:rsidR="00282D44" w:rsidRPr="00B0286F" w:rsidRDefault="00282D44" w:rsidP="009C59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102</w:t>
            </w:r>
          </w:p>
        </w:tc>
        <w:tc>
          <w:tcPr>
            <w:tcW w:w="482" w:type="pct"/>
            <w:noWrap/>
            <w:vAlign w:val="center"/>
            <w:hideMark/>
          </w:tcPr>
          <w:p w14:paraId="3D93C23A" w14:textId="77777777" w:rsidR="00282D44" w:rsidRPr="00B0286F" w:rsidRDefault="00282D44" w:rsidP="009C59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104</w:t>
            </w:r>
          </w:p>
        </w:tc>
        <w:tc>
          <w:tcPr>
            <w:tcW w:w="484" w:type="pct"/>
            <w:noWrap/>
            <w:vAlign w:val="center"/>
            <w:hideMark/>
          </w:tcPr>
          <w:p w14:paraId="688EF8EB" w14:textId="77777777" w:rsidR="00282D44" w:rsidRPr="00B0286F" w:rsidRDefault="00282D44" w:rsidP="009C59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101</w:t>
            </w:r>
          </w:p>
        </w:tc>
      </w:tr>
      <w:tr w:rsidR="00282D44" w:rsidRPr="00B0286F" w14:paraId="7187B045" w14:textId="77777777" w:rsidTr="000344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4F943E4F" w14:textId="77777777" w:rsidR="00282D44" w:rsidRPr="00B0286F" w:rsidRDefault="00282D44" w:rsidP="009C59E1">
            <w:pPr>
              <w:rPr>
                <w:rFonts w:ascii="Arial" w:eastAsia="Times New Roman" w:hAnsi="Arial" w:cs="Arial"/>
                <w:lang w:eastAsia="es-MX"/>
              </w:rPr>
            </w:pPr>
            <w:r w:rsidRPr="00B0286F">
              <w:rPr>
                <w:rFonts w:ascii="Arial" w:eastAsia="Times New Roman" w:hAnsi="Arial" w:cs="Arial"/>
                <w:lang w:eastAsia="es-MX"/>
              </w:rPr>
              <w:t>Auditorías realizadas</w:t>
            </w:r>
          </w:p>
        </w:tc>
        <w:tc>
          <w:tcPr>
            <w:tcW w:w="481" w:type="pct"/>
            <w:vAlign w:val="center"/>
          </w:tcPr>
          <w:p w14:paraId="05273BB6" w14:textId="77777777" w:rsidR="00282D44" w:rsidRPr="00B0286F" w:rsidRDefault="00282D44" w:rsidP="00282D4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Pr>
                <w:rFonts w:ascii="Arial" w:eastAsia="Times New Roman" w:hAnsi="Arial" w:cs="Arial"/>
                <w:lang w:eastAsia="es-MX"/>
              </w:rPr>
              <w:t>247</w:t>
            </w:r>
          </w:p>
        </w:tc>
        <w:tc>
          <w:tcPr>
            <w:tcW w:w="481" w:type="pct"/>
            <w:noWrap/>
            <w:vAlign w:val="center"/>
            <w:hideMark/>
          </w:tcPr>
          <w:p w14:paraId="4D2A74E1" w14:textId="77777777" w:rsidR="00282D44" w:rsidRPr="00B0286F" w:rsidRDefault="00282D44" w:rsidP="009C59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245</w:t>
            </w:r>
          </w:p>
        </w:tc>
        <w:tc>
          <w:tcPr>
            <w:tcW w:w="481" w:type="pct"/>
            <w:noWrap/>
            <w:vAlign w:val="center"/>
            <w:hideMark/>
          </w:tcPr>
          <w:p w14:paraId="70D2CBAE" w14:textId="77777777" w:rsidR="00282D44" w:rsidRPr="00B0286F" w:rsidRDefault="00282D44" w:rsidP="009C59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247</w:t>
            </w:r>
          </w:p>
        </w:tc>
        <w:tc>
          <w:tcPr>
            <w:tcW w:w="481" w:type="pct"/>
            <w:noWrap/>
            <w:vAlign w:val="center"/>
            <w:hideMark/>
          </w:tcPr>
          <w:p w14:paraId="61DCBA49" w14:textId="77777777" w:rsidR="00282D44" w:rsidRPr="00B0286F" w:rsidRDefault="00282D44" w:rsidP="009C59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242</w:t>
            </w:r>
          </w:p>
        </w:tc>
        <w:tc>
          <w:tcPr>
            <w:tcW w:w="482" w:type="pct"/>
            <w:noWrap/>
            <w:vAlign w:val="center"/>
            <w:hideMark/>
          </w:tcPr>
          <w:p w14:paraId="6BE367E5" w14:textId="77777777" w:rsidR="00282D44" w:rsidRPr="00B0286F" w:rsidRDefault="00282D44" w:rsidP="009C59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223</w:t>
            </w:r>
          </w:p>
        </w:tc>
        <w:tc>
          <w:tcPr>
            <w:tcW w:w="484" w:type="pct"/>
            <w:noWrap/>
            <w:vAlign w:val="center"/>
            <w:hideMark/>
          </w:tcPr>
          <w:p w14:paraId="0E15B32E" w14:textId="77777777" w:rsidR="00282D44" w:rsidRPr="00B0286F" w:rsidRDefault="00282D44" w:rsidP="009C59E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201</w:t>
            </w:r>
          </w:p>
        </w:tc>
      </w:tr>
      <w:tr w:rsidR="00282D44" w:rsidRPr="00B0286F" w14:paraId="5BA2CEBB" w14:textId="77777777" w:rsidTr="00034451">
        <w:trPr>
          <w:trHeight w:val="397"/>
        </w:trPr>
        <w:tc>
          <w:tcPr>
            <w:cnfStyle w:val="001000000000" w:firstRow="0" w:lastRow="0" w:firstColumn="1" w:lastColumn="0" w:oddVBand="0" w:evenVBand="0" w:oddHBand="0" w:evenHBand="0" w:firstRowFirstColumn="0" w:firstRowLastColumn="0" w:lastRowFirstColumn="0" w:lastRowLastColumn="0"/>
            <w:tcW w:w="2110" w:type="pct"/>
            <w:noWrap/>
            <w:vAlign w:val="center"/>
            <w:hideMark/>
          </w:tcPr>
          <w:p w14:paraId="7D82289F" w14:textId="77777777" w:rsidR="00282D44" w:rsidRPr="00B0286F" w:rsidRDefault="00282D44" w:rsidP="009C59E1">
            <w:pPr>
              <w:rPr>
                <w:rFonts w:ascii="Arial" w:eastAsia="Times New Roman" w:hAnsi="Arial" w:cs="Arial"/>
                <w:lang w:eastAsia="es-MX"/>
              </w:rPr>
            </w:pPr>
            <w:r w:rsidRPr="00B0286F">
              <w:rPr>
                <w:rFonts w:ascii="Arial" w:eastAsia="Times New Roman" w:hAnsi="Arial" w:cs="Arial"/>
                <w:lang w:eastAsia="es-MX"/>
              </w:rPr>
              <w:t>Informes Individuales entregados</w:t>
            </w:r>
          </w:p>
        </w:tc>
        <w:tc>
          <w:tcPr>
            <w:tcW w:w="481" w:type="pct"/>
            <w:vAlign w:val="center"/>
          </w:tcPr>
          <w:p w14:paraId="055D48C9" w14:textId="77777777" w:rsidR="00282D44" w:rsidRPr="00B0286F" w:rsidRDefault="00282D44" w:rsidP="00282D4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Pr>
                <w:rFonts w:ascii="Arial" w:eastAsia="Times New Roman" w:hAnsi="Arial" w:cs="Arial"/>
                <w:lang w:eastAsia="es-MX"/>
              </w:rPr>
              <w:t>153</w:t>
            </w:r>
          </w:p>
        </w:tc>
        <w:tc>
          <w:tcPr>
            <w:tcW w:w="481" w:type="pct"/>
            <w:noWrap/>
            <w:vAlign w:val="center"/>
            <w:hideMark/>
          </w:tcPr>
          <w:p w14:paraId="66BE0595" w14:textId="77777777" w:rsidR="00282D44" w:rsidRPr="00B0286F" w:rsidRDefault="00282D44" w:rsidP="009C59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151</w:t>
            </w:r>
          </w:p>
        </w:tc>
        <w:tc>
          <w:tcPr>
            <w:tcW w:w="481" w:type="pct"/>
            <w:noWrap/>
            <w:vAlign w:val="center"/>
            <w:hideMark/>
          </w:tcPr>
          <w:p w14:paraId="22E918AC" w14:textId="77777777" w:rsidR="00282D44" w:rsidRPr="00B0286F" w:rsidRDefault="00282D44" w:rsidP="009C59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153</w:t>
            </w:r>
          </w:p>
        </w:tc>
        <w:tc>
          <w:tcPr>
            <w:tcW w:w="481" w:type="pct"/>
            <w:noWrap/>
            <w:vAlign w:val="center"/>
            <w:hideMark/>
          </w:tcPr>
          <w:p w14:paraId="63643568" w14:textId="77777777" w:rsidR="00282D44" w:rsidRPr="00B0286F" w:rsidRDefault="00282D44" w:rsidP="009C59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148</w:t>
            </w:r>
          </w:p>
        </w:tc>
        <w:tc>
          <w:tcPr>
            <w:tcW w:w="482" w:type="pct"/>
            <w:noWrap/>
            <w:vAlign w:val="center"/>
            <w:hideMark/>
          </w:tcPr>
          <w:p w14:paraId="1661B618" w14:textId="77777777" w:rsidR="00282D44" w:rsidRPr="00B0286F" w:rsidRDefault="00282D44" w:rsidP="009C59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151</w:t>
            </w:r>
          </w:p>
        </w:tc>
        <w:tc>
          <w:tcPr>
            <w:tcW w:w="484" w:type="pct"/>
            <w:noWrap/>
            <w:vAlign w:val="center"/>
            <w:hideMark/>
          </w:tcPr>
          <w:p w14:paraId="3D936BFE" w14:textId="77777777" w:rsidR="00282D44" w:rsidRPr="00B0286F" w:rsidRDefault="00282D44" w:rsidP="009C59E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B0286F">
              <w:rPr>
                <w:rFonts w:ascii="Arial" w:eastAsia="Times New Roman" w:hAnsi="Arial" w:cs="Arial"/>
                <w:lang w:eastAsia="es-MX"/>
              </w:rPr>
              <w:t>122</w:t>
            </w:r>
          </w:p>
        </w:tc>
      </w:tr>
    </w:tbl>
    <w:p w14:paraId="0FE1C583" w14:textId="77777777" w:rsidR="00034451" w:rsidRPr="001004B0" w:rsidRDefault="00034451" w:rsidP="00034451">
      <w:pPr>
        <w:pStyle w:val="Descripcin"/>
        <w:spacing w:after="0" w:line="276" w:lineRule="auto"/>
        <w:rPr>
          <w:rFonts w:ascii="Arial" w:hAnsi="Arial" w:cs="Arial"/>
          <w:color w:val="auto"/>
        </w:rPr>
      </w:pPr>
      <w:r w:rsidRPr="001004B0">
        <w:rPr>
          <w:rFonts w:ascii="Arial" w:hAnsi="Arial" w:cs="Arial"/>
          <w:b/>
          <w:bCs/>
          <w:i w:val="0"/>
          <w:noProof/>
          <w:color w:val="auto"/>
          <w:szCs w:val="16"/>
          <w:lang w:eastAsia="es-MX"/>
        </w:rPr>
        <w:t xml:space="preserve">Tabla N°2: </w:t>
      </w:r>
      <w:r w:rsidRPr="001004B0">
        <w:rPr>
          <w:rFonts w:ascii="Arial" w:hAnsi="Arial" w:cs="Arial"/>
          <w:color w:val="auto"/>
        </w:rPr>
        <w:t>Realizada por la ASEQROO.</w:t>
      </w:r>
    </w:p>
    <w:p w14:paraId="6362E371" w14:textId="77777777" w:rsidR="0088046E" w:rsidRDefault="0088046E" w:rsidP="0088046E"/>
    <w:p w14:paraId="63BC505F" w14:textId="77777777" w:rsidR="00B004CF" w:rsidRPr="0088046E" w:rsidRDefault="00B004CF" w:rsidP="0088046E"/>
    <w:p w14:paraId="4A64430C" w14:textId="77777777" w:rsidR="00E60A0A" w:rsidRDefault="007E099D" w:rsidP="00683FD0">
      <w:pPr>
        <w:pStyle w:val="Ttulo2"/>
        <w:numPr>
          <w:ilvl w:val="0"/>
          <w:numId w:val="1"/>
        </w:numPr>
        <w:spacing w:before="240" w:line="276" w:lineRule="auto"/>
        <w:jc w:val="both"/>
        <w:rPr>
          <w:rFonts w:ascii="Arial" w:hAnsi="Arial" w:cs="Arial"/>
          <w:b/>
          <w:color w:val="auto"/>
          <w:sz w:val="24"/>
          <w:szCs w:val="24"/>
        </w:rPr>
      </w:pPr>
      <w:bookmarkStart w:id="10" w:name="_Toc158567471"/>
      <w:r w:rsidRPr="00C70285">
        <w:rPr>
          <w:rFonts w:ascii="Arial" w:hAnsi="Arial" w:cs="Arial"/>
          <w:b/>
          <w:color w:val="auto"/>
          <w:sz w:val="24"/>
          <w:szCs w:val="24"/>
        </w:rPr>
        <w:t>UNIVERSO FISCALIZABLE</w:t>
      </w:r>
      <w:bookmarkEnd w:id="10"/>
      <w:r w:rsidRPr="00C70285">
        <w:rPr>
          <w:rFonts w:ascii="Arial" w:hAnsi="Arial" w:cs="Arial"/>
          <w:b/>
          <w:color w:val="auto"/>
          <w:sz w:val="24"/>
          <w:szCs w:val="24"/>
        </w:rPr>
        <w:t xml:space="preserve"> </w:t>
      </w:r>
    </w:p>
    <w:p w14:paraId="036D0AD7" w14:textId="77777777" w:rsidR="00B00076" w:rsidRPr="00B00076" w:rsidRDefault="00B00076" w:rsidP="00B00076">
      <w:pPr>
        <w:spacing w:after="0"/>
        <w:rPr>
          <w:rFonts w:ascii="Arial" w:hAnsi="Arial" w:cs="Arial"/>
          <w:sz w:val="16"/>
          <w:szCs w:val="16"/>
        </w:rPr>
      </w:pPr>
    </w:p>
    <w:p w14:paraId="094587AA" w14:textId="77777777" w:rsidR="00B00076" w:rsidRPr="0088381B" w:rsidRDefault="009C35C4" w:rsidP="00E60A0A">
      <w:pPr>
        <w:rPr>
          <w:sz w:val="18"/>
        </w:rPr>
      </w:pPr>
      <w:r w:rsidRPr="001F38BB">
        <w:rPr>
          <w:noProof/>
          <w:sz w:val="18"/>
          <w:lang w:eastAsia="es-MX"/>
        </w:rPr>
        <mc:AlternateContent>
          <mc:Choice Requires="wps">
            <w:drawing>
              <wp:anchor distT="45720" distB="45720" distL="114300" distR="114300" simplePos="0" relativeHeight="251679744" behindDoc="0" locked="0" layoutInCell="1" allowOverlap="1" wp14:anchorId="4D80C477" wp14:editId="5FFDF221">
                <wp:simplePos x="0" y="0"/>
                <wp:positionH relativeFrom="column">
                  <wp:posOffset>253365</wp:posOffset>
                </wp:positionH>
                <wp:positionV relativeFrom="paragraph">
                  <wp:posOffset>602615</wp:posOffset>
                </wp:positionV>
                <wp:extent cx="1684020" cy="345186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3451860"/>
                        </a:xfrm>
                        <a:prstGeom prst="rect">
                          <a:avLst/>
                        </a:prstGeom>
                        <a:noFill/>
                        <a:ln w="9525">
                          <a:noFill/>
                          <a:miter lim="800000"/>
                          <a:headEnd/>
                          <a:tailEnd/>
                        </a:ln>
                      </wps:spPr>
                      <wps:txbx>
                        <w:txbxContent>
                          <w:p w14:paraId="14C777D1" w14:textId="77777777" w:rsidR="00D33739" w:rsidRDefault="00D33739" w:rsidP="009C35C4">
                            <w:pPr>
                              <w:spacing w:after="0"/>
                              <w:rPr>
                                <w:b/>
                                <w:bCs/>
                              </w:rPr>
                            </w:pPr>
                            <w:r w:rsidRPr="001F38BB">
                              <w:rPr>
                                <w:b/>
                                <w:bCs/>
                              </w:rPr>
                              <w:t>Poder Ejecutivo</w:t>
                            </w:r>
                          </w:p>
                          <w:p w14:paraId="434C5827" w14:textId="77777777" w:rsidR="00D33739" w:rsidRPr="001F38BB" w:rsidRDefault="00D33739" w:rsidP="009C35C4">
                            <w:pPr>
                              <w:spacing w:after="0"/>
                            </w:pPr>
                          </w:p>
                          <w:p w14:paraId="62DEB817" w14:textId="77777777" w:rsidR="00D33739" w:rsidRDefault="00D33739" w:rsidP="009C35C4">
                            <w:pPr>
                              <w:spacing w:after="0"/>
                              <w:rPr>
                                <w:b/>
                                <w:bCs/>
                              </w:rPr>
                            </w:pPr>
                            <w:r w:rsidRPr="001F38BB">
                              <w:rPr>
                                <w:b/>
                                <w:bCs/>
                              </w:rPr>
                              <w:t>Poder Legislativo</w:t>
                            </w:r>
                          </w:p>
                          <w:p w14:paraId="15494817" w14:textId="77777777" w:rsidR="00D33739" w:rsidRPr="001F38BB" w:rsidRDefault="00D33739" w:rsidP="009C35C4">
                            <w:pPr>
                              <w:spacing w:after="0"/>
                            </w:pPr>
                          </w:p>
                          <w:p w14:paraId="375F45E4" w14:textId="77777777" w:rsidR="00D33739" w:rsidRDefault="00D33739" w:rsidP="009C35C4">
                            <w:pPr>
                              <w:spacing w:after="0"/>
                              <w:rPr>
                                <w:b/>
                                <w:bCs/>
                              </w:rPr>
                            </w:pPr>
                            <w:r w:rsidRPr="001F38BB">
                              <w:rPr>
                                <w:b/>
                                <w:bCs/>
                              </w:rPr>
                              <w:t>Poder Judicial</w:t>
                            </w:r>
                          </w:p>
                          <w:p w14:paraId="5D0903C2" w14:textId="77777777" w:rsidR="00D33739" w:rsidRPr="001F38BB" w:rsidRDefault="00D33739" w:rsidP="009C35C4">
                            <w:pPr>
                              <w:spacing w:after="0"/>
                            </w:pPr>
                          </w:p>
                          <w:p w14:paraId="3DE211B4" w14:textId="77777777" w:rsidR="00D33739" w:rsidRDefault="00D33739" w:rsidP="009C35C4">
                            <w:pPr>
                              <w:spacing w:after="0"/>
                              <w:rPr>
                                <w:b/>
                                <w:bCs/>
                              </w:rPr>
                            </w:pPr>
                            <w:r w:rsidRPr="001F38BB">
                              <w:rPr>
                                <w:b/>
                                <w:bCs/>
                              </w:rPr>
                              <w:t>Administración Púbica Paraestatal</w:t>
                            </w:r>
                          </w:p>
                          <w:p w14:paraId="24CDF345" w14:textId="77777777" w:rsidR="00D33739" w:rsidRPr="001F38BB" w:rsidRDefault="00D33739" w:rsidP="009C35C4">
                            <w:pPr>
                              <w:spacing w:after="0"/>
                            </w:pPr>
                          </w:p>
                          <w:p w14:paraId="0BFA5F7B" w14:textId="77777777" w:rsidR="00D33739" w:rsidRDefault="00D33739" w:rsidP="009C35C4">
                            <w:pPr>
                              <w:spacing w:after="0"/>
                              <w:rPr>
                                <w:b/>
                                <w:bCs/>
                              </w:rPr>
                            </w:pPr>
                            <w:r w:rsidRPr="001F38BB">
                              <w:rPr>
                                <w:b/>
                                <w:bCs/>
                              </w:rPr>
                              <w:t>Administración Pública Central</w:t>
                            </w:r>
                          </w:p>
                          <w:p w14:paraId="1F2DBB1E" w14:textId="77777777" w:rsidR="00D33739" w:rsidRPr="001F38BB" w:rsidRDefault="00D33739" w:rsidP="009C35C4">
                            <w:pPr>
                              <w:spacing w:after="0"/>
                            </w:pPr>
                          </w:p>
                          <w:p w14:paraId="387021AD" w14:textId="77777777" w:rsidR="00D33739" w:rsidRDefault="00D33739" w:rsidP="009C35C4">
                            <w:pPr>
                              <w:spacing w:after="0"/>
                              <w:rPr>
                                <w:b/>
                                <w:bCs/>
                              </w:rPr>
                            </w:pPr>
                            <w:r w:rsidRPr="001F38BB">
                              <w:rPr>
                                <w:b/>
                                <w:bCs/>
                              </w:rPr>
                              <w:t>Órganos Autónomos</w:t>
                            </w:r>
                          </w:p>
                          <w:p w14:paraId="40C8B108" w14:textId="77777777" w:rsidR="00D33739" w:rsidRPr="001F38BB" w:rsidRDefault="00D33739" w:rsidP="009C35C4">
                            <w:pPr>
                              <w:spacing w:after="0"/>
                            </w:pPr>
                          </w:p>
                          <w:p w14:paraId="6E3C48CF" w14:textId="77777777" w:rsidR="00D33739" w:rsidRDefault="00D33739" w:rsidP="009C35C4">
                            <w:pPr>
                              <w:spacing w:after="0"/>
                              <w:rPr>
                                <w:b/>
                                <w:bCs/>
                              </w:rPr>
                            </w:pPr>
                            <w:r w:rsidRPr="001F38BB">
                              <w:rPr>
                                <w:b/>
                                <w:bCs/>
                              </w:rPr>
                              <w:t>Ayuntamientos</w:t>
                            </w:r>
                          </w:p>
                          <w:p w14:paraId="19C2234A" w14:textId="77777777" w:rsidR="00D33739" w:rsidRPr="001F38BB" w:rsidRDefault="00D33739" w:rsidP="009C35C4">
                            <w:pPr>
                              <w:spacing w:after="0"/>
                            </w:pPr>
                          </w:p>
                          <w:p w14:paraId="47D08B8C" w14:textId="77777777" w:rsidR="00D33739" w:rsidRPr="001F38BB" w:rsidRDefault="00D33739" w:rsidP="009C35C4">
                            <w:pPr>
                              <w:spacing w:after="0"/>
                            </w:pPr>
                            <w:r w:rsidRPr="001F38BB">
                              <w:rPr>
                                <w:b/>
                                <w:bCs/>
                              </w:rPr>
                              <w:t>Administración Pública Paramunicipal</w:t>
                            </w:r>
                          </w:p>
                          <w:p w14:paraId="26866682" w14:textId="77777777" w:rsidR="00D33739" w:rsidRDefault="00D33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80C477" id="_x0000_t202" coordsize="21600,21600" o:spt="202" path="m,l,21600r21600,l21600,xe">
                <v:stroke joinstyle="miter"/>
                <v:path gradientshapeok="t" o:connecttype="rect"/>
              </v:shapetype>
              <v:shape id="Cuadro de texto 2" o:spid="_x0000_s1026" type="#_x0000_t202" style="position:absolute;margin-left:19.95pt;margin-top:47.45pt;width:132.6pt;height:27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" filled="f" stroked="f">
                <v:textbox>
                  <w:txbxContent>
                    <w:p w14:paraId="14C777D1" w14:textId="77777777" w:rsidR="00D33739" w:rsidRDefault="00D33739" w:rsidP="009C35C4">
                      <w:pPr>
                        <w:spacing w:after="0"/>
                        <w:rPr>
                          <w:b/>
                          <w:bCs/>
                        </w:rPr>
                      </w:pPr>
                      <w:r w:rsidRPr="001F38BB">
                        <w:rPr>
                          <w:b/>
                          <w:bCs/>
                        </w:rPr>
                        <w:t>Poder Ejecutivo</w:t>
                      </w:r>
                    </w:p>
                    <w:p w14:paraId="434C5827" w14:textId="77777777" w:rsidR="00D33739" w:rsidRPr="001F38BB" w:rsidRDefault="00D33739" w:rsidP="009C35C4">
                      <w:pPr>
                        <w:spacing w:after="0"/>
                      </w:pPr>
                    </w:p>
                    <w:p w14:paraId="62DEB817" w14:textId="77777777" w:rsidR="00D33739" w:rsidRDefault="00D33739" w:rsidP="009C35C4">
                      <w:pPr>
                        <w:spacing w:after="0"/>
                        <w:rPr>
                          <w:b/>
                          <w:bCs/>
                        </w:rPr>
                      </w:pPr>
                      <w:r w:rsidRPr="001F38BB">
                        <w:rPr>
                          <w:b/>
                          <w:bCs/>
                        </w:rPr>
                        <w:t>Poder Legislativo</w:t>
                      </w:r>
                    </w:p>
                    <w:p w14:paraId="15494817" w14:textId="77777777" w:rsidR="00D33739" w:rsidRPr="001F38BB" w:rsidRDefault="00D33739" w:rsidP="009C35C4">
                      <w:pPr>
                        <w:spacing w:after="0"/>
                      </w:pPr>
                    </w:p>
                    <w:p w14:paraId="375F45E4" w14:textId="77777777" w:rsidR="00D33739" w:rsidRDefault="00D33739" w:rsidP="009C35C4">
                      <w:pPr>
                        <w:spacing w:after="0"/>
                        <w:rPr>
                          <w:b/>
                          <w:bCs/>
                        </w:rPr>
                      </w:pPr>
                      <w:r w:rsidRPr="001F38BB">
                        <w:rPr>
                          <w:b/>
                          <w:bCs/>
                        </w:rPr>
                        <w:t>Poder Judicial</w:t>
                      </w:r>
                    </w:p>
                    <w:p w14:paraId="5D0903C2" w14:textId="77777777" w:rsidR="00D33739" w:rsidRPr="001F38BB" w:rsidRDefault="00D33739" w:rsidP="009C35C4">
                      <w:pPr>
                        <w:spacing w:after="0"/>
                      </w:pPr>
                    </w:p>
                    <w:p w14:paraId="3DE211B4" w14:textId="77777777" w:rsidR="00D33739" w:rsidRDefault="00D33739" w:rsidP="009C35C4">
                      <w:pPr>
                        <w:spacing w:after="0"/>
                        <w:rPr>
                          <w:b/>
                          <w:bCs/>
                        </w:rPr>
                      </w:pPr>
                      <w:r w:rsidRPr="001F38BB">
                        <w:rPr>
                          <w:b/>
                          <w:bCs/>
                        </w:rPr>
                        <w:t>Administración Púbica Paraestatal</w:t>
                      </w:r>
                    </w:p>
                    <w:p w14:paraId="24CDF345" w14:textId="77777777" w:rsidR="00D33739" w:rsidRPr="001F38BB" w:rsidRDefault="00D33739" w:rsidP="009C35C4">
                      <w:pPr>
                        <w:spacing w:after="0"/>
                      </w:pPr>
                    </w:p>
                    <w:p w14:paraId="0BFA5F7B" w14:textId="77777777" w:rsidR="00D33739" w:rsidRDefault="00D33739" w:rsidP="009C35C4">
                      <w:pPr>
                        <w:spacing w:after="0"/>
                        <w:rPr>
                          <w:b/>
                          <w:bCs/>
                        </w:rPr>
                      </w:pPr>
                      <w:r w:rsidRPr="001F38BB">
                        <w:rPr>
                          <w:b/>
                          <w:bCs/>
                        </w:rPr>
                        <w:t>Administración Pública Central</w:t>
                      </w:r>
                    </w:p>
                    <w:p w14:paraId="1F2DBB1E" w14:textId="77777777" w:rsidR="00D33739" w:rsidRPr="001F38BB" w:rsidRDefault="00D33739" w:rsidP="009C35C4">
                      <w:pPr>
                        <w:spacing w:after="0"/>
                      </w:pPr>
                    </w:p>
                    <w:p w14:paraId="387021AD" w14:textId="77777777" w:rsidR="00D33739" w:rsidRDefault="00D33739" w:rsidP="009C35C4">
                      <w:pPr>
                        <w:spacing w:after="0"/>
                        <w:rPr>
                          <w:b/>
                          <w:bCs/>
                        </w:rPr>
                      </w:pPr>
                      <w:r w:rsidRPr="001F38BB">
                        <w:rPr>
                          <w:b/>
                          <w:bCs/>
                        </w:rPr>
                        <w:t>Órganos Autónomos</w:t>
                      </w:r>
                    </w:p>
                    <w:p w14:paraId="40C8B108" w14:textId="77777777" w:rsidR="00D33739" w:rsidRPr="001F38BB" w:rsidRDefault="00D33739" w:rsidP="009C35C4">
                      <w:pPr>
                        <w:spacing w:after="0"/>
                      </w:pPr>
                    </w:p>
                    <w:p w14:paraId="6E3C48CF" w14:textId="77777777" w:rsidR="00D33739" w:rsidRDefault="00D33739" w:rsidP="009C35C4">
                      <w:pPr>
                        <w:spacing w:after="0"/>
                        <w:rPr>
                          <w:b/>
                          <w:bCs/>
                        </w:rPr>
                      </w:pPr>
                      <w:r w:rsidRPr="001F38BB">
                        <w:rPr>
                          <w:b/>
                          <w:bCs/>
                        </w:rPr>
                        <w:t>Ayuntamientos</w:t>
                      </w:r>
                    </w:p>
                    <w:p w14:paraId="19C2234A" w14:textId="77777777" w:rsidR="00D33739" w:rsidRPr="001F38BB" w:rsidRDefault="00D33739" w:rsidP="009C35C4">
                      <w:pPr>
                        <w:spacing w:after="0"/>
                      </w:pPr>
                    </w:p>
                    <w:p w14:paraId="47D08B8C" w14:textId="77777777" w:rsidR="00D33739" w:rsidRPr="001F38BB" w:rsidRDefault="00D33739" w:rsidP="009C35C4">
                      <w:pPr>
                        <w:spacing w:after="0"/>
                      </w:pPr>
                      <w:r w:rsidRPr="001F38BB">
                        <w:rPr>
                          <w:b/>
                          <w:bCs/>
                        </w:rPr>
                        <w:t>Administración Pública Paramunicipal</w:t>
                      </w:r>
                    </w:p>
                    <w:p w14:paraId="26866682" w14:textId="77777777" w:rsidR="00D33739" w:rsidRDefault="00D33739"/>
                  </w:txbxContent>
                </v:textbox>
              </v:shape>
            </w:pict>
          </mc:Fallback>
        </mc:AlternateContent>
      </w:r>
      <w:r>
        <w:rPr>
          <w:noProof/>
          <w:sz w:val="18"/>
          <w:lang w:eastAsia="es-MX"/>
        </w:rPr>
        <mc:AlternateContent>
          <mc:Choice Requires="wps">
            <w:drawing>
              <wp:anchor distT="0" distB="0" distL="114300" distR="114300" simplePos="0" relativeHeight="251695104" behindDoc="0" locked="0" layoutInCell="1" allowOverlap="1" wp14:anchorId="2C3EC138" wp14:editId="7E874407">
                <wp:simplePos x="0" y="0"/>
                <wp:positionH relativeFrom="column">
                  <wp:posOffset>83185</wp:posOffset>
                </wp:positionH>
                <wp:positionV relativeFrom="paragraph">
                  <wp:posOffset>3681095</wp:posOffset>
                </wp:positionV>
                <wp:extent cx="144000" cy="144000"/>
                <wp:effectExtent l="0" t="0" r="8890" b="8890"/>
                <wp:wrapNone/>
                <wp:docPr id="920" name="Elipse 920"/>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98007F9" id="Elipse 920" o:spid="_x0000_s1026" style="position:absolute;margin-left:6.55pt;margin-top:289.85pt;width:11.35pt;height:1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" fillcolor="#0070c0" stroked="f" strokeweight="1pt">
                <v:stroke joinstyle="miter"/>
              </v:oval>
            </w:pict>
          </mc:Fallback>
        </mc:AlternateContent>
      </w:r>
      <w:r>
        <w:rPr>
          <w:noProof/>
          <w:sz w:val="18"/>
          <w:lang w:eastAsia="es-MX"/>
        </w:rPr>
        <mc:AlternateContent>
          <mc:Choice Requires="wps">
            <w:drawing>
              <wp:anchor distT="0" distB="0" distL="114300" distR="114300" simplePos="0" relativeHeight="251693056" behindDoc="0" locked="0" layoutInCell="1" allowOverlap="1" wp14:anchorId="2649B3B6" wp14:editId="748007A2">
                <wp:simplePos x="0" y="0"/>
                <wp:positionH relativeFrom="column">
                  <wp:posOffset>83820</wp:posOffset>
                </wp:positionH>
                <wp:positionV relativeFrom="paragraph">
                  <wp:posOffset>3239135</wp:posOffset>
                </wp:positionV>
                <wp:extent cx="144000" cy="144000"/>
                <wp:effectExtent l="0" t="0" r="8890" b="8890"/>
                <wp:wrapNone/>
                <wp:docPr id="919" name="Elipse 919"/>
                <wp:cNvGraphicFramePr/>
                <a:graphic xmlns:a="http://schemas.openxmlformats.org/drawingml/2006/main">
                  <a:graphicData uri="http://schemas.microsoft.com/office/word/2010/wordprocessingShape">
                    <wps:wsp>
                      <wps:cNvSpPr/>
                      <wps:spPr>
                        <a:xfrm>
                          <a:off x="0" y="0"/>
                          <a:ext cx="144000" cy="144000"/>
                        </a:xfrm>
                        <a:prstGeom prst="ellipse">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389DDED" id="Elipse 919" o:spid="_x0000_s1026" style="position:absolute;margin-left:6.6pt;margin-top:255.05pt;width:11.35pt;height:1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" fillcolor="#7f5f00 [1607]" stroked="f" strokeweight="1pt">
                <v:stroke joinstyle="miter"/>
              </v:oval>
            </w:pict>
          </mc:Fallback>
        </mc:AlternateContent>
      </w:r>
      <w:r>
        <w:rPr>
          <w:noProof/>
          <w:sz w:val="18"/>
          <w:lang w:eastAsia="es-MX"/>
        </w:rPr>
        <mc:AlternateContent>
          <mc:Choice Requires="wps">
            <w:drawing>
              <wp:anchor distT="0" distB="0" distL="114300" distR="114300" simplePos="0" relativeHeight="251691008" behindDoc="0" locked="0" layoutInCell="1" allowOverlap="1" wp14:anchorId="6EB1CCBB" wp14:editId="36081DF1">
                <wp:simplePos x="0" y="0"/>
                <wp:positionH relativeFrom="column">
                  <wp:posOffset>83185</wp:posOffset>
                </wp:positionH>
                <wp:positionV relativeFrom="paragraph">
                  <wp:posOffset>2858135</wp:posOffset>
                </wp:positionV>
                <wp:extent cx="144000" cy="144000"/>
                <wp:effectExtent l="0" t="0" r="8890" b="8890"/>
                <wp:wrapNone/>
                <wp:docPr id="918" name="Elipse 918"/>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F41B3D" id="Elipse 918" o:spid="_x0000_s1026" style="position:absolute;margin-left:6.55pt;margin-top:225.05pt;width:11.35pt;height:1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" fillcolor="#002060" stroked="f" strokeweight="1pt">
                <v:stroke joinstyle="miter"/>
              </v:oval>
            </w:pict>
          </mc:Fallback>
        </mc:AlternateContent>
      </w:r>
      <w:r>
        <w:rPr>
          <w:noProof/>
          <w:sz w:val="18"/>
          <w:lang w:eastAsia="es-MX"/>
        </w:rPr>
        <mc:AlternateContent>
          <mc:Choice Requires="wps">
            <w:drawing>
              <wp:anchor distT="0" distB="0" distL="114300" distR="114300" simplePos="0" relativeHeight="251688960" behindDoc="0" locked="0" layoutInCell="1" allowOverlap="1" wp14:anchorId="707171B4" wp14:editId="4B23E759">
                <wp:simplePos x="0" y="0"/>
                <wp:positionH relativeFrom="column">
                  <wp:posOffset>83820</wp:posOffset>
                </wp:positionH>
                <wp:positionV relativeFrom="paragraph">
                  <wp:posOffset>2400935</wp:posOffset>
                </wp:positionV>
                <wp:extent cx="144000" cy="144000"/>
                <wp:effectExtent l="0" t="0" r="8890" b="8890"/>
                <wp:wrapNone/>
                <wp:docPr id="917" name="Elipse 917"/>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DA75124" id="Elipse 917" o:spid="_x0000_s1026" style="position:absolute;margin-left:6.6pt;margin-top:189.05pt;width:11.35pt;height:1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" fillcolor="#c00000" stroked="f" strokeweight="1pt">
                <v:stroke joinstyle="miter"/>
              </v:oval>
            </w:pict>
          </mc:Fallback>
        </mc:AlternateContent>
      </w:r>
      <w:r>
        <w:rPr>
          <w:noProof/>
          <w:sz w:val="18"/>
          <w:lang w:eastAsia="es-MX"/>
        </w:rPr>
        <mc:AlternateContent>
          <mc:Choice Requires="wps">
            <w:drawing>
              <wp:anchor distT="0" distB="0" distL="114300" distR="114300" simplePos="0" relativeHeight="251686912" behindDoc="0" locked="0" layoutInCell="1" allowOverlap="1" wp14:anchorId="3B6F1CF8" wp14:editId="30B7358E">
                <wp:simplePos x="0" y="0"/>
                <wp:positionH relativeFrom="column">
                  <wp:posOffset>83185</wp:posOffset>
                </wp:positionH>
                <wp:positionV relativeFrom="paragraph">
                  <wp:posOffset>1852295</wp:posOffset>
                </wp:positionV>
                <wp:extent cx="144000" cy="144000"/>
                <wp:effectExtent l="0" t="0" r="8890" b="8890"/>
                <wp:wrapNone/>
                <wp:docPr id="915" name="Elipse 915"/>
                <wp:cNvGraphicFramePr/>
                <a:graphic xmlns:a="http://schemas.openxmlformats.org/drawingml/2006/main">
                  <a:graphicData uri="http://schemas.microsoft.com/office/word/2010/wordprocessingShape">
                    <wps:wsp>
                      <wps:cNvSpPr/>
                      <wps:spPr>
                        <a:xfrm>
                          <a:off x="0" y="0"/>
                          <a:ext cx="144000" cy="144000"/>
                        </a:xfrm>
                        <a:prstGeom prst="ellips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94DD6C0" id="Elipse 915" o:spid="_x0000_s1026" style="position:absolute;margin-left:6.55pt;margin-top:145.85pt;width:11.35pt;height:1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" fillcolor="#375623 [1609]" stroked="f" strokeweight="1pt">
                <v:stroke joinstyle="miter"/>
              </v:oval>
            </w:pict>
          </mc:Fallback>
        </mc:AlternateContent>
      </w:r>
      <w:r>
        <w:rPr>
          <w:noProof/>
          <w:sz w:val="18"/>
          <w:lang w:eastAsia="es-MX"/>
        </w:rPr>
        <mc:AlternateContent>
          <mc:Choice Requires="wps">
            <w:drawing>
              <wp:anchor distT="0" distB="0" distL="114300" distR="114300" simplePos="0" relativeHeight="251684864" behindDoc="0" locked="0" layoutInCell="1" allowOverlap="1" wp14:anchorId="7F8E4BCB" wp14:editId="10FEA854">
                <wp:simplePos x="0" y="0"/>
                <wp:positionH relativeFrom="column">
                  <wp:posOffset>83185</wp:posOffset>
                </wp:positionH>
                <wp:positionV relativeFrom="paragraph">
                  <wp:posOffset>1410335</wp:posOffset>
                </wp:positionV>
                <wp:extent cx="144000" cy="144000"/>
                <wp:effectExtent l="0" t="0" r="8890" b="8890"/>
                <wp:wrapNone/>
                <wp:docPr id="914" name="Elipse 914"/>
                <wp:cNvGraphicFramePr/>
                <a:graphic xmlns:a="http://schemas.openxmlformats.org/drawingml/2006/main">
                  <a:graphicData uri="http://schemas.microsoft.com/office/word/2010/wordprocessingShape">
                    <wps:wsp>
                      <wps:cNvSpPr/>
                      <wps:spPr>
                        <a:xfrm>
                          <a:off x="0" y="0"/>
                          <a:ext cx="144000" cy="144000"/>
                        </a:xfrm>
                        <a:prstGeom prst="ellips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C146AB" id="Elipse 914" o:spid="_x0000_s1026" style="position:absolute;margin-left:6.55pt;margin-top:111.05pt;width:11.35pt;height:1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" fillcolor="#747070 [1614]" stroked="f" strokeweight="1pt">
                <v:stroke joinstyle="miter"/>
              </v:oval>
            </w:pict>
          </mc:Fallback>
        </mc:AlternateContent>
      </w:r>
      <w:r>
        <w:rPr>
          <w:noProof/>
          <w:sz w:val="18"/>
          <w:lang w:eastAsia="es-MX"/>
        </w:rPr>
        <mc:AlternateContent>
          <mc:Choice Requires="wps">
            <w:drawing>
              <wp:anchor distT="0" distB="0" distL="114300" distR="114300" simplePos="0" relativeHeight="251682816" behindDoc="0" locked="0" layoutInCell="1" allowOverlap="1" wp14:anchorId="148C627B" wp14:editId="68AAB27E">
                <wp:simplePos x="0" y="0"/>
                <wp:positionH relativeFrom="column">
                  <wp:posOffset>83185</wp:posOffset>
                </wp:positionH>
                <wp:positionV relativeFrom="paragraph">
                  <wp:posOffset>1021715</wp:posOffset>
                </wp:positionV>
                <wp:extent cx="144000" cy="144000"/>
                <wp:effectExtent l="0" t="0" r="8890" b="8890"/>
                <wp:wrapNone/>
                <wp:docPr id="913" name="Elipse 913"/>
                <wp:cNvGraphicFramePr/>
                <a:graphic xmlns:a="http://schemas.openxmlformats.org/drawingml/2006/main">
                  <a:graphicData uri="http://schemas.microsoft.com/office/word/2010/wordprocessingShape">
                    <wps:wsp>
                      <wps:cNvSpPr/>
                      <wps:spPr>
                        <a:xfrm>
                          <a:off x="0" y="0"/>
                          <a:ext cx="144000" cy="144000"/>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8395B96" id="Elipse 913" o:spid="_x0000_s1026" style="position:absolute;margin-left:6.55pt;margin-top:80.45pt;width:11.35pt;height:1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" fillcolor="#c45911 [2405]" stroked="f" strokeweight="1pt">
                <v:stroke joinstyle="miter"/>
              </v:oval>
            </w:pict>
          </mc:Fallback>
        </mc:AlternateContent>
      </w:r>
      <w:r>
        <w:rPr>
          <w:noProof/>
          <w:sz w:val="18"/>
          <w:lang w:eastAsia="es-MX"/>
        </w:rPr>
        <mc:AlternateContent>
          <mc:Choice Requires="wps">
            <w:drawing>
              <wp:anchor distT="0" distB="0" distL="114300" distR="114300" simplePos="0" relativeHeight="251680768" behindDoc="0" locked="0" layoutInCell="1" allowOverlap="1" wp14:anchorId="778E733F" wp14:editId="2EE8322C">
                <wp:simplePos x="0" y="0"/>
                <wp:positionH relativeFrom="column">
                  <wp:posOffset>83185</wp:posOffset>
                </wp:positionH>
                <wp:positionV relativeFrom="paragraph">
                  <wp:posOffset>671195</wp:posOffset>
                </wp:positionV>
                <wp:extent cx="144000" cy="144000"/>
                <wp:effectExtent l="0" t="0" r="8890" b="8890"/>
                <wp:wrapNone/>
                <wp:docPr id="912" name="Elipse 912"/>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BEEDF78" id="Elipse 912" o:spid="_x0000_s1026" style="position:absolute;margin-left:6.55pt;margin-top:52.85pt;width:11.35pt;height:1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" fillcolor="#7030a0" stroked="f" strokeweight="1pt">
                <v:stroke joinstyle="miter"/>
              </v:oval>
            </w:pict>
          </mc:Fallback>
        </mc:AlternateContent>
      </w:r>
      <w:r w:rsidR="001F38BB">
        <w:rPr>
          <w:noProof/>
          <w:lang w:eastAsia="es-MX"/>
        </w:rPr>
        <w:drawing>
          <wp:inline distT="0" distB="0" distL="0" distR="0" wp14:anchorId="1CD9863F" wp14:editId="5FFFE492">
            <wp:extent cx="5612130" cy="4168140"/>
            <wp:effectExtent l="0" t="0" r="7620" b="3810"/>
            <wp:docPr id="911" name="Gráfico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724904" w14:textId="77777777" w:rsidR="00F20A38" w:rsidRPr="00B004CF" w:rsidRDefault="00F533F2" w:rsidP="00F20A38">
      <w:pPr>
        <w:pStyle w:val="Descripcin"/>
        <w:spacing w:after="0" w:line="276" w:lineRule="auto"/>
        <w:jc w:val="center"/>
        <w:rPr>
          <w:rFonts w:ascii="Arial" w:hAnsi="Arial" w:cs="Arial"/>
          <w:color w:val="000000" w:themeColor="text1"/>
        </w:rPr>
      </w:pPr>
      <w:r w:rsidRPr="00B004CF">
        <w:rPr>
          <w:rFonts w:ascii="Arial" w:hAnsi="Arial" w:cs="Arial"/>
          <w:b/>
          <w:color w:val="000000" w:themeColor="text1"/>
        </w:rPr>
        <w:t>Gráfica N° 3</w:t>
      </w:r>
      <w:r w:rsidR="00B004CF" w:rsidRPr="00B004CF">
        <w:rPr>
          <w:rFonts w:ascii="Arial" w:hAnsi="Arial" w:cs="Arial"/>
          <w:color w:val="000000" w:themeColor="text1"/>
        </w:rPr>
        <w:t xml:space="preserve"> Elaboración Propia.</w:t>
      </w:r>
    </w:p>
    <w:p w14:paraId="7A680A7F" w14:textId="77777777" w:rsidR="00F20A38" w:rsidRDefault="00F20A38" w:rsidP="00F20A38">
      <w:pPr>
        <w:pStyle w:val="Descripcin"/>
        <w:spacing w:after="0" w:line="276" w:lineRule="auto"/>
        <w:jc w:val="center"/>
        <w:rPr>
          <w:rFonts w:ascii="Arial" w:hAnsi="Arial" w:cs="Arial"/>
          <w:i w:val="0"/>
          <w:color w:val="auto"/>
          <w:sz w:val="16"/>
        </w:rPr>
      </w:pPr>
      <w:r w:rsidRPr="004B4A89">
        <w:rPr>
          <w:rFonts w:ascii="Arial" w:hAnsi="Arial" w:cs="Arial"/>
          <w:i w:val="0"/>
          <w:color w:val="auto"/>
          <w:sz w:val="16"/>
        </w:rPr>
        <w:t>.</w:t>
      </w:r>
    </w:p>
    <w:p w14:paraId="0467A77F" w14:textId="77777777" w:rsidR="00B004CF" w:rsidRPr="00B004CF" w:rsidRDefault="00B004CF" w:rsidP="00B004CF"/>
    <w:p w14:paraId="17916245" w14:textId="77777777" w:rsidR="00086CA4" w:rsidRDefault="00FC0FA7" w:rsidP="00086CA4">
      <w:pPr>
        <w:spacing w:line="360" w:lineRule="auto"/>
        <w:jc w:val="both"/>
        <w:rPr>
          <w:rFonts w:ascii="Arial" w:eastAsia="Arial" w:hAnsi="Arial" w:cs="Arial"/>
          <w:sz w:val="24"/>
          <w:szCs w:val="24"/>
          <w:lang w:val="es-ES"/>
        </w:rPr>
      </w:pPr>
      <w:r>
        <w:rPr>
          <w:rFonts w:ascii="Arial" w:eastAsia="Arial" w:hAnsi="Arial" w:cs="Arial"/>
          <w:sz w:val="24"/>
          <w:szCs w:val="24"/>
          <w:lang w:val="es-ES"/>
        </w:rPr>
        <w:t>L</w:t>
      </w:r>
      <w:r w:rsidR="00F850CE" w:rsidRPr="00F850CE">
        <w:rPr>
          <w:rFonts w:ascii="Arial" w:eastAsia="Arial" w:hAnsi="Arial" w:cs="Arial"/>
          <w:sz w:val="24"/>
          <w:szCs w:val="24"/>
          <w:lang w:val="es-ES"/>
        </w:rPr>
        <w:t>os entes públicos sujetos a la fiscalización</w:t>
      </w:r>
      <w:r>
        <w:rPr>
          <w:rFonts w:ascii="Arial" w:eastAsia="Arial" w:hAnsi="Arial" w:cs="Arial"/>
          <w:sz w:val="24"/>
          <w:szCs w:val="24"/>
          <w:lang w:val="es-ES"/>
        </w:rPr>
        <w:t xml:space="preserve"> superior</w:t>
      </w:r>
      <w:r w:rsidR="00F850CE" w:rsidRPr="00F850CE">
        <w:rPr>
          <w:rFonts w:ascii="Arial" w:eastAsia="Arial" w:hAnsi="Arial" w:cs="Arial"/>
          <w:sz w:val="24"/>
          <w:szCs w:val="24"/>
          <w:lang w:val="es-ES"/>
        </w:rPr>
        <w:t xml:space="preserve"> se encuentran sustentados en la Ley de Fiscalización y Rendición de Cuentas del Estado de Quintana R</w:t>
      </w:r>
      <w:r>
        <w:rPr>
          <w:rFonts w:ascii="Arial" w:eastAsia="Arial" w:hAnsi="Arial" w:cs="Arial"/>
          <w:sz w:val="24"/>
          <w:szCs w:val="24"/>
          <w:lang w:val="es-ES"/>
        </w:rPr>
        <w:t>oo</w:t>
      </w:r>
      <w:r w:rsidR="002A66B2">
        <w:rPr>
          <w:rFonts w:ascii="Arial" w:eastAsia="Arial" w:hAnsi="Arial" w:cs="Arial"/>
          <w:sz w:val="24"/>
          <w:szCs w:val="24"/>
          <w:lang w:val="es-ES"/>
        </w:rPr>
        <w:t>,</w:t>
      </w:r>
      <w:r w:rsidR="00EA6C3C">
        <w:rPr>
          <w:rFonts w:ascii="Arial" w:eastAsia="Arial" w:hAnsi="Arial" w:cs="Arial"/>
          <w:sz w:val="24"/>
          <w:szCs w:val="24"/>
          <w:lang w:val="es-ES"/>
        </w:rPr>
        <w:t xml:space="preserve"> siendo los siguientes:</w:t>
      </w:r>
      <w:r w:rsidR="002A66B2">
        <w:rPr>
          <w:rFonts w:ascii="Arial" w:eastAsia="Arial" w:hAnsi="Arial" w:cs="Arial"/>
          <w:sz w:val="24"/>
          <w:szCs w:val="24"/>
          <w:lang w:val="es-ES"/>
        </w:rPr>
        <w:t xml:space="preserve"> </w:t>
      </w:r>
    </w:p>
    <w:p w14:paraId="3F73AE35" w14:textId="77777777" w:rsidR="00FC0FA7" w:rsidRPr="00B00076" w:rsidRDefault="00BF61C5" w:rsidP="00683FD0">
      <w:pPr>
        <w:pStyle w:val="Prrafodelista"/>
        <w:numPr>
          <w:ilvl w:val="0"/>
          <w:numId w:val="3"/>
        </w:numPr>
        <w:spacing w:line="360" w:lineRule="auto"/>
        <w:jc w:val="both"/>
        <w:rPr>
          <w:rFonts w:ascii="Arial" w:eastAsia="Arial" w:hAnsi="Arial" w:cs="Arial"/>
          <w:color w:val="0D0D0D" w:themeColor="text1" w:themeTint="F2"/>
          <w:sz w:val="24"/>
          <w:szCs w:val="24"/>
          <w:lang w:val="es-ES"/>
        </w:rPr>
      </w:pPr>
      <w:r>
        <w:rPr>
          <w:rFonts w:ascii="Arial" w:eastAsia="Arial" w:hAnsi="Arial" w:cs="Arial"/>
          <w:color w:val="0D0D0D" w:themeColor="text1" w:themeTint="F2"/>
          <w:sz w:val="24"/>
          <w:szCs w:val="24"/>
          <w:lang w:val="es-ES"/>
        </w:rPr>
        <w:lastRenderedPageBreak/>
        <w:t xml:space="preserve">Los </w:t>
      </w:r>
      <w:r w:rsidR="00FC0FA7" w:rsidRPr="00B00076">
        <w:rPr>
          <w:rFonts w:ascii="Arial" w:eastAsia="Arial" w:hAnsi="Arial" w:cs="Arial"/>
          <w:color w:val="0D0D0D" w:themeColor="text1" w:themeTint="F2"/>
          <w:sz w:val="24"/>
          <w:szCs w:val="24"/>
          <w:lang w:val="es-ES"/>
        </w:rPr>
        <w:t>Poderes del Estado: Leg</w:t>
      </w:r>
      <w:r w:rsidR="00086CA4" w:rsidRPr="00B00076">
        <w:rPr>
          <w:rFonts w:ascii="Arial" w:eastAsia="Arial" w:hAnsi="Arial" w:cs="Arial"/>
          <w:color w:val="0D0D0D" w:themeColor="text1" w:themeTint="F2"/>
          <w:sz w:val="24"/>
          <w:szCs w:val="24"/>
          <w:lang w:val="es-ES"/>
        </w:rPr>
        <w:t xml:space="preserve">islativo, Judicial y Ejecutivo; </w:t>
      </w:r>
    </w:p>
    <w:p w14:paraId="53EF097C" w14:textId="77777777" w:rsidR="00FC0FA7" w:rsidRPr="00B00076" w:rsidRDefault="00FC0FA7" w:rsidP="00683FD0">
      <w:pPr>
        <w:pStyle w:val="Prrafodelista"/>
        <w:numPr>
          <w:ilvl w:val="0"/>
          <w:numId w:val="3"/>
        </w:numPr>
        <w:spacing w:line="360" w:lineRule="auto"/>
        <w:jc w:val="both"/>
        <w:rPr>
          <w:rFonts w:ascii="Arial" w:eastAsia="Arial" w:hAnsi="Arial" w:cs="Arial"/>
          <w:color w:val="0D0D0D" w:themeColor="text1" w:themeTint="F2"/>
          <w:sz w:val="24"/>
          <w:szCs w:val="24"/>
          <w:lang w:val="es-ES"/>
        </w:rPr>
      </w:pPr>
      <w:r w:rsidRPr="00B00076">
        <w:rPr>
          <w:rFonts w:ascii="Arial" w:eastAsia="Arial" w:hAnsi="Arial" w:cs="Arial"/>
          <w:color w:val="0D0D0D" w:themeColor="text1" w:themeTint="F2"/>
          <w:sz w:val="24"/>
          <w:szCs w:val="24"/>
          <w:lang w:val="es-ES"/>
        </w:rPr>
        <w:t xml:space="preserve">Los Organismos Descentralizados de la Administración Pública Estatal, </w:t>
      </w:r>
    </w:p>
    <w:p w14:paraId="144BB8E9" w14:textId="77777777" w:rsidR="00FC0FA7" w:rsidRPr="00B00076" w:rsidRDefault="00FC0FA7" w:rsidP="00683FD0">
      <w:pPr>
        <w:pStyle w:val="Prrafodelista"/>
        <w:numPr>
          <w:ilvl w:val="0"/>
          <w:numId w:val="3"/>
        </w:numPr>
        <w:spacing w:line="360" w:lineRule="auto"/>
        <w:jc w:val="both"/>
        <w:rPr>
          <w:rFonts w:ascii="Arial" w:eastAsia="Arial" w:hAnsi="Arial" w:cs="Arial"/>
          <w:color w:val="0D0D0D" w:themeColor="text1" w:themeTint="F2"/>
          <w:sz w:val="24"/>
          <w:szCs w:val="24"/>
          <w:lang w:val="es-ES"/>
        </w:rPr>
      </w:pPr>
      <w:r w:rsidRPr="00B00076">
        <w:rPr>
          <w:rFonts w:ascii="Arial" w:eastAsia="Arial" w:hAnsi="Arial" w:cs="Arial"/>
          <w:color w:val="0D0D0D" w:themeColor="text1" w:themeTint="F2"/>
          <w:sz w:val="24"/>
          <w:szCs w:val="24"/>
          <w:lang w:val="es-ES"/>
        </w:rPr>
        <w:t xml:space="preserve">Las Empresas de Participación Estatal Mayoritaria; </w:t>
      </w:r>
    </w:p>
    <w:p w14:paraId="38017479" w14:textId="77777777" w:rsidR="00FC0FA7" w:rsidRPr="00B00076" w:rsidRDefault="00FC0FA7" w:rsidP="00683FD0">
      <w:pPr>
        <w:pStyle w:val="Prrafodelista"/>
        <w:numPr>
          <w:ilvl w:val="0"/>
          <w:numId w:val="3"/>
        </w:numPr>
        <w:spacing w:line="360" w:lineRule="auto"/>
        <w:jc w:val="both"/>
        <w:rPr>
          <w:rFonts w:ascii="Arial" w:eastAsia="Arial" w:hAnsi="Arial" w:cs="Arial"/>
          <w:color w:val="0D0D0D" w:themeColor="text1" w:themeTint="F2"/>
          <w:sz w:val="24"/>
          <w:szCs w:val="24"/>
          <w:lang w:val="es-ES"/>
        </w:rPr>
      </w:pPr>
      <w:r w:rsidRPr="00B00076">
        <w:rPr>
          <w:rFonts w:ascii="Arial" w:eastAsia="Arial" w:hAnsi="Arial" w:cs="Arial"/>
          <w:color w:val="0D0D0D" w:themeColor="text1" w:themeTint="F2"/>
          <w:sz w:val="24"/>
          <w:szCs w:val="24"/>
          <w:lang w:val="es-ES"/>
        </w:rPr>
        <w:t xml:space="preserve">Los Fideicomisos Públicos Estatales, </w:t>
      </w:r>
    </w:p>
    <w:p w14:paraId="2ADE17C8" w14:textId="77777777" w:rsidR="00FC0FA7" w:rsidRPr="00B00076" w:rsidRDefault="00FC0FA7" w:rsidP="00683FD0">
      <w:pPr>
        <w:pStyle w:val="Prrafodelista"/>
        <w:numPr>
          <w:ilvl w:val="0"/>
          <w:numId w:val="3"/>
        </w:numPr>
        <w:spacing w:line="360" w:lineRule="auto"/>
        <w:jc w:val="both"/>
        <w:rPr>
          <w:rFonts w:ascii="Arial" w:eastAsia="Arial" w:hAnsi="Arial" w:cs="Arial"/>
          <w:color w:val="0D0D0D" w:themeColor="text1" w:themeTint="F2"/>
          <w:sz w:val="24"/>
          <w:szCs w:val="24"/>
          <w:lang w:val="es-ES"/>
        </w:rPr>
      </w:pPr>
      <w:r w:rsidRPr="00B00076">
        <w:rPr>
          <w:rFonts w:ascii="Arial" w:eastAsia="Arial" w:hAnsi="Arial" w:cs="Arial"/>
          <w:color w:val="0D0D0D" w:themeColor="text1" w:themeTint="F2"/>
          <w:sz w:val="24"/>
          <w:szCs w:val="24"/>
          <w:lang w:val="es-ES"/>
        </w:rPr>
        <w:t xml:space="preserve">Los Órganos Públicos Autónomos, </w:t>
      </w:r>
    </w:p>
    <w:p w14:paraId="2543149F" w14:textId="77777777" w:rsidR="00FC0FA7" w:rsidRPr="00B00076" w:rsidRDefault="00FC0FA7" w:rsidP="00683FD0">
      <w:pPr>
        <w:pStyle w:val="Prrafodelista"/>
        <w:numPr>
          <w:ilvl w:val="0"/>
          <w:numId w:val="3"/>
        </w:numPr>
        <w:spacing w:line="360" w:lineRule="auto"/>
        <w:jc w:val="both"/>
        <w:rPr>
          <w:rFonts w:ascii="Arial" w:eastAsia="Arial" w:hAnsi="Arial" w:cs="Arial"/>
          <w:color w:val="0D0D0D" w:themeColor="text1" w:themeTint="F2"/>
          <w:sz w:val="24"/>
          <w:szCs w:val="24"/>
          <w:lang w:val="es-ES"/>
        </w:rPr>
      </w:pPr>
      <w:r w:rsidRPr="00B00076">
        <w:rPr>
          <w:rFonts w:ascii="Arial" w:eastAsia="Arial" w:hAnsi="Arial" w:cs="Arial"/>
          <w:color w:val="0D0D0D" w:themeColor="text1" w:themeTint="F2"/>
          <w:sz w:val="24"/>
          <w:szCs w:val="24"/>
          <w:lang w:val="es-ES"/>
        </w:rPr>
        <w:t>Los Municipios y;</w:t>
      </w:r>
    </w:p>
    <w:p w14:paraId="197ADDBF" w14:textId="77777777" w:rsidR="00FC0FA7" w:rsidRPr="00F7194B" w:rsidRDefault="00FC0FA7" w:rsidP="00683FD0">
      <w:pPr>
        <w:pStyle w:val="Prrafodelista"/>
        <w:numPr>
          <w:ilvl w:val="0"/>
          <w:numId w:val="3"/>
        </w:numPr>
        <w:spacing w:line="360" w:lineRule="auto"/>
        <w:jc w:val="both"/>
        <w:rPr>
          <w:rFonts w:ascii="Arial" w:eastAsia="Arial" w:hAnsi="Arial" w:cs="Arial"/>
          <w:sz w:val="24"/>
          <w:szCs w:val="24"/>
          <w:lang w:val="es-ES"/>
        </w:rPr>
      </w:pPr>
      <w:r w:rsidRPr="00B00076">
        <w:rPr>
          <w:rFonts w:ascii="Arial" w:eastAsia="Arial" w:hAnsi="Arial" w:cs="Arial"/>
          <w:color w:val="0D0D0D" w:themeColor="text1" w:themeTint="F2"/>
          <w:sz w:val="24"/>
          <w:szCs w:val="24"/>
          <w:lang w:val="es-ES"/>
        </w:rPr>
        <w:t>Los Organismos Descentralizados de la Administración Pública Municipal.</w:t>
      </w:r>
    </w:p>
    <w:p w14:paraId="1999B4E4" w14:textId="77777777" w:rsidR="00086CA4" w:rsidRPr="0088381B" w:rsidRDefault="00086CA4" w:rsidP="00086CA4">
      <w:pPr>
        <w:spacing w:line="360" w:lineRule="auto"/>
        <w:jc w:val="both"/>
        <w:rPr>
          <w:rFonts w:ascii="Arial" w:eastAsia="Arial" w:hAnsi="Arial" w:cs="Arial"/>
          <w:sz w:val="8"/>
          <w:szCs w:val="24"/>
          <w:lang w:val="es-ES"/>
        </w:rPr>
      </w:pPr>
    </w:p>
    <w:p w14:paraId="38BD53C3" w14:textId="77777777" w:rsidR="00086CA4" w:rsidRDefault="00B639B4" w:rsidP="00086CA4">
      <w:pPr>
        <w:spacing w:line="360" w:lineRule="auto"/>
        <w:jc w:val="both"/>
        <w:rPr>
          <w:rFonts w:ascii="Arial" w:eastAsia="Arial" w:hAnsi="Arial" w:cs="Arial"/>
          <w:sz w:val="24"/>
          <w:szCs w:val="24"/>
          <w:lang w:val="es-ES"/>
        </w:rPr>
      </w:pPr>
      <w:r>
        <w:rPr>
          <w:rFonts w:ascii="Arial" w:eastAsia="Arial" w:hAnsi="Arial" w:cs="Arial"/>
          <w:sz w:val="24"/>
          <w:szCs w:val="24"/>
          <w:lang w:val="es-ES"/>
        </w:rPr>
        <w:t>A</w:t>
      </w:r>
      <w:r w:rsidR="00086CA4" w:rsidRPr="00086CA4">
        <w:rPr>
          <w:rFonts w:ascii="Arial" w:eastAsia="Arial" w:hAnsi="Arial" w:cs="Arial"/>
          <w:sz w:val="24"/>
          <w:szCs w:val="24"/>
          <w:lang w:val="es-ES"/>
        </w:rPr>
        <w:t xml:space="preserve">sí mismo es conveniente citar que en las auditorías realizadas se tiene en consideración que el control, las </w:t>
      </w:r>
      <w:r>
        <w:rPr>
          <w:rFonts w:ascii="Arial" w:eastAsia="Arial" w:hAnsi="Arial" w:cs="Arial"/>
          <w:sz w:val="24"/>
          <w:szCs w:val="24"/>
          <w:lang w:val="es-ES"/>
        </w:rPr>
        <w:t>decisiones y</w:t>
      </w:r>
      <w:r w:rsidR="00086CA4" w:rsidRPr="00086CA4">
        <w:rPr>
          <w:rFonts w:ascii="Arial" w:eastAsia="Arial" w:hAnsi="Arial" w:cs="Arial"/>
          <w:sz w:val="24"/>
          <w:szCs w:val="24"/>
          <w:lang w:val="es-ES"/>
        </w:rPr>
        <w:t xml:space="preserve"> acciones </w:t>
      </w:r>
      <w:r>
        <w:rPr>
          <w:rFonts w:ascii="Arial" w:eastAsia="Arial" w:hAnsi="Arial" w:cs="Arial"/>
          <w:sz w:val="24"/>
          <w:szCs w:val="24"/>
          <w:lang w:val="es-ES"/>
        </w:rPr>
        <w:t xml:space="preserve">pueden </w:t>
      </w:r>
      <w:r w:rsidR="00086CA4" w:rsidRPr="00086CA4">
        <w:rPr>
          <w:rFonts w:ascii="Arial" w:eastAsia="Arial" w:hAnsi="Arial" w:cs="Arial"/>
          <w:sz w:val="24"/>
          <w:szCs w:val="24"/>
          <w:lang w:val="es-ES"/>
        </w:rPr>
        <w:t>recae</w:t>
      </w:r>
      <w:r>
        <w:rPr>
          <w:rFonts w:ascii="Arial" w:eastAsia="Arial" w:hAnsi="Arial" w:cs="Arial"/>
          <w:sz w:val="24"/>
          <w:szCs w:val="24"/>
          <w:lang w:val="es-ES"/>
        </w:rPr>
        <w:t>r</w:t>
      </w:r>
      <w:r w:rsidR="00086CA4" w:rsidRPr="00086CA4">
        <w:rPr>
          <w:rFonts w:ascii="Arial" w:eastAsia="Arial" w:hAnsi="Arial" w:cs="Arial"/>
          <w:sz w:val="24"/>
          <w:szCs w:val="24"/>
          <w:lang w:val="es-ES"/>
        </w:rPr>
        <w:t xml:space="preserve"> en algunos de los poderes y órganos públicos por lo que</w:t>
      </w:r>
      <w:r>
        <w:rPr>
          <w:rFonts w:ascii="Arial" w:eastAsia="Arial" w:hAnsi="Arial" w:cs="Arial"/>
          <w:sz w:val="24"/>
          <w:szCs w:val="24"/>
          <w:lang w:val="es-ES"/>
        </w:rPr>
        <w:t xml:space="preserve"> también se faculta a la Auditoría Superior la fiscalización de: </w:t>
      </w:r>
      <w:r w:rsidR="00086CA4" w:rsidRPr="00086CA4">
        <w:rPr>
          <w:rFonts w:ascii="Arial" w:eastAsia="Arial" w:hAnsi="Arial" w:cs="Arial"/>
          <w:sz w:val="24"/>
          <w:szCs w:val="24"/>
          <w:lang w:val="es-ES"/>
        </w:rPr>
        <w:t xml:space="preserve"> </w:t>
      </w:r>
    </w:p>
    <w:p w14:paraId="52433DE0" w14:textId="77777777" w:rsidR="00EA6C3C" w:rsidRPr="00EA6C3C" w:rsidRDefault="00EA6C3C" w:rsidP="00086CA4">
      <w:pPr>
        <w:spacing w:line="360" w:lineRule="auto"/>
        <w:jc w:val="both"/>
        <w:rPr>
          <w:rFonts w:ascii="Arial" w:eastAsia="Arial" w:hAnsi="Arial" w:cs="Arial"/>
          <w:sz w:val="4"/>
          <w:szCs w:val="24"/>
          <w:lang w:val="es-ES"/>
        </w:rPr>
      </w:pPr>
    </w:p>
    <w:p w14:paraId="78A992A3" w14:textId="77777777" w:rsidR="00B639B4" w:rsidRPr="00B639B4" w:rsidRDefault="00B639B4" w:rsidP="00683FD0">
      <w:pPr>
        <w:pStyle w:val="Prrafodelista"/>
        <w:numPr>
          <w:ilvl w:val="0"/>
          <w:numId w:val="4"/>
        </w:numPr>
        <w:spacing w:line="360" w:lineRule="auto"/>
        <w:ind w:left="851" w:hanging="567"/>
        <w:jc w:val="both"/>
        <w:rPr>
          <w:rFonts w:ascii="Arial" w:eastAsia="Arial" w:hAnsi="Arial" w:cs="Arial"/>
          <w:sz w:val="24"/>
          <w:szCs w:val="24"/>
          <w:lang w:val="es-ES"/>
        </w:rPr>
      </w:pPr>
      <w:r w:rsidRPr="00B639B4">
        <w:rPr>
          <w:rFonts w:ascii="Arial" w:eastAsia="Arial" w:hAnsi="Arial" w:cs="Arial"/>
          <w:sz w:val="24"/>
          <w:szCs w:val="24"/>
          <w:lang w:val="es-ES"/>
        </w:rPr>
        <w:t xml:space="preserve">Las entidades de interés público distintas a los partidos políticos; </w:t>
      </w:r>
    </w:p>
    <w:p w14:paraId="1C6B765F" w14:textId="77777777" w:rsidR="00B639B4" w:rsidRPr="00B639B4" w:rsidRDefault="00B639B4" w:rsidP="00683FD0">
      <w:pPr>
        <w:pStyle w:val="Prrafodelista"/>
        <w:numPr>
          <w:ilvl w:val="0"/>
          <w:numId w:val="4"/>
        </w:numPr>
        <w:spacing w:line="360" w:lineRule="auto"/>
        <w:ind w:left="851" w:hanging="567"/>
        <w:jc w:val="both"/>
        <w:rPr>
          <w:rFonts w:ascii="Arial" w:eastAsia="Arial" w:hAnsi="Arial" w:cs="Arial"/>
          <w:sz w:val="24"/>
          <w:szCs w:val="24"/>
          <w:lang w:val="es-ES"/>
        </w:rPr>
      </w:pPr>
      <w:r w:rsidRPr="00B639B4">
        <w:rPr>
          <w:rFonts w:ascii="Arial" w:eastAsia="Arial" w:hAnsi="Arial" w:cs="Arial"/>
          <w:sz w:val="24"/>
          <w:szCs w:val="24"/>
          <w:lang w:val="es-ES"/>
        </w:rPr>
        <w:t xml:space="preserve">Los mandantes, </w:t>
      </w:r>
    </w:p>
    <w:p w14:paraId="61A8D76D" w14:textId="77777777" w:rsidR="00B639B4" w:rsidRPr="00B639B4" w:rsidRDefault="00B639B4" w:rsidP="00683FD0">
      <w:pPr>
        <w:pStyle w:val="Prrafodelista"/>
        <w:numPr>
          <w:ilvl w:val="0"/>
          <w:numId w:val="4"/>
        </w:numPr>
        <w:spacing w:line="360" w:lineRule="auto"/>
        <w:ind w:left="851" w:hanging="567"/>
        <w:jc w:val="both"/>
        <w:rPr>
          <w:rFonts w:ascii="Arial" w:eastAsia="Arial" w:hAnsi="Arial" w:cs="Arial"/>
          <w:sz w:val="24"/>
          <w:szCs w:val="24"/>
          <w:lang w:val="es-ES"/>
        </w:rPr>
      </w:pPr>
      <w:r w:rsidRPr="00B639B4">
        <w:rPr>
          <w:rFonts w:ascii="Arial" w:eastAsia="Arial" w:hAnsi="Arial" w:cs="Arial"/>
          <w:sz w:val="24"/>
          <w:szCs w:val="24"/>
          <w:lang w:val="es-ES"/>
        </w:rPr>
        <w:t xml:space="preserve">Mandatarios, </w:t>
      </w:r>
    </w:p>
    <w:p w14:paraId="255D644A" w14:textId="77777777" w:rsidR="00B639B4" w:rsidRPr="00B639B4" w:rsidRDefault="00B639B4" w:rsidP="00683FD0">
      <w:pPr>
        <w:pStyle w:val="Prrafodelista"/>
        <w:numPr>
          <w:ilvl w:val="0"/>
          <w:numId w:val="4"/>
        </w:numPr>
        <w:spacing w:line="360" w:lineRule="auto"/>
        <w:ind w:left="851" w:hanging="567"/>
        <w:jc w:val="both"/>
        <w:rPr>
          <w:rFonts w:ascii="Arial" w:eastAsia="Arial" w:hAnsi="Arial" w:cs="Arial"/>
          <w:sz w:val="24"/>
          <w:szCs w:val="24"/>
          <w:lang w:val="es-ES"/>
        </w:rPr>
      </w:pPr>
      <w:r w:rsidRPr="00B639B4">
        <w:rPr>
          <w:rFonts w:ascii="Arial" w:eastAsia="Arial" w:hAnsi="Arial" w:cs="Arial"/>
          <w:sz w:val="24"/>
          <w:szCs w:val="24"/>
          <w:lang w:val="es-ES"/>
        </w:rPr>
        <w:t>Fideicomitentes,</w:t>
      </w:r>
    </w:p>
    <w:p w14:paraId="0ADD2FBF" w14:textId="77777777" w:rsidR="00B639B4" w:rsidRPr="00B639B4" w:rsidRDefault="00B639B4" w:rsidP="00683FD0">
      <w:pPr>
        <w:pStyle w:val="Prrafodelista"/>
        <w:numPr>
          <w:ilvl w:val="0"/>
          <w:numId w:val="4"/>
        </w:numPr>
        <w:spacing w:line="360" w:lineRule="auto"/>
        <w:ind w:left="851" w:hanging="567"/>
        <w:jc w:val="both"/>
        <w:rPr>
          <w:rFonts w:ascii="Arial" w:eastAsia="Arial" w:hAnsi="Arial" w:cs="Arial"/>
          <w:sz w:val="24"/>
          <w:szCs w:val="24"/>
          <w:lang w:val="es-ES"/>
        </w:rPr>
      </w:pPr>
      <w:r w:rsidRPr="00B639B4">
        <w:rPr>
          <w:rFonts w:ascii="Arial" w:eastAsia="Arial" w:hAnsi="Arial" w:cs="Arial"/>
          <w:sz w:val="24"/>
          <w:szCs w:val="24"/>
          <w:lang w:val="es-ES"/>
        </w:rPr>
        <w:t xml:space="preserve">Fiduciarios, </w:t>
      </w:r>
    </w:p>
    <w:p w14:paraId="627D6317" w14:textId="77777777" w:rsidR="00B639B4" w:rsidRPr="00B639B4" w:rsidRDefault="00B639B4" w:rsidP="00683FD0">
      <w:pPr>
        <w:pStyle w:val="Prrafodelista"/>
        <w:numPr>
          <w:ilvl w:val="0"/>
          <w:numId w:val="4"/>
        </w:numPr>
        <w:spacing w:line="360" w:lineRule="auto"/>
        <w:ind w:left="851" w:hanging="567"/>
        <w:jc w:val="both"/>
        <w:rPr>
          <w:rFonts w:ascii="Arial" w:eastAsia="Arial" w:hAnsi="Arial" w:cs="Arial"/>
          <w:sz w:val="24"/>
          <w:szCs w:val="24"/>
          <w:lang w:val="es-ES"/>
        </w:rPr>
      </w:pPr>
      <w:r w:rsidRPr="00B639B4">
        <w:rPr>
          <w:rFonts w:ascii="Arial" w:eastAsia="Arial" w:hAnsi="Arial" w:cs="Arial"/>
          <w:sz w:val="24"/>
          <w:szCs w:val="24"/>
          <w:lang w:val="es-ES"/>
        </w:rPr>
        <w:t>Fideicomisarios o;</w:t>
      </w:r>
    </w:p>
    <w:p w14:paraId="7F4F45BD" w14:textId="77777777" w:rsidR="00B639B4" w:rsidRPr="00B639B4" w:rsidRDefault="00B639B4" w:rsidP="00683FD0">
      <w:pPr>
        <w:pStyle w:val="Prrafodelista"/>
        <w:numPr>
          <w:ilvl w:val="0"/>
          <w:numId w:val="4"/>
        </w:numPr>
        <w:spacing w:line="360" w:lineRule="auto"/>
        <w:ind w:left="851" w:hanging="567"/>
        <w:jc w:val="both"/>
        <w:rPr>
          <w:rFonts w:ascii="Arial" w:eastAsia="Arial" w:hAnsi="Arial" w:cs="Arial"/>
          <w:sz w:val="24"/>
          <w:szCs w:val="24"/>
          <w:lang w:val="es-ES"/>
        </w:rPr>
      </w:pPr>
      <w:r w:rsidRPr="00B639B4">
        <w:rPr>
          <w:rFonts w:ascii="Arial" w:eastAsia="Arial" w:hAnsi="Arial" w:cs="Arial"/>
          <w:sz w:val="24"/>
          <w:szCs w:val="24"/>
          <w:lang w:val="es-ES"/>
        </w:rPr>
        <w:t xml:space="preserve">Cualquier otra figura jurídica análoga. </w:t>
      </w:r>
    </w:p>
    <w:p w14:paraId="1F336271" w14:textId="77777777" w:rsidR="00EA6C3C" w:rsidRPr="0088381B" w:rsidRDefault="00EA6C3C" w:rsidP="00945E47">
      <w:pPr>
        <w:spacing w:line="360" w:lineRule="auto"/>
        <w:jc w:val="both"/>
        <w:rPr>
          <w:rFonts w:ascii="Arial" w:eastAsia="Arial" w:hAnsi="Arial" w:cs="Arial"/>
          <w:sz w:val="8"/>
          <w:szCs w:val="24"/>
          <w:lang w:val="es-ES"/>
        </w:rPr>
      </w:pPr>
    </w:p>
    <w:p w14:paraId="1154496B" w14:textId="77777777" w:rsidR="00EA6C3C" w:rsidRPr="0073772A" w:rsidRDefault="00EA6C3C" w:rsidP="0073772A">
      <w:pPr>
        <w:spacing w:line="360" w:lineRule="auto"/>
        <w:jc w:val="both"/>
        <w:rPr>
          <w:rFonts w:ascii="Arial" w:eastAsia="Arial" w:hAnsi="Arial" w:cs="Arial"/>
          <w:sz w:val="24"/>
          <w:szCs w:val="24"/>
          <w:lang w:val="es-ES"/>
        </w:rPr>
      </w:pPr>
      <w:r>
        <w:rPr>
          <w:rFonts w:ascii="Arial" w:eastAsia="Arial" w:hAnsi="Arial" w:cs="Arial"/>
          <w:sz w:val="24"/>
          <w:szCs w:val="24"/>
          <w:lang w:val="es-ES"/>
        </w:rPr>
        <w:t>Sin dejar de lado a</w:t>
      </w:r>
      <w:r w:rsidR="00945E47">
        <w:rPr>
          <w:rFonts w:ascii="Arial" w:eastAsia="Arial" w:hAnsi="Arial" w:cs="Arial"/>
          <w:sz w:val="24"/>
          <w:szCs w:val="24"/>
          <w:lang w:val="es-ES"/>
        </w:rPr>
        <w:t xml:space="preserve"> </w:t>
      </w:r>
      <w:r w:rsidR="00945E47" w:rsidRPr="00F7194B">
        <w:rPr>
          <w:rFonts w:ascii="Arial" w:eastAsia="Arial" w:hAnsi="Arial" w:cs="Arial"/>
          <w:sz w:val="24"/>
          <w:szCs w:val="24"/>
          <w:lang w:val="es-ES"/>
        </w:rPr>
        <w:t xml:space="preserve">los mandatos, fondos o fideicomisos, públicos o privados, cuando hayan recibido por cualquier título, recursos públicos estatales y municipales, no obstante que sean o no considerados entidades paraestatales por la Ley de las Entidades de la Administración Pública Paraestatal del Estado de Quintana Roo y aun cuando pertenezcan al sector privado o social y, en general, cualquier entidad, persona física o moral, pública o privada, que haya captado, recaudado, administrado, manejado, ejercido, cobrado o recibido en pago directo o indirectamente recursos públicos estatales y municipales, incluidas aquellas personas morales de derecho privado que tengan autorización para expedir recibos </w:t>
      </w:r>
      <w:r w:rsidR="00945E47" w:rsidRPr="00F7194B">
        <w:rPr>
          <w:rFonts w:ascii="Arial" w:eastAsia="Arial" w:hAnsi="Arial" w:cs="Arial"/>
          <w:sz w:val="24"/>
          <w:szCs w:val="24"/>
          <w:lang w:val="es-ES"/>
        </w:rPr>
        <w:lastRenderedPageBreak/>
        <w:t>deducibles de impuestos por donaciones destinadas para el cumplimiento de sus fines</w:t>
      </w:r>
      <w:r w:rsidR="00034451">
        <w:rPr>
          <w:rFonts w:ascii="Arial" w:eastAsia="Arial" w:hAnsi="Arial" w:cs="Arial"/>
          <w:sz w:val="24"/>
          <w:szCs w:val="24"/>
          <w:lang w:val="es-ES"/>
        </w:rPr>
        <w:t>, ver gráfica 3</w:t>
      </w:r>
      <w:r w:rsidR="00945E47" w:rsidRPr="00F7194B">
        <w:rPr>
          <w:rFonts w:ascii="Arial" w:eastAsia="Arial" w:hAnsi="Arial" w:cs="Arial"/>
          <w:sz w:val="24"/>
          <w:szCs w:val="24"/>
          <w:lang w:val="es-ES"/>
        </w:rPr>
        <w:t>.</w:t>
      </w:r>
    </w:p>
    <w:p w14:paraId="69914278" w14:textId="77777777" w:rsidR="00EA6C3C" w:rsidRDefault="00EA6C3C" w:rsidP="00EA6C3C">
      <w:pPr>
        <w:spacing w:line="360" w:lineRule="auto"/>
        <w:rPr>
          <w:rFonts w:ascii="Arial" w:eastAsia="Arial" w:hAnsi="Arial" w:cs="Arial"/>
          <w:sz w:val="24"/>
          <w:szCs w:val="24"/>
          <w:lang w:val="es-ES"/>
        </w:rPr>
      </w:pPr>
      <w:r>
        <w:rPr>
          <w:rFonts w:ascii="Arial" w:eastAsia="Arial" w:hAnsi="Arial" w:cs="Arial"/>
          <w:sz w:val="24"/>
          <w:szCs w:val="24"/>
          <w:lang w:val="es-ES"/>
        </w:rPr>
        <w:t>Aunado a los entes fiscalizables citados, la fiscalización superior considera como rubros sujetos a la revisión los</w:t>
      </w:r>
      <w:r w:rsidR="003D6DE6">
        <w:rPr>
          <w:rFonts w:ascii="Arial" w:eastAsia="Arial" w:hAnsi="Arial" w:cs="Arial"/>
          <w:sz w:val="24"/>
          <w:szCs w:val="24"/>
          <w:lang w:val="es-ES"/>
        </w:rPr>
        <w:t xml:space="preserve"> contenidos en la figura </w:t>
      </w:r>
      <w:r w:rsidR="00B85302">
        <w:rPr>
          <w:rFonts w:ascii="Arial" w:eastAsia="Arial" w:hAnsi="Arial" w:cs="Arial"/>
          <w:sz w:val="24"/>
          <w:szCs w:val="24"/>
          <w:lang w:val="es-ES"/>
        </w:rPr>
        <w:t>N</w:t>
      </w:r>
      <w:r w:rsidR="003D6DE6">
        <w:rPr>
          <w:rFonts w:ascii="Arial" w:eastAsia="Arial" w:hAnsi="Arial" w:cs="Arial"/>
          <w:sz w:val="24"/>
          <w:szCs w:val="24"/>
          <w:lang w:val="es-ES"/>
        </w:rPr>
        <w:t>° 2</w:t>
      </w:r>
      <w:r>
        <w:rPr>
          <w:rFonts w:ascii="Arial" w:eastAsia="Arial" w:hAnsi="Arial" w:cs="Arial"/>
          <w:sz w:val="24"/>
          <w:szCs w:val="24"/>
          <w:lang w:val="es-ES"/>
        </w:rPr>
        <w:t>:</w:t>
      </w:r>
    </w:p>
    <w:p w14:paraId="04AFE311" w14:textId="77777777" w:rsidR="00F24C0C" w:rsidRPr="009937A7" w:rsidRDefault="00F24C0C" w:rsidP="00EA6C3C">
      <w:pPr>
        <w:spacing w:line="360" w:lineRule="auto"/>
        <w:rPr>
          <w:rFonts w:ascii="Arial" w:eastAsia="Arial" w:hAnsi="Arial" w:cs="Arial"/>
          <w:sz w:val="24"/>
          <w:szCs w:val="24"/>
          <w:lang w:val="es-ES"/>
        </w:rPr>
      </w:pPr>
    </w:p>
    <w:p w14:paraId="6AA6C51C" w14:textId="77777777" w:rsidR="00EA6C3C" w:rsidRDefault="00CB7662" w:rsidP="00CB7662">
      <w:pPr>
        <w:jc w:val="center"/>
      </w:pPr>
      <w:r w:rsidRPr="00F7194B">
        <w:rPr>
          <w:rFonts w:ascii="Arial" w:eastAsia="Arial" w:hAnsi="Arial" w:cs="Arial"/>
          <w:b/>
          <w:noProof/>
          <w:sz w:val="24"/>
          <w:szCs w:val="24"/>
          <w:lang w:eastAsia="es-MX"/>
        </w:rPr>
        <w:drawing>
          <wp:inline distT="0" distB="0" distL="0" distR="0" wp14:anchorId="76F08C07" wp14:editId="0538E454">
            <wp:extent cx="5573373" cy="5562600"/>
            <wp:effectExtent l="0" t="0" r="8890" b="0"/>
            <wp:docPr id="902" name="Imagen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nfografia2.jpg"/>
                    <pic:cNvPicPr/>
                  </pic:nvPicPr>
                  <pic:blipFill rotWithShape="1">
                    <a:blip r:embed="rId17" cstate="print">
                      <a:extLst>
                        <a:ext uri="{28A0092B-C50C-407E-A947-70E740481C1C}">
                          <a14:useLocalDpi xmlns:a14="http://schemas.microsoft.com/office/drawing/2010/main" val="0"/>
                        </a:ext>
                      </a:extLst>
                    </a:blip>
                    <a:srcRect l="40016" t="3129" r="4843" b="14338"/>
                    <a:stretch/>
                  </pic:blipFill>
                  <pic:spPr bwMode="auto">
                    <a:xfrm>
                      <a:off x="0" y="0"/>
                      <a:ext cx="5583289" cy="5572497"/>
                    </a:xfrm>
                    <a:prstGeom prst="rect">
                      <a:avLst/>
                    </a:prstGeom>
                    <a:ln>
                      <a:noFill/>
                    </a:ln>
                    <a:extLst>
                      <a:ext uri="{53640926-AAD7-44D8-BBD7-CCE9431645EC}">
                        <a14:shadowObscured xmlns:a14="http://schemas.microsoft.com/office/drawing/2010/main"/>
                      </a:ext>
                    </a:extLst>
                  </pic:spPr>
                </pic:pic>
              </a:graphicData>
            </a:graphic>
          </wp:inline>
        </w:drawing>
      </w:r>
    </w:p>
    <w:p w14:paraId="1AE4BD62" w14:textId="77777777" w:rsidR="00EA6C3C" w:rsidRPr="00F24C0C" w:rsidRDefault="004B4A89" w:rsidP="00BE23E3">
      <w:pPr>
        <w:jc w:val="center"/>
        <w:rPr>
          <w:i/>
          <w:sz w:val="18"/>
          <w:szCs w:val="16"/>
        </w:rPr>
      </w:pPr>
      <w:r w:rsidRPr="00F24C0C">
        <w:rPr>
          <w:rFonts w:ascii="Arial" w:hAnsi="Arial" w:cs="Arial"/>
          <w:b/>
          <w:i/>
          <w:sz w:val="18"/>
          <w:szCs w:val="16"/>
        </w:rPr>
        <w:t>Figura N</w:t>
      </w:r>
      <w:r w:rsidR="00BE23E3" w:rsidRPr="00F24C0C">
        <w:rPr>
          <w:rFonts w:ascii="Arial" w:hAnsi="Arial" w:cs="Arial"/>
          <w:b/>
          <w:i/>
          <w:sz w:val="18"/>
          <w:szCs w:val="16"/>
        </w:rPr>
        <w:t>° 2:</w:t>
      </w:r>
      <w:r w:rsidR="00BE23E3" w:rsidRPr="00F24C0C">
        <w:rPr>
          <w:rFonts w:ascii="Arial" w:hAnsi="Arial" w:cs="Arial"/>
          <w:i/>
          <w:sz w:val="18"/>
          <w:szCs w:val="16"/>
        </w:rPr>
        <w:t xml:space="preserve"> Elaboración propia</w:t>
      </w:r>
      <w:r w:rsidR="00BE23E3" w:rsidRPr="00F24C0C">
        <w:rPr>
          <w:i/>
          <w:sz w:val="18"/>
          <w:szCs w:val="16"/>
        </w:rPr>
        <w:t>.</w:t>
      </w:r>
    </w:p>
    <w:p w14:paraId="544215E4" w14:textId="77777777" w:rsidR="0073772A" w:rsidRDefault="0073772A" w:rsidP="00BE23E3">
      <w:pPr>
        <w:jc w:val="center"/>
        <w:rPr>
          <w:sz w:val="16"/>
          <w:szCs w:val="16"/>
        </w:rPr>
      </w:pPr>
    </w:p>
    <w:p w14:paraId="064EBC00" w14:textId="77777777" w:rsidR="00B004CF" w:rsidRDefault="00B004CF" w:rsidP="00BE23E3">
      <w:pPr>
        <w:jc w:val="center"/>
        <w:rPr>
          <w:sz w:val="16"/>
          <w:szCs w:val="16"/>
        </w:rPr>
      </w:pPr>
    </w:p>
    <w:p w14:paraId="158EFC42" w14:textId="77777777" w:rsidR="00FD4225" w:rsidRPr="00C70285" w:rsidRDefault="007E099D" w:rsidP="00683FD0">
      <w:pPr>
        <w:pStyle w:val="Prrafodelista"/>
        <w:numPr>
          <w:ilvl w:val="0"/>
          <w:numId w:val="1"/>
        </w:numPr>
        <w:spacing w:before="240" w:after="0" w:line="276" w:lineRule="auto"/>
        <w:jc w:val="both"/>
        <w:outlineLvl w:val="1"/>
        <w:rPr>
          <w:rFonts w:ascii="Arial" w:hAnsi="Arial" w:cs="Arial"/>
          <w:b/>
          <w:sz w:val="24"/>
          <w:szCs w:val="24"/>
        </w:rPr>
      </w:pPr>
      <w:bookmarkStart w:id="11" w:name="_Toc158567472"/>
      <w:r w:rsidRPr="00C70285">
        <w:rPr>
          <w:rFonts w:ascii="Arial" w:hAnsi="Arial" w:cs="Arial"/>
          <w:b/>
          <w:sz w:val="24"/>
          <w:szCs w:val="24"/>
        </w:rPr>
        <w:lastRenderedPageBreak/>
        <w:t>PLANEACIÓN DE AUDITORÍAS Y ARTÍCULO 36 FRACCIÓN IV DE LA LFRCEQROO</w:t>
      </w:r>
      <w:bookmarkEnd w:id="11"/>
      <w:r w:rsidRPr="00C70285">
        <w:rPr>
          <w:rFonts w:ascii="Arial" w:hAnsi="Arial" w:cs="Arial"/>
          <w:b/>
          <w:sz w:val="24"/>
          <w:szCs w:val="24"/>
        </w:rPr>
        <w:t xml:space="preserve"> </w:t>
      </w:r>
    </w:p>
    <w:p w14:paraId="2970228E" w14:textId="77777777" w:rsidR="00D61F55" w:rsidRDefault="00D61F55" w:rsidP="00621CE8">
      <w:pPr>
        <w:pStyle w:val="Prrafodelista"/>
        <w:spacing w:before="240" w:after="0" w:line="276" w:lineRule="auto"/>
        <w:jc w:val="both"/>
        <w:rPr>
          <w:rFonts w:ascii="Arial" w:hAnsi="Arial" w:cs="Arial"/>
          <w:sz w:val="24"/>
          <w:szCs w:val="24"/>
        </w:rPr>
      </w:pPr>
    </w:p>
    <w:p w14:paraId="4DEA6C5D" w14:textId="77777777" w:rsidR="00621CE8" w:rsidRPr="00F7194B" w:rsidRDefault="00335849" w:rsidP="00621CE8">
      <w:pPr>
        <w:spacing w:line="360" w:lineRule="auto"/>
        <w:jc w:val="both"/>
        <w:rPr>
          <w:rFonts w:ascii="Arial" w:eastAsia="Arial" w:hAnsi="Arial" w:cs="Arial"/>
          <w:sz w:val="24"/>
          <w:szCs w:val="24"/>
          <w:lang w:val="es-ES"/>
        </w:rPr>
      </w:pPr>
      <w:r>
        <w:rPr>
          <w:rFonts w:ascii="Arial" w:eastAsia="Arial" w:hAnsi="Arial" w:cs="Arial"/>
          <w:sz w:val="24"/>
          <w:szCs w:val="24"/>
          <w:lang w:val="es-ES"/>
        </w:rPr>
        <w:t>L</w:t>
      </w:r>
      <w:r w:rsidRPr="00F7194B">
        <w:rPr>
          <w:rFonts w:ascii="Arial" w:eastAsia="Arial" w:hAnsi="Arial" w:cs="Arial"/>
          <w:sz w:val="24"/>
          <w:szCs w:val="24"/>
          <w:lang w:val="es-ES"/>
        </w:rPr>
        <w:t>a Auditoría Superior del Estado, emitió la Guía para la Integración de los Informes de Avance de la Gestión Financiera y de la Información para la Planeación de la Fiscalización de la Cuenta Pública</w:t>
      </w:r>
      <w:r>
        <w:rPr>
          <w:rFonts w:ascii="Arial" w:eastAsia="Arial" w:hAnsi="Arial" w:cs="Arial"/>
          <w:sz w:val="24"/>
          <w:szCs w:val="24"/>
          <w:lang w:val="es-ES"/>
        </w:rPr>
        <w:t>, c</w:t>
      </w:r>
      <w:r w:rsidR="00621CE8" w:rsidRPr="00F7194B">
        <w:rPr>
          <w:rFonts w:ascii="Arial" w:eastAsia="Arial" w:hAnsi="Arial" w:cs="Arial"/>
          <w:sz w:val="24"/>
          <w:szCs w:val="24"/>
          <w:lang w:val="es-ES"/>
        </w:rPr>
        <w:t>on fundamento en los artículos 77 de la Constitución Política del Estado Libre y Soberano de Quintana Roo y 19 Fracción XXI de la Ley de Fiscalización y Rendición de Cuen</w:t>
      </w:r>
      <w:r>
        <w:rPr>
          <w:rFonts w:ascii="Arial" w:eastAsia="Arial" w:hAnsi="Arial" w:cs="Arial"/>
          <w:sz w:val="24"/>
          <w:szCs w:val="24"/>
          <w:lang w:val="es-ES"/>
        </w:rPr>
        <w:t xml:space="preserve">tas del Estado de Quintana Roo; </w:t>
      </w:r>
      <w:r w:rsidR="00621CE8" w:rsidRPr="00F7194B">
        <w:rPr>
          <w:rFonts w:ascii="Arial" w:eastAsia="Arial" w:hAnsi="Arial" w:cs="Arial"/>
          <w:sz w:val="24"/>
          <w:szCs w:val="24"/>
          <w:lang w:val="es-ES"/>
        </w:rPr>
        <w:t>como una herramienta que permita a las Entidades Fiscalizables conocer los elementos mínimos que debe contener la información</w:t>
      </w:r>
      <w:r w:rsidR="00B91497">
        <w:rPr>
          <w:rFonts w:ascii="Arial" w:eastAsia="Arial" w:hAnsi="Arial" w:cs="Arial"/>
          <w:sz w:val="24"/>
          <w:szCs w:val="24"/>
          <w:lang w:val="es-ES"/>
        </w:rPr>
        <w:t xml:space="preserve"> en comento, como lo señala la L</w:t>
      </w:r>
      <w:r w:rsidR="00621CE8" w:rsidRPr="00F7194B">
        <w:rPr>
          <w:rFonts w:ascii="Arial" w:eastAsia="Arial" w:hAnsi="Arial" w:cs="Arial"/>
          <w:sz w:val="24"/>
          <w:szCs w:val="24"/>
          <w:lang w:val="es-ES"/>
        </w:rPr>
        <w:t>ey de Fiscalización y Rendición de Cuentas del Estado de Quintana Roo, esta información es presentada de manera trimestral y con información del ejercicio en curso y respecto de procesos concluidos, con información que las Entidades deben generar y presentar conforme a lo establecido por la Ley General de Contabilidad Gubernamental y los acuerdos emitidos por el CONAC.</w:t>
      </w:r>
    </w:p>
    <w:p w14:paraId="354C1044" w14:textId="77777777" w:rsidR="00621CE8" w:rsidRPr="00E26E62" w:rsidRDefault="00621CE8" w:rsidP="00621CE8">
      <w:pPr>
        <w:pStyle w:val="Prrafodelista"/>
        <w:spacing w:before="240" w:after="0" w:line="276" w:lineRule="auto"/>
        <w:jc w:val="both"/>
        <w:rPr>
          <w:rFonts w:ascii="Arial" w:hAnsi="Arial" w:cs="Arial"/>
          <w:sz w:val="24"/>
          <w:szCs w:val="24"/>
        </w:rPr>
      </w:pPr>
    </w:p>
    <w:p w14:paraId="4218CA6F" w14:textId="77777777" w:rsidR="00FD4225" w:rsidRPr="00C70285" w:rsidRDefault="00FD4225" w:rsidP="00683FD0">
      <w:pPr>
        <w:pStyle w:val="Prrafodelista"/>
        <w:numPr>
          <w:ilvl w:val="0"/>
          <w:numId w:val="17"/>
        </w:numPr>
        <w:spacing w:before="240" w:after="0" w:line="276" w:lineRule="auto"/>
        <w:jc w:val="both"/>
        <w:outlineLvl w:val="2"/>
        <w:rPr>
          <w:rFonts w:ascii="Arial" w:hAnsi="Arial" w:cs="Arial"/>
          <w:b/>
          <w:sz w:val="24"/>
          <w:szCs w:val="24"/>
        </w:rPr>
      </w:pPr>
      <w:bookmarkStart w:id="12" w:name="_Toc158567473"/>
      <w:r w:rsidRPr="00C70285">
        <w:rPr>
          <w:rFonts w:ascii="Arial" w:hAnsi="Arial" w:cs="Arial"/>
          <w:b/>
          <w:sz w:val="24"/>
          <w:szCs w:val="24"/>
        </w:rPr>
        <w:t>Metodología</w:t>
      </w:r>
      <w:bookmarkEnd w:id="12"/>
      <w:r w:rsidRPr="00C70285">
        <w:rPr>
          <w:rFonts w:ascii="Arial" w:hAnsi="Arial" w:cs="Arial"/>
          <w:b/>
          <w:sz w:val="24"/>
          <w:szCs w:val="24"/>
        </w:rPr>
        <w:t xml:space="preserve"> </w:t>
      </w:r>
    </w:p>
    <w:p w14:paraId="4C1AD3F9" w14:textId="77777777" w:rsidR="00690B41" w:rsidRDefault="00690B41" w:rsidP="00690B41">
      <w:pPr>
        <w:pStyle w:val="Prrafodelista"/>
        <w:spacing w:before="240" w:after="0" w:line="276" w:lineRule="auto"/>
        <w:jc w:val="both"/>
        <w:rPr>
          <w:rFonts w:ascii="Arial" w:hAnsi="Arial" w:cs="Arial"/>
          <w:sz w:val="24"/>
          <w:szCs w:val="24"/>
        </w:rPr>
      </w:pPr>
    </w:p>
    <w:p w14:paraId="3C42D485" w14:textId="77777777" w:rsidR="005B0B0D" w:rsidRDefault="005B0B0D" w:rsidP="005B0B0D">
      <w:pPr>
        <w:spacing w:line="360" w:lineRule="auto"/>
        <w:ind w:left="283"/>
        <w:jc w:val="both"/>
        <w:rPr>
          <w:rFonts w:ascii="Arial" w:eastAsia="Arial" w:hAnsi="Arial" w:cs="Arial"/>
          <w:sz w:val="24"/>
          <w:szCs w:val="24"/>
          <w:lang w:val="es-ES"/>
        </w:rPr>
      </w:pPr>
      <w:r w:rsidRPr="00F7194B">
        <w:rPr>
          <w:rFonts w:ascii="Arial" w:eastAsia="Arial" w:hAnsi="Arial" w:cs="Arial"/>
          <w:sz w:val="24"/>
          <w:szCs w:val="24"/>
          <w:lang w:val="es-ES"/>
        </w:rPr>
        <w:t>La recepción, procesamiento y análisis de esta información trimestral permitió establecer la Planeación General de las Auditorías y determinar el Programa Anual de Auditorías</w:t>
      </w:r>
      <w:r w:rsidR="00565B8A">
        <w:rPr>
          <w:rFonts w:ascii="Arial" w:eastAsia="Arial" w:hAnsi="Arial" w:cs="Arial"/>
          <w:sz w:val="24"/>
          <w:szCs w:val="24"/>
          <w:lang w:val="es-ES"/>
        </w:rPr>
        <w:t>,</w:t>
      </w:r>
      <w:r w:rsidRPr="00F7194B">
        <w:rPr>
          <w:rFonts w:ascii="Arial" w:eastAsia="Arial" w:hAnsi="Arial" w:cs="Arial"/>
          <w:sz w:val="24"/>
          <w:szCs w:val="24"/>
          <w:lang w:val="es-ES"/>
        </w:rPr>
        <w:t xml:space="preserve"> Visitas e Inspecciones 202</w:t>
      </w:r>
      <w:r w:rsidR="001501B3">
        <w:rPr>
          <w:rFonts w:ascii="Arial" w:eastAsia="Arial" w:hAnsi="Arial" w:cs="Arial"/>
          <w:sz w:val="24"/>
          <w:szCs w:val="24"/>
          <w:lang w:val="es-ES"/>
        </w:rPr>
        <w:t>3</w:t>
      </w:r>
      <w:r w:rsidR="00864C3B">
        <w:rPr>
          <w:rFonts w:ascii="Arial" w:eastAsia="Arial" w:hAnsi="Arial" w:cs="Arial"/>
          <w:sz w:val="24"/>
          <w:szCs w:val="24"/>
          <w:lang w:val="es-ES"/>
        </w:rPr>
        <w:t>, para la fiscalización de la Cuenta P</w:t>
      </w:r>
      <w:r w:rsidRPr="00F7194B">
        <w:rPr>
          <w:rFonts w:ascii="Arial" w:eastAsia="Arial" w:hAnsi="Arial" w:cs="Arial"/>
          <w:sz w:val="24"/>
          <w:szCs w:val="24"/>
          <w:lang w:val="es-ES"/>
        </w:rPr>
        <w:t xml:space="preserve">ública </w:t>
      </w:r>
      <w:r w:rsidR="00F34B64">
        <w:rPr>
          <w:rFonts w:ascii="Arial" w:eastAsia="Arial" w:hAnsi="Arial" w:cs="Arial"/>
          <w:sz w:val="24"/>
          <w:szCs w:val="24"/>
          <w:lang w:val="es-ES"/>
        </w:rPr>
        <w:t xml:space="preserve">del ejercicio fiscal </w:t>
      </w:r>
      <w:r w:rsidRPr="00F7194B">
        <w:rPr>
          <w:rFonts w:ascii="Arial" w:eastAsia="Arial" w:hAnsi="Arial" w:cs="Arial"/>
          <w:sz w:val="24"/>
          <w:szCs w:val="24"/>
          <w:lang w:val="es-ES"/>
        </w:rPr>
        <w:t>202</w:t>
      </w:r>
      <w:r w:rsidR="001501B3">
        <w:rPr>
          <w:rFonts w:ascii="Arial" w:eastAsia="Arial" w:hAnsi="Arial" w:cs="Arial"/>
          <w:sz w:val="24"/>
          <w:szCs w:val="24"/>
          <w:lang w:val="es-ES"/>
        </w:rPr>
        <w:t>2</w:t>
      </w:r>
      <w:r w:rsidRPr="00F7194B">
        <w:rPr>
          <w:rFonts w:ascii="Arial" w:eastAsia="Arial" w:hAnsi="Arial" w:cs="Arial"/>
          <w:sz w:val="24"/>
          <w:szCs w:val="24"/>
          <w:lang w:val="es-ES"/>
        </w:rPr>
        <w:t>, en apego a las Normas Profesionales de Auditoría del Sistema Nacional de Fiscalización (NPASNF).</w:t>
      </w:r>
    </w:p>
    <w:p w14:paraId="6ADFBCB8" w14:textId="77777777" w:rsidR="005B0B0D" w:rsidRPr="005B0B0D" w:rsidRDefault="005B0B0D" w:rsidP="005B0B0D">
      <w:pPr>
        <w:spacing w:line="360" w:lineRule="auto"/>
        <w:ind w:left="283"/>
        <w:jc w:val="both"/>
        <w:rPr>
          <w:rFonts w:ascii="Arial" w:eastAsia="Arial" w:hAnsi="Arial" w:cs="Arial"/>
          <w:sz w:val="10"/>
          <w:szCs w:val="24"/>
          <w:lang w:val="es-ES"/>
        </w:rPr>
      </w:pPr>
    </w:p>
    <w:p w14:paraId="2457C6D9" w14:textId="77777777" w:rsidR="005B0B0D" w:rsidRDefault="005B0B0D" w:rsidP="005B0B0D">
      <w:pPr>
        <w:spacing w:line="360" w:lineRule="auto"/>
        <w:ind w:left="283"/>
        <w:jc w:val="both"/>
        <w:rPr>
          <w:rFonts w:ascii="Arial" w:eastAsia="Arial" w:hAnsi="Arial" w:cs="Arial"/>
          <w:sz w:val="24"/>
          <w:szCs w:val="24"/>
          <w:lang w:val="es-ES"/>
        </w:rPr>
      </w:pPr>
      <w:r w:rsidRPr="00F7194B">
        <w:rPr>
          <w:rFonts w:ascii="Arial" w:eastAsia="Arial" w:hAnsi="Arial" w:cs="Arial"/>
          <w:sz w:val="24"/>
          <w:szCs w:val="24"/>
          <w:lang w:val="es-ES"/>
        </w:rPr>
        <w:t xml:space="preserve">Las reglas generales de la planeación requirieron de un marco metodológico con procedimientos definidos apegados a las Normas Profesionales de Auditoría del Sistema Nacional de Fiscalización, fortaleciéndose con una programación más eficiente, enfocada a permitir una planeación y programación de los recursos materiales, humanos y financieros disponibles a efecto de realizar la revisión y fiscalización de las cuentas públicas, en </w:t>
      </w:r>
      <w:r w:rsidRPr="00F34B64">
        <w:rPr>
          <w:rFonts w:ascii="Arial" w:eastAsia="Arial" w:hAnsi="Arial" w:cs="Arial"/>
          <w:sz w:val="24"/>
          <w:szCs w:val="24"/>
          <w:lang w:val="es-ES"/>
        </w:rPr>
        <w:t>materia</w:t>
      </w:r>
      <w:r w:rsidR="00F34B64">
        <w:rPr>
          <w:rFonts w:ascii="Arial" w:eastAsia="Arial" w:hAnsi="Arial" w:cs="Arial"/>
          <w:b/>
          <w:sz w:val="24"/>
          <w:szCs w:val="24"/>
          <w:lang w:val="es-ES"/>
        </w:rPr>
        <w:t xml:space="preserve"> Financiera, de</w:t>
      </w:r>
      <w:r w:rsidRPr="00F7194B">
        <w:rPr>
          <w:rFonts w:ascii="Arial" w:eastAsia="Arial" w:hAnsi="Arial" w:cs="Arial"/>
          <w:b/>
          <w:sz w:val="24"/>
          <w:szCs w:val="24"/>
          <w:lang w:val="es-ES"/>
        </w:rPr>
        <w:t xml:space="preserve"> </w:t>
      </w:r>
      <w:r w:rsidR="00F34B64" w:rsidRPr="00F7194B">
        <w:rPr>
          <w:rFonts w:ascii="Arial" w:eastAsia="Arial" w:hAnsi="Arial" w:cs="Arial"/>
          <w:b/>
          <w:sz w:val="24"/>
          <w:szCs w:val="24"/>
          <w:lang w:val="es-ES"/>
        </w:rPr>
        <w:t xml:space="preserve">Desempeño </w:t>
      </w:r>
      <w:r w:rsidRPr="00F7194B">
        <w:rPr>
          <w:rFonts w:ascii="Arial" w:eastAsia="Arial" w:hAnsi="Arial" w:cs="Arial"/>
          <w:b/>
          <w:sz w:val="24"/>
          <w:szCs w:val="24"/>
          <w:lang w:val="es-ES"/>
        </w:rPr>
        <w:t xml:space="preserve">e </w:t>
      </w:r>
      <w:r w:rsidR="00F34B64" w:rsidRPr="00F7194B">
        <w:rPr>
          <w:rFonts w:ascii="Arial" w:eastAsia="Arial" w:hAnsi="Arial" w:cs="Arial"/>
          <w:b/>
          <w:sz w:val="24"/>
          <w:szCs w:val="24"/>
          <w:lang w:val="es-ES"/>
        </w:rPr>
        <w:t>Inversiones Físicas</w:t>
      </w:r>
      <w:r w:rsidR="00F34B64" w:rsidRPr="00F7194B">
        <w:rPr>
          <w:rFonts w:ascii="Arial" w:eastAsia="Arial" w:hAnsi="Arial" w:cs="Arial"/>
          <w:sz w:val="24"/>
          <w:szCs w:val="24"/>
          <w:lang w:val="es-ES"/>
        </w:rPr>
        <w:t xml:space="preserve"> </w:t>
      </w:r>
      <w:r w:rsidRPr="00F7194B">
        <w:rPr>
          <w:rFonts w:ascii="Arial" w:eastAsia="Arial" w:hAnsi="Arial" w:cs="Arial"/>
          <w:sz w:val="24"/>
          <w:szCs w:val="24"/>
          <w:lang w:val="es-ES"/>
        </w:rPr>
        <w:t>o también conocida como de obra pública.</w:t>
      </w:r>
    </w:p>
    <w:p w14:paraId="56742ACD" w14:textId="77777777" w:rsidR="005B0B0D" w:rsidRPr="005B0B0D" w:rsidRDefault="005B0B0D" w:rsidP="005B0B0D">
      <w:pPr>
        <w:spacing w:line="360" w:lineRule="auto"/>
        <w:ind w:left="283"/>
        <w:jc w:val="both"/>
        <w:rPr>
          <w:rFonts w:ascii="Arial" w:eastAsia="Arial" w:hAnsi="Arial" w:cs="Arial"/>
          <w:sz w:val="8"/>
          <w:szCs w:val="24"/>
          <w:lang w:val="es-ES"/>
        </w:rPr>
      </w:pPr>
    </w:p>
    <w:p w14:paraId="419AEE9D" w14:textId="77777777" w:rsidR="00690B41" w:rsidRDefault="005B0B0D" w:rsidP="00174C6E">
      <w:pPr>
        <w:spacing w:line="360" w:lineRule="auto"/>
        <w:ind w:left="283"/>
        <w:jc w:val="both"/>
        <w:rPr>
          <w:rFonts w:ascii="Arial" w:eastAsia="Arial" w:hAnsi="Arial" w:cs="Arial"/>
          <w:sz w:val="24"/>
          <w:szCs w:val="24"/>
          <w:lang w:val="es-ES"/>
        </w:rPr>
      </w:pPr>
      <w:r w:rsidRPr="00F7194B">
        <w:rPr>
          <w:rFonts w:ascii="Arial" w:eastAsia="Arial" w:hAnsi="Arial" w:cs="Arial"/>
          <w:sz w:val="24"/>
          <w:szCs w:val="24"/>
          <w:lang w:val="es-ES"/>
        </w:rPr>
        <w:t>Para la determinación de las audi</w:t>
      </w:r>
      <w:r w:rsidR="00F34B64">
        <w:rPr>
          <w:rFonts w:ascii="Arial" w:eastAsia="Arial" w:hAnsi="Arial" w:cs="Arial"/>
          <w:sz w:val="24"/>
          <w:szCs w:val="24"/>
          <w:lang w:val="es-ES"/>
        </w:rPr>
        <w:t>torías realizadas, se aplicaron</w:t>
      </w:r>
      <w:r w:rsidRPr="00F7194B">
        <w:rPr>
          <w:rFonts w:ascii="Arial" w:eastAsia="Arial" w:hAnsi="Arial" w:cs="Arial"/>
          <w:sz w:val="24"/>
          <w:szCs w:val="24"/>
          <w:lang w:val="es-ES"/>
        </w:rPr>
        <w:t xml:space="preserve"> para cada una de las entidades fiscalizables procedimientos, parámetros y criterios</w:t>
      </w:r>
      <w:r w:rsidR="00BE23E3">
        <w:rPr>
          <w:rFonts w:ascii="Arial" w:eastAsia="Arial" w:hAnsi="Arial" w:cs="Arial"/>
          <w:sz w:val="24"/>
          <w:szCs w:val="24"/>
          <w:lang w:val="es-ES"/>
        </w:rPr>
        <w:t xml:space="preserve"> citados en la figura </w:t>
      </w:r>
      <w:r w:rsidR="00F34B64">
        <w:rPr>
          <w:rFonts w:ascii="Arial" w:eastAsia="Arial" w:hAnsi="Arial" w:cs="Arial"/>
          <w:sz w:val="24"/>
          <w:szCs w:val="24"/>
          <w:lang w:val="es-ES"/>
        </w:rPr>
        <w:t>N</w:t>
      </w:r>
      <w:r w:rsidR="00F27925">
        <w:rPr>
          <w:rFonts w:ascii="Arial" w:eastAsia="Arial" w:hAnsi="Arial" w:cs="Arial"/>
          <w:sz w:val="24"/>
          <w:szCs w:val="24"/>
          <w:lang w:val="es-ES"/>
        </w:rPr>
        <w:t>°3, los que contribuyeron a la integración de</w:t>
      </w:r>
      <w:r w:rsidR="00F27925" w:rsidRPr="00F27925">
        <w:rPr>
          <w:rFonts w:ascii="Arial" w:eastAsia="Arial" w:hAnsi="Arial" w:cs="Arial"/>
          <w:sz w:val="24"/>
          <w:szCs w:val="24"/>
          <w:lang w:val="es-ES"/>
        </w:rPr>
        <w:t xml:space="preserve"> </w:t>
      </w:r>
      <w:r w:rsidR="00F27925" w:rsidRPr="00F7194B">
        <w:rPr>
          <w:rFonts w:ascii="Arial" w:eastAsia="Arial" w:hAnsi="Arial" w:cs="Arial"/>
          <w:sz w:val="24"/>
          <w:szCs w:val="24"/>
          <w:lang w:val="es-ES"/>
        </w:rPr>
        <w:t xml:space="preserve">la información financiera, de programas y objetivos, y de obra pública por entidad fiscalizable, </w:t>
      </w:r>
      <w:r w:rsidR="00977E98">
        <w:rPr>
          <w:rFonts w:ascii="Arial" w:eastAsia="Arial" w:hAnsi="Arial" w:cs="Arial"/>
          <w:sz w:val="24"/>
          <w:szCs w:val="24"/>
          <w:lang w:val="es-ES"/>
        </w:rPr>
        <w:t>para una eficiente</w:t>
      </w:r>
      <w:r w:rsidR="00F27925" w:rsidRPr="00F7194B">
        <w:rPr>
          <w:rFonts w:ascii="Arial" w:eastAsia="Arial" w:hAnsi="Arial" w:cs="Arial"/>
          <w:sz w:val="24"/>
          <w:szCs w:val="24"/>
          <w:lang w:val="es-ES"/>
        </w:rPr>
        <w:t xml:space="preserve"> planeación específica de las auditorías.</w:t>
      </w:r>
    </w:p>
    <w:p w14:paraId="6FC0C557" w14:textId="77777777" w:rsidR="000763E9" w:rsidRDefault="000763E9" w:rsidP="005B0B0D">
      <w:pPr>
        <w:spacing w:line="360" w:lineRule="auto"/>
        <w:ind w:left="283"/>
        <w:jc w:val="both"/>
        <w:rPr>
          <w:rFonts w:ascii="Arial" w:eastAsia="Arial" w:hAnsi="Arial" w:cs="Arial"/>
          <w:sz w:val="24"/>
          <w:szCs w:val="24"/>
          <w:lang w:val="es-ES"/>
        </w:rPr>
      </w:pPr>
    </w:p>
    <w:p w14:paraId="515F7F4F" w14:textId="77777777" w:rsidR="000763E9" w:rsidRDefault="004B413F" w:rsidP="005B0B0D">
      <w:pPr>
        <w:spacing w:line="360" w:lineRule="auto"/>
        <w:ind w:left="283"/>
        <w:jc w:val="both"/>
        <w:rPr>
          <w:rFonts w:ascii="Arial" w:eastAsia="Arial" w:hAnsi="Arial" w:cs="Arial"/>
          <w:sz w:val="24"/>
          <w:szCs w:val="24"/>
          <w:lang w:val="es-ES"/>
        </w:rPr>
      </w:pPr>
      <w:r>
        <w:rPr>
          <w:rFonts w:ascii="Arial" w:eastAsia="Arial" w:hAnsi="Arial" w:cs="Arial"/>
          <w:noProof/>
          <w:sz w:val="24"/>
          <w:szCs w:val="24"/>
          <w:lang w:eastAsia="es-MX"/>
        </w:rPr>
        <w:drawing>
          <wp:inline distT="0" distB="0" distL="0" distR="0" wp14:anchorId="729C20B0" wp14:editId="6A9EE64A">
            <wp:extent cx="5413786" cy="346646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fografia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8979" cy="3469790"/>
                    </a:xfrm>
                    <a:prstGeom prst="rect">
                      <a:avLst/>
                    </a:prstGeom>
                  </pic:spPr>
                </pic:pic>
              </a:graphicData>
            </a:graphic>
          </wp:inline>
        </w:drawing>
      </w:r>
    </w:p>
    <w:p w14:paraId="57A3D855" w14:textId="77777777" w:rsidR="000763E9" w:rsidRPr="005D7C6E" w:rsidRDefault="002E45F3" w:rsidP="002E45F3">
      <w:pPr>
        <w:spacing w:line="360" w:lineRule="auto"/>
        <w:ind w:left="283"/>
        <w:jc w:val="center"/>
        <w:rPr>
          <w:rFonts w:ascii="Arial" w:eastAsia="Arial" w:hAnsi="Arial" w:cs="Arial"/>
          <w:sz w:val="16"/>
          <w:szCs w:val="16"/>
          <w:lang w:val="es-ES"/>
        </w:rPr>
      </w:pPr>
      <w:r w:rsidRPr="00CC1662">
        <w:rPr>
          <w:rFonts w:ascii="Arial" w:hAnsi="Arial" w:cs="Arial"/>
          <w:b/>
          <w:sz w:val="16"/>
          <w:szCs w:val="16"/>
        </w:rPr>
        <w:t xml:space="preserve">Figura </w:t>
      </w:r>
      <w:r w:rsidR="00B85302">
        <w:rPr>
          <w:rFonts w:ascii="Arial" w:hAnsi="Arial" w:cs="Arial"/>
          <w:b/>
          <w:sz w:val="16"/>
          <w:szCs w:val="16"/>
        </w:rPr>
        <w:t>N</w:t>
      </w:r>
      <w:r w:rsidRPr="00CC1662">
        <w:rPr>
          <w:rFonts w:ascii="Arial" w:hAnsi="Arial" w:cs="Arial"/>
          <w:b/>
          <w:sz w:val="16"/>
          <w:szCs w:val="16"/>
        </w:rPr>
        <w:t>° 3:</w:t>
      </w:r>
      <w:r w:rsidRPr="005D7C6E">
        <w:rPr>
          <w:rFonts w:ascii="Arial" w:hAnsi="Arial" w:cs="Arial"/>
          <w:sz w:val="16"/>
          <w:szCs w:val="16"/>
        </w:rPr>
        <w:t xml:space="preserve"> Elaboración propia</w:t>
      </w:r>
      <w:r w:rsidR="00AE53E5">
        <w:rPr>
          <w:rFonts w:ascii="Arial" w:hAnsi="Arial" w:cs="Arial"/>
          <w:sz w:val="16"/>
          <w:szCs w:val="16"/>
        </w:rPr>
        <w:t>.</w:t>
      </w:r>
    </w:p>
    <w:p w14:paraId="43AF1E87" w14:textId="77777777" w:rsidR="00690B41" w:rsidRPr="00E26E62" w:rsidRDefault="00690B41" w:rsidP="00690B41">
      <w:pPr>
        <w:pStyle w:val="Prrafodelista"/>
        <w:spacing w:before="240" w:after="0" w:line="276" w:lineRule="auto"/>
        <w:jc w:val="both"/>
        <w:rPr>
          <w:rFonts w:ascii="Arial" w:hAnsi="Arial" w:cs="Arial"/>
          <w:sz w:val="24"/>
          <w:szCs w:val="24"/>
        </w:rPr>
      </w:pPr>
    </w:p>
    <w:p w14:paraId="3032FF3B" w14:textId="77777777" w:rsidR="005400EE" w:rsidRPr="00C70285" w:rsidRDefault="00FD4225" w:rsidP="00683FD0">
      <w:pPr>
        <w:pStyle w:val="Prrafodelista"/>
        <w:numPr>
          <w:ilvl w:val="0"/>
          <w:numId w:val="17"/>
        </w:numPr>
        <w:spacing w:before="240" w:after="0" w:line="276" w:lineRule="auto"/>
        <w:jc w:val="both"/>
        <w:outlineLvl w:val="2"/>
        <w:rPr>
          <w:rFonts w:ascii="Arial" w:hAnsi="Arial" w:cs="Arial"/>
          <w:b/>
          <w:sz w:val="24"/>
          <w:szCs w:val="24"/>
        </w:rPr>
      </w:pPr>
      <w:bookmarkStart w:id="13" w:name="_Toc158567474"/>
      <w:r w:rsidRPr="00C70285">
        <w:rPr>
          <w:rFonts w:ascii="Arial" w:hAnsi="Arial" w:cs="Arial"/>
          <w:b/>
          <w:sz w:val="24"/>
          <w:szCs w:val="24"/>
        </w:rPr>
        <w:t xml:space="preserve">Autorización del Programa Anual de Auditorías Visitas e Inspecciones </w:t>
      </w:r>
      <w:r w:rsidR="0020687F">
        <w:rPr>
          <w:rFonts w:ascii="Arial" w:hAnsi="Arial" w:cs="Arial"/>
          <w:b/>
          <w:sz w:val="24"/>
          <w:szCs w:val="24"/>
        </w:rPr>
        <w:t>202</w:t>
      </w:r>
      <w:r w:rsidR="00BE1D13">
        <w:rPr>
          <w:rFonts w:ascii="Arial" w:hAnsi="Arial" w:cs="Arial"/>
          <w:b/>
          <w:sz w:val="24"/>
          <w:szCs w:val="24"/>
        </w:rPr>
        <w:t>3</w:t>
      </w:r>
      <w:bookmarkEnd w:id="13"/>
    </w:p>
    <w:p w14:paraId="2F763A46" w14:textId="77777777" w:rsidR="005400EE" w:rsidRDefault="005400EE" w:rsidP="005400EE">
      <w:pPr>
        <w:pStyle w:val="Prrafodelista"/>
        <w:spacing w:before="240" w:after="0" w:line="276" w:lineRule="auto"/>
        <w:jc w:val="both"/>
        <w:rPr>
          <w:rFonts w:ascii="Arial" w:hAnsi="Arial" w:cs="Arial"/>
          <w:sz w:val="24"/>
          <w:szCs w:val="24"/>
        </w:rPr>
      </w:pPr>
    </w:p>
    <w:p w14:paraId="65A65FFA" w14:textId="77777777" w:rsidR="009A5E91" w:rsidRDefault="00604E3E" w:rsidP="009A5E91">
      <w:pPr>
        <w:spacing w:line="360" w:lineRule="auto"/>
        <w:ind w:left="283"/>
        <w:jc w:val="both"/>
        <w:rPr>
          <w:rFonts w:ascii="Arial" w:eastAsia="Arial" w:hAnsi="Arial" w:cs="Arial"/>
          <w:sz w:val="24"/>
          <w:szCs w:val="24"/>
          <w:lang w:val="es-ES"/>
        </w:rPr>
      </w:pPr>
      <w:r>
        <w:rPr>
          <w:rFonts w:ascii="Arial" w:eastAsia="Arial" w:hAnsi="Arial" w:cs="Arial"/>
          <w:sz w:val="24"/>
          <w:szCs w:val="24"/>
          <w:lang w:val="es-ES"/>
        </w:rPr>
        <w:t>El</w:t>
      </w:r>
      <w:r w:rsidR="009A5E91" w:rsidRPr="00F7194B">
        <w:rPr>
          <w:rFonts w:ascii="Arial" w:eastAsia="Arial" w:hAnsi="Arial" w:cs="Arial"/>
          <w:sz w:val="24"/>
          <w:szCs w:val="24"/>
          <w:lang w:val="es-ES"/>
        </w:rPr>
        <w:t xml:space="preserve"> </w:t>
      </w:r>
      <w:r>
        <w:rPr>
          <w:rFonts w:ascii="Arial" w:eastAsia="Arial" w:hAnsi="Arial" w:cs="Arial"/>
          <w:sz w:val="24"/>
          <w:szCs w:val="24"/>
          <w:lang w:val="es-ES"/>
        </w:rPr>
        <w:t>15</w:t>
      </w:r>
      <w:r w:rsidR="009A5E91" w:rsidRPr="00F7194B">
        <w:rPr>
          <w:rFonts w:ascii="Arial" w:eastAsia="Arial" w:hAnsi="Arial" w:cs="Arial"/>
          <w:sz w:val="24"/>
          <w:szCs w:val="24"/>
          <w:lang w:val="es-ES"/>
        </w:rPr>
        <w:t xml:space="preserve"> de </w:t>
      </w:r>
      <w:r w:rsidR="001501B3">
        <w:rPr>
          <w:rFonts w:ascii="Arial" w:eastAsia="Arial" w:hAnsi="Arial" w:cs="Arial"/>
          <w:sz w:val="24"/>
          <w:szCs w:val="24"/>
          <w:lang w:val="es-ES"/>
        </w:rPr>
        <w:t>marzo</w:t>
      </w:r>
      <w:r>
        <w:rPr>
          <w:rFonts w:ascii="Arial" w:eastAsia="Arial" w:hAnsi="Arial" w:cs="Arial"/>
          <w:sz w:val="24"/>
          <w:szCs w:val="24"/>
          <w:lang w:val="es-ES"/>
        </w:rPr>
        <w:t xml:space="preserve"> </w:t>
      </w:r>
      <w:r w:rsidR="009A5E91" w:rsidRPr="00F7194B">
        <w:rPr>
          <w:rFonts w:ascii="Arial" w:eastAsia="Arial" w:hAnsi="Arial" w:cs="Arial"/>
          <w:sz w:val="24"/>
          <w:szCs w:val="24"/>
          <w:lang w:val="es-ES"/>
        </w:rPr>
        <w:t>del 202</w:t>
      </w:r>
      <w:r w:rsidR="001501B3">
        <w:rPr>
          <w:rFonts w:ascii="Arial" w:eastAsia="Arial" w:hAnsi="Arial" w:cs="Arial"/>
          <w:sz w:val="24"/>
          <w:szCs w:val="24"/>
          <w:lang w:val="es-ES"/>
        </w:rPr>
        <w:t>3</w:t>
      </w:r>
      <w:r w:rsidR="009A5E91" w:rsidRPr="00F7194B">
        <w:rPr>
          <w:rFonts w:ascii="Arial" w:eastAsia="Arial" w:hAnsi="Arial" w:cs="Arial"/>
          <w:sz w:val="24"/>
          <w:szCs w:val="24"/>
          <w:lang w:val="es-ES"/>
        </w:rPr>
        <w:t xml:space="preserve"> se emitió el acuerdo administrativo mediante el cual el Auditor Superior del Estado aprueba el Programa Anual de Auditorías Visitas e Inspecciones 202</w:t>
      </w:r>
      <w:r w:rsidR="001501B3">
        <w:rPr>
          <w:rFonts w:ascii="Arial" w:eastAsia="Arial" w:hAnsi="Arial" w:cs="Arial"/>
          <w:sz w:val="24"/>
          <w:szCs w:val="24"/>
          <w:lang w:val="es-ES"/>
        </w:rPr>
        <w:t>3</w:t>
      </w:r>
      <w:r w:rsidR="009A5E91" w:rsidRPr="00F7194B">
        <w:rPr>
          <w:rFonts w:ascii="Arial" w:eastAsia="Arial" w:hAnsi="Arial" w:cs="Arial"/>
          <w:sz w:val="24"/>
          <w:szCs w:val="24"/>
          <w:lang w:val="es-ES"/>
        </w:rPr>
        <w:t xml:space="preserve">, </w:t>
      </w:r>
      <w:r w:rsidR="00BE1D13" w:rsidRPr="00F7194B">
        <w:rPr>
          <w:rFonts w:ascii="Arial" w:eastAsia="Arial" w:hAnsi="Arial" w:cs="Arial"/>
          <w:sz w:val="24"/>
          <w:szCs w:val="24"/>
          <w:lang w:val="es-ES"/>
        </w:rPr>
        <w:t xml:space="preserve">para la fiscalización de la </w:t>
      </w:r>
      <w:r w:rsidR="00F34B64" w:rsidRPr="00F7194B">
        <w:rPr>
          <w:rFonts w:ascii="Arial" w:eastAsia="Arial" w:hAnsi="Arial" w:cs="Arial"/>
          <w:sz w:val="24"/>
          <w:szCs w:val="24"/>
          <w:lang w:val="es-ES"/>
        </w:rPr>
        <w:t xml:space="preserve">Cuenta Pública </w:t>
      </w:r>
      <w:r w:rsidR="00BE1D13" w:rsidRPr="00F7194B">
        <w:rPr>
          <w:rFonts w:ascii="Arial" w:eastAsia="Arial" w:hAnsi="Arial" w:cs="Arial"/>
          <w:sz w:val="24"/>
          <w:szCs w:val="24"/>
          <w:lang w:val="es-ES"/>
        </w:rPr>
        <w:t>202</w:t>
      </w:r>
      <w:r w:rsidR="00BE1D13">
        <w:rPr>
          <w:rFonts w:ascii="Arial" w:eastAsia="Arial" w:hAnsi="Arial" w:cs="Arial"/>
          <w:sz w:val="24"/>
          <w:szCs w:val="24"/>
          <w:lang w:val="es-ES"/>
        </w:rPr>
        <w:t>2</w:t>
      </w:r>
      <w:r w:rsidR="00560179">
        <w:rPr>
          <w:rFonts w:ascii="Arial" w:eastAsia="Arial" w:hAnsi="Arial" w:cs="Arial"/>
          <w:sz w:val="24"/>
          <w:szCs w:val="24"/>
          <w:lang w:val="es-ES"/>
        </w:rPr>
        <w:t>,</w:t>
      </w:r>
      <w:r w:rsidR="00BE1D13">
        <w:rPr>
          <w:rFonts w:ascii="Arial" w:eastAsia="Arial" w:hAnsi="Arial" w:cs="Arial"/>
          <w:sz w:val="24"/>
          <w:szCs w:val="24"/>
          <w:lang w:val="es-ES"/>
        </w:rPr>
        <w:t xml:space="preserve"> </w:t>
      </w:r>
      <w:r w:rsidR="009A5E91" w:rsidRPr="00F7194B">
        <w:rPr>
          <w:rFonts w:ascii="Arial" w:eastAsia="Arial" w:hAnsi="Arial" w:cs="Arial"/>
          <w:sz w:val="24"/>
          <w:szCs w:val="24"/>
          <w:lang w:val="es-ES"/>
        </w:rPr>
        <w:t>que comprendió un total de 2</w:t>
      </w:r>
      <w:r w:rsidR="001501B3">
        <w:rPr>
          <w:rFonts w:ascii="Arial" w:eastAsia="Arial" w:hAnsi="Arial" w:cs="Arial"/>
          <w:sz w:val="24"/>
          <w:szCs w:val="24"/>
          <w:lang w:val="es-ES"/>
        </w:rPr>
        <w:t>47</w:t>
      </w:r>
      <w:r w:rsidR="009A5E91" w:rsidRPr="00F7194B">
        <w:rPr>
          <w:rFonts w:ascii="Arial" w:eastAsia="Arial" w:hAnsi="Arial" w:cs="Arial"/>
          <w:sz w:val="24"/>
          <w:szCs w:val="24"/>
          <w:lang w:val="es-ES"/>
        </w:rPr>
        <w:t xml:space="preserve"> auditorías, a un total de 101 entidades fiscalizables</w:t>
      </w:r>
      <w:r w:rsidR="00341DE3">
        <w:rPr>
          <w:rFonts w:ascii="Arial" w:eastAsia="Arial" w:hAnsi="Arial" w:cs="Arial"/>
          <w:sz w:val="24"/>
          <w:szCs w:val="24"/>
          <w:lang w:val="es-ES"/>
        </w:rPr>
        <w:t xml:space="preserve"> </w:t>
      </w:r>
      <w:r w:rsidR="00855AF2">
        <w:rPr>
          <w:rFonts w:ascii="Arial" w:eastAsia="Arial" w:hAnsi="Arial" w:cs="Arial"/>
          <w:sz w:val="24"/>
          <w:szCs w:val="24"/>
          <w:lang w:val="es-ES"/>
        </w:rPr>
        <w:t xml:space="preserve">detalladas en la gráfica </w:t>
      </w:r>
      <w:r w:rsidR="00F34B64">
        <w:rPr>
          <w:rFonts w:ascii="Arial" w:eastAsia="Arial" w:hAnsi="Arial" w:cs="Arial"/>
          <w:sz w:val="24"/>
          <w:szCs w:val="24"/>
          <w:lang w:val="es-ES"/>
        </w:rPr>
        <w:t>N</w:t>
      </w:r>
      <w:r w:rsidR="00855AF2">
        <w:rPr>
          <w:rFonts w:ascii="Arial" w:eastAsia="Arial" w:hAnsi="Arial" w:cs="Arial"/>
          <w:sz w:val="24"/>
          <w:szCs w:val="24"/>
          <w:lang w:val="es-ES"/>
        </w:rPr>
        <w:t>°4</w:t>
      </w:r>
      <w:r w:rsidR="00F34B64">
        <w:rPr>
          <w:rFonts w:ascii="Arial" w:eastAsia="Arial" w:hAnsi="Arial" w:cs="Arial"/>
          <w:sz w:val="24"/>
          <w:szCs w:val="24"/>
          <w:lang w:val="es-ES"/>
        </w:rPr>
        <w:t xml:space="preserve"> y tabla N°3</w:t>
      </w:r>
      <w:r w:rsidR="00341DE3" w:rsidRPr="00341DE3">
        <w:rPr>
          <w:rFonts w:ascii="Arial" w:eastAsia="Arial" w:hAnsi="Arial" w:cs="Arial"/>
          <w:sz w:val="24"/>
          <w:szCs w:val="24"/>
          <w:lang w:val="es-ES"/>
        </w:rPr>
        <w:t>:</w:t>
      </w:r>
    </w:p>
    <w:p w14:paraId="3ABCDDC6" w14:textId="77777777" w:rsidR="00203AF2" w:rsidRDefault="0073772A" w:rsidP="0073772A">
      <w:pPr>
        <w:pStyle w:val="Textoindependiente"/>
        <w:spacing w:before="240" w:line="360" w:lineRule="auto"/>
        <w:jc w:val="center"/>
      </w:pPr>
      <w:r>
        <w:rPr>
          <w:b/>
          <w:noProof/>
          <w:color w:val="404040" w:themeColor="text1" w:themeTint="BF"/>
          <w:sz w:val="16"/>
          <w:szCs w:val="16"/>
          <w:lang w:val="es-MX" w:eastAsia="es-MX"/>
        </w:rPr>
        <w:lastRenderedPageBreak/>
        <mc:AlternateContent>
          <mc:Choice Requires="wps">
            <w:drawing>
              <wp:anchor distT="0" distB="0" distL="114300" distR="114300" simplePos="0" relativeHeight="251662336" behindDoc="0" locked="0" layoutInCell="1" allowOverlap="1" wp14:anchorId="6CF58384" wp14:editId="21C3489B">
                <wp:simplePos x="0" y="0"/>
                <wp:positionH relativeFrom="margin">
                  <wp:posOffset>950595</wp:posOffset>
                </wp:positionH>
                <wp:positionV relativeFrom="paragraph">
                  <wp:posOffset>4181475</wp:posOffset>
                </wp:positionV>
                <wp:extent cx="3764280" cy="561975"/>
                <wp:effectExtent l="0" t="0" r="7620" b="9525"/>
                <wp:wrapNone/>
                <wp:docPr id="1" name="Cuadro de texto 1"/>
                <wp:cNvGraphicFramePr/>
                <a:graphic xmlns:a="http://schemas.openxmlformats.org/drawingml/2006/main">
                  <a:graphicData uri="http://schemas.microsoft.com/office/word/2010/wordprocessingShape">
                    <wps:wsp>
                      <wps:cNvSpPr txBox="1"/>
                      <wps:spPr>
                        <a:xfrm>
                          <a:off x="0" y="0"/>
                          <a:ext cx="3764280" cy="561975"/>
                        </a:xfrm>
                        <a:prstGeom prst="rect">
                          <a:avLst/>
                        </a:prstGeom>
                        <a:solidFill>
                          <a:schemeClr val="lt1"/>
                        </a:solidFill>
                        <a:ln w="6350">
                          <a:noFill/>
                        </a:ln>
                      </wps:spPr>
                      <wps:txbx>
                        <w:txbxContent>
                          <w:p w14:paraId="5310403C" w14:textId="77777777" w:rsidR="00D33739" w:rsidRPr="00F24C0C" w:rsidRDefault="00D33739" w:rsidP="005170CB">
                            <w:pPr>
                              <w:pStyle w:val="Textoindependiente"/>
                              <w:jc w:val="center"/>
                              <w:rPr>
                                <w:b/>
                                <w:i/>
                                <w:noProof/>
                                <w:color w:val="000000" w:themeColor="text1"/>
                                <w:sz w:val="18"/>
                                <w:szCs w:val="16"/>
                                <w:lang w:eastAsia="es-MX"/>
                              </w:rPr>
                            </w:pPr>
                            <w:r w:rsidRPr="00F24C0C">
                              <w:rPr>
                                <w:b/>
                                <w:i/>
                                <w:noProof/>
                                <w:color w:val="000000" w:themeColor="text1"/>
                                <w:sz w:val="18"/>
                                <w:szCs w:val="16"/>
                                <w:lang w:eastAsia="es-MX"/>
                              </w:rPr>
                              <w:t>Gráfica N° 4</w:t>
                            </w:r>
                          </w:p>
                          <w:p w14:paraId="317D2FEA" w14:textId="77777777" w:rsidR="00D33739" w:rsidRPr="00F24C0C" w:rsidRDefault="00D33739" w:rsidP="00BB06AE">
                            <w:pPr>
                              <w:pStyle w:val="Textoindependiente"/>
                              <w:jc w:val="both"/>
                              <w:rPr>
                                <w:i/>
                                <w:noProof/>
                                <w:color w:val="000000" w:themeColor="text1"/>
                                <w:sz w:val="18"/>
                                <w:szCs w:val="16"/>
                                <w:lang w:eastAsia="es-MX"/>
                              </w:rPr>
                            </w:pPr>
                            <w:r w:rsidRPr="00F24C0C">
                              <w:rPr>
                                <w:b/>
                                <w:i/>
                                <w:noProof/>
                                <w:color w:val="000000" w:themeColor="text1"/>
                                <w:sz w:val="18"/>
                                <w:szCs w:val="16"/>
                                <w:lang w:eastAsia="es-MX"/>
                              </w:rPr>
                              <w:t xml:space="preserve">Fuente: </w:t>
                            </w:r>
                            <w:r w:rsidRPr="00F24C0C">
                              <w:rPr>
                                <w:i/>
                                <w:noProof/>
                                <w:color w:val="000000" w:themeColor="text1"/>
                                <w:sz w:val="18"/>
                                <w:szCs w:val="16"/>
                                <w:lang w:eastAsia="es-MX"/>
                              </w:rPr>
                              <w:t>Programa Anual de Auditorías, Visitas e Inspecciones 2023 y modificación, publicados en la página web de la ASEQROO.</w:t>
                            </w:r>
                          </w:p>
                          <w:p w14:paraId="2AA3EFFD" w14:textId="77777777" w:rsidR="00D33739" w:rsidRPr="00E257C9" w:rsidRDefault="00D33739" w:rsidP="00675FF6">
                            <w:pPr>
                              <w:pStyle w:val="Textoindependiente"/>
                              <w:jc w:val="center"/>
                              <w:rPr>
                                <w:noProof/>
                                <w:color w:val="262626" w:themeColor="text1" w:themeTint="D9"/>
                                <w:sz w:val="16"/>
                                <w:szCs w:val="16"/>
                                <w:lang w:eastAsia="es-MX"/>
                              </w:rPr>
                            </w:pPr>
                          </w:p>
                          <w:p w14:paraId="6E3A776D" w14:textId="77777777" w:rsidR="00D33739" w:rsidRPr="00E257C9" w:rsidRDefault="00D33739">
                            <w:pPr>
                              <w:rPr>
                                <w:color w:val="262626" w:themeColor="text1" w:themeTint="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8384" id="Cuadro de texto 1" o:spid="_x0000_s1027" type="#_x0000_t202" style="position:absolute;left:0;text-align:left;margin-left:74.85pt;margin-top:329.25pt;width:296.4pt;height:4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" fillcolor="white [3201]" stroked="f" strokeweight=".5pt">
                <v:textbox>
                  <w:txbxContent>
                    <w:p w14:paraId="5310403C" w14:textId="77777777" w:rsidR="00D33739" w:rsidRPr="00F24C0C" w:rsidRDefault="00D33739" w:rsidP="005170CB">
                      <w:pPr>
                        <w:pStyle w:val="Textoindependiente"/>
                        <w:jc w:val="center"/>
                        <w:rPr>
                          <w:b/>
                          <w:i/>
                          <w:noProof/>
                          <w:color w:val="000000" w:themeColor="text1"/>
                          <w:sz w:val="18"/>
                          <w:szCs w:val="16"/>
                          <w:lang w:eastAsia="es-MX"/>
                        </w:rPr>
                      </w:pPr>
                      <w:r w:rsidRPr="00F24C0C">
                        <w:rPr>
                          <w:b/>
                          <w:i/>
                          <w:noProof/>
                          <w:color w:val="000000" w:themeColor="text1"/>
                          <w:sz w:val="18"/>
                          <w:szCs w:val="16"/>
                          <w:lang w:eastAsia="es-MX"/>
                        </w:rPr>
                        <w:t>Gráfica N° 4</w:t>
                      </w:r>
                    </w:p>
                    <w:p w14:paraId="317D2FEA" w14:textId="77777777" w:rsidR="00D33739" w:rsidRPr="00F24C0C" w:rsidRDefault="00D33739" w:rsidP="00BB06AE">
                      <w:pPr>
                        <w:pStyle w:val="Textoindependiente"/>
                        <w:jc w:val="both"/>
                        <w:rPr>
                          <w:i/>
                          <w:noProof/>
                          <w:color w:val="000000" w:themeColor="text1"/>
                          <w:sz w:val="18"/>
                          <w:szCs w:val="16"/>
                          <w:lang w:eastAsia="es-MX"/>
                        </w:rPr>
                      </w:pPr>
                      <w:r w:rsidRPr="00F24C0C">
                        <w:rPr>
                          <w:b/>
                          <w:i/>
                          <w:noProof/>
                          <w:color w:val="000000" w:themeColor="text1"/>
                          <w:sz w:val="18"/>
                          <w:szCs w:val="16"/>
                          <w:lang w:eastAsia="es-MX"/>
                        </w:rPr>
                        <w:t xml:space="preserve">Fuente: </w:t>
                      </w:r>
                      <w:r w:rsidRPr="00F24C0C">
                        <w:rPr>
                          <w:i/>
                          <w:noProof/>
                          <w:color w:val="000000" w:themeColor="text1"/>
                          <w:sz w:val="18"/>
                          <w:szCs w:val="16"/>
                          <w:lang w:eastAsia="es-MX"/>
                        </w:rPr>
                        <w:t>Programa Anual de Auditorías, Visitas e Inspecciones 2023 y modificación, publicados en la página web de la ASEQROO.</w:t>
                      </w:r>
                    </w:p>
                    <w:p w14:paraId="2AA3EFFD" w14:textId="77777777" w:rsidR="00D33739" w:rsidRPr="00E257C9" w:rsidRDefault="00D33739" w:rsidP="00675FF6">
                      <w:pPr>
                        <w:pStyle w:val="Textoindependiente"/>
                        <w:jc w:val="center"/>
                        <w:rPr>
                          <w:noProof/>
                          <w:color w:val="262626" w:themeColor="text1" w:themeTint="D9"/>
                          <w:sz w:val="16"/>
                          <w:szCs w:val="16"/>
                          <w:lang w:eastAsia="es-MX"/>
                        </w:rPr>
                      </w:pPr>
                    </w:p>
                    <w:p w14:paraId="6E3A776D" w14:textId="77777777" w:rsidR="00D33739" w:rsidRPr="00E257C9" w:rsidRDefault="00D33739">
                      <w:pPr>
                        <w:rPr>
                          <w:color w:val="262626" w:themeColor="text1" w:themeTint="D9"/>
                        </w:rPr>
                      </w:pPr>
                    </w:p>
                  </w:txbxContent>
                </v:textbox>
                <w10:wrap anchorx="margin"/>
              </v:shape>
            </w:pict>
          </mc:Fallback>
        </mc:AlternateContent>
      </w:r>
      <w:r w:rsidR="00340170">
        <w:rPr>
          <w:noProof/>
          <w:lang w:val="es-MX" w:eastAsia="es-MX"/>
        </w:rPr>
        <w:drawing>
          <wp:inline distT="0" distB="0" distL="0" distR="0" wp14:anchorId="5BC51A47" wp14:editId="338E09EF">
            <wp:extent cx="5189220" cy="4267929"/>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94DA9B" w14:textId="77777777" w:rsidR="00AE5CC5" w:rsidRDefault="00AE5CC5" w:rsidP="0073772A">
      <w:pPr>
        <w:pStyle w:val="Textoindependiente"/>
        <w:spacing w:before="240" w:line="360" w:lineRule="auto"/>
      </w:pPr>
    </w:p>
    <w:tbl>
      <w:tblPr>
        <w:tblStyle w:val="Tabladelista4-nfasis3"/>
        <w:tblpPr w:leftFromText="141" w:rightFromText="141" w:vertAnchor="text" w:horzAnchor="page" w:tblpXSpec="center" w:tblpY="419"/>
        <w:tblW w:w="6658" w:type="dxa"/>
        <w:tblLook w:val="04A0" w:firstRow="1" w:lastRow="0" w:firstColumn="1" w:lastColumn="0" w:noHBand="0" w:noVBand="1"/>
      </w:tblPr>
      <w:tblGrid>
        <w:gridCol w:w="3397"/>
        <w:gridCol w:w="3261"/>
      </w:tblGrid>
      <w:tr w:rsidR="0088046E" w:rsidRPr="00FC29A1" w14:paraId="5D674CD4" w14:textId="77777777" w:rsidTr="004F20A8">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3B9358CE" w14:textId="77777777" w:rsidR="0088046E" w:rsidRPr="004F20A8" w:rsidRDefault="0088046E" w:rsidP="00E257C9">
            <w:pPr>
              <w:jc w:val="center"/>
              <w:rPr>
                <w:rFonts w:ascii="Arial" w:eastAsia="Times New Roman" w:hAnsi="Arial" w:cs="Arial"/>
                <w:b w:val="0"/>
                <w:lang w:eastAsia="es-MX"/>
              </w:rPr>
            </w:pPr>
            <w:r w:rsidRPr="004F20A8">
              <w:rPr>
                <w:rFonts w:ascii="Arial" w:eastAsia="Times New Roman" w:hAnsi="Arial" w:cs="Arial"/>
                <w:lang w:eastAsia="es-MX"/>
              </w:rPr>
              <w:t>Tipo de Auditorías</w:t>
            </w:r>
          </w:p>
        </w:tc>
        <w:tc>
          <w:tcPr>
            <w:tcW w:w="3261" w:type="dxa"/>
            <w:vAlign w:val="center"/>
            <w:hideMark/>
          </w:tcPr>
          <w:p w14:paraId="1EC2B147" w14:textId="77777777" w:rsidR="0088046E" w:rsidRPr="004F20A8" w:rsidRDefault="0088046E" w:rsidP="00E257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s-MX"/>
              </w:rPr>
            </w:pPr>
            <w:r w:rsidRPr="004F20A8">
              <w:rPr>
                <w:rFonts w:ascii="Arial" w:eastAsia="Times New Roman" w:hAnsi="Arial" w:cs="Arial"/>
                <w:lang w:eastAsia="es-MX"/>
              </w:rPr>
              <w:t>PAAVI</w:t>
            </w:r>
          </w:p>
          <w:p w14:paraId="2E17AD7C" w14:textId="77777777" w:rsidR="0088046E" w:rsidRPr="004F20A8" w:rsidRDefault="0088046E" w:rsidP="00E257C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s-MX"/>
              </w:rPr>
            </w:pPr>
            <w:r w:rsidRPr="004F20A8">
              <w:rPr>
                <w:rFonts w:ascii="Arial" w:eastAsia="Times New Roman" w:hAnsi="Arial" w:cs="Arial"/>
                <w:lang w:eastAsia="es-MX"/>
              </w:rPr>
              <w:t>Aprobado 2023</w:t>
            </w:r>
          </w:p>
        </w:tc>
      </w:tr>
      <w:tr w:rsidR="0088046E" w:rsidRPr="00FC29A1" w14:paraId="1720A86B" w14:textId="77777777" w:rsidTr="004F20A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5EFB589A" w14:textId="77777777" w:rsidR="0088046E" w:rsidRPr="004F20A8" w:rsidRDefault="0088046E" w:rsidP="004F20A8">
            <w:pPr>
              <w:rPr>
                <w:rFonts w:ascii="Arial" w:eastAsia="Times New Roman" w:hAnsi="Arial" w:cs="Arial"/>
                <w:lang w:eastAsia="es-MX"/>
              </w:rPr>
            </w:pPr>
            <w:r w:rsidRPr="004F20A8">
              <w:rPr>
                <w:rFonts w:ascii="Arial" w:eastAsia="Times New Roman" w:hAnsi="Arial" w:cs="Arial"/>
                <w:lang w:eastAsia="es-MX"/>
              </w:rPr>
              <w:t>Financiero</w:t>
            </w:r>
          </w:p>
        </w:tc>
        <w:tc>
          <w:tcPr>
            <w:tcW w:w="3261" w:type="dxa"/>
            <w:noWrap/>
            <w:vAlign w:val="center"/>
            <w:hideMark/>
          </w:tcPr>
          <w:p w14:paraId="6B82E1E3" w14:textId="77777777" w:rsidR="0088046E" w:rsidRPr="004F20A8" w:rsidRDefault="0088046E" w:rsidP="004F20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4F20A8">
              <w:rPr>
                <w:rFonts w:ascii="Arial" w:eastAsia="Times New Roman" w:hAnsi="Arial" w:cs="Arial"/>
                <w:lang w:eastAsia="es-MX"/>
              </w:rPr>
              <w:t>164</w:t>
            </w:r>
          </w:p>
        </w:tc>
      </w:tr>
      <w:tr w:rsidR="0088046E" w:rsidRPr="00FC29A1" w14:paraId="0A26DB65" w14:textId="77777777" w:rsidTr="004F20A8">
        <w:trPr>
          <w:trHeight w:val="454"/>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5AE9DA86" w14:textId="77777777" w:rsidR="0088046E" w:rsidRPr="004F20A8" w:rsidRDefault="0088046E" w:rsidP="004F20A8">
            <w:pPr>
              <w:rPr>
                <w:rFonts w:ascii="Arial" w:eastAsia="Times New Roman" w:hAnsi="Arial" w:cs="Arial"/>
                <w:lang w:eastAsia="es-MX"/>
              </w:rPr>
            </w:pPr>
            <w:r w:rsidRPr="004F20A8">
              <w:rPr>
                <w:rFonts w:ascii="Arial" w:eastAsia="Times New Roman" w:hAnsi="Arial" w:cs="Arial"/>
                <w:lang w:eastAsia="es-MX"/>
              </w:rPr>
              <w:t>Desempeño</w:t>
            </w:r>
          </w:p>
        </w:tc>
        <w:tc>
          <w:tcPr>
            <w:tcW w:w="3261" w:type="dxa"/>
            <w:noWrap/>
            <w:vAlign w:val="center"/>
            <w:hideMark/>
          </w:tcPr>
          <w:p w14:paraId="587135B9" w14:textId="77777777" w:rsidR="0088046E" w:rsidRPr="004F20A8" w:rsidRDefault="0088046E" w:rsidP="004F20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4F20A8">
              <w:rPr>
                <w:rFonts w:ascii="Arial" w:eastAsia="Times New Roman" w:hAnsi="Arial" w:cs="Arial"/>
                <w:lang w:eastAsia="es-MX"/>
              </w:rPr>
              <w:t>39</w:t>
            </w:r>
          </w:p>
        </w:tc>
      </w:tr>
      <w:tr w:rsidR="0088046E" w:rsidRPr="00FC29A1" w14:paraId="77B373B4" w14:textId="77777777" w:rsidTr="004F20A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0FBB555C" w14:textId="77777777" w:rsidR="0088046E" w:rsidRPr="004F20A8" w:rsidRDefault="0088046E" w:rsidP="004F20A8">
            <w:pPr>
              <w:rPr>
                <w:rFonts w:ascii="Arial" w:eastAsia="Times New Roman" w:hAnsi="Arial" w:cs="Arial"/>
                <w:lang w:eastAsia="es-MX"/>
              </w:rPr>
            </w:pPr>
            <w:r w:rsidRPr="004F20A8">
              <w:rPr>
                <w:rFonts w:ascii="Arial" w:eastAsia="Times New Roman" w:hAnsi="Arial" w:cs="Arial"/>
                <w:lang w:eastAsia="es-MX"/>
              </w:rPr>
              <w:t>Obra Pública</w:t>
            </w:r>
          </w:p>
        </w:tc>
        <w:tc>
          <w:tcPr>
            <w:tcW w:w="3261" w:type="dxa"/>
            <w:noWrap/>
            <w:vAlign w:val="center"/>
            <w:hideMark/>
          </w:tcPr>
          <w:p w14:paraId="20C66F95" w14:textId="77777777" w:rsidR="0088046E" w:rsidRPr="004F20A8" w:rsidRDefault="0088046E" w:rsidP="004F20A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4F20A8">
              <w:rPr>
                <w:rFonts w:ascii="Arial" w:eastAsia="Times New Roman" w:hAnsi="Arial" w:cs="Arial"/>
                <w:lang w:eastAsia="es-MX"/>
              </w:rPr>
              <w:t>44</w:t>
            </w:r>
          </w:p>
        </w:tc>
      </w:tr>
      <w:tr w:rsidR="0088046E" w:rsidRPr="00FC29A1" w14:paraId="0E17EC6E" w14:textId="77777777" w:rsidTr="004F20A8">
        <w:trPr>
          <w:trHeight w:val="454"/>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3A6AB2A8" w14:textId="77777777" w:rsidR="0088046E" w:rsidRPr="004F20A8" w:rsidRDefault="0088046E" w:rsidP="004F20A8">
            <w:pPr>
              <w:rPr>
                <w:rFonts w:ascii="Arial" w:eastAsia="Times New Roman" w:hAnsi="Arial" w:cs="Arial"/>
                <w:lang w:eastAsia="es-MX"/>
              </w:rPr>
            </w:pPr>
            <w:r w:rsidRPr="004F20A8">
              <w:rPr>
                <w:rFonts w:ascii="Arial" w:eastAsia="Times New Roman" w:hAnsi="Arial" w:cs="Arial"/>
                <w:lang w:eastAsia="es-MX"/>
              </w:rPr>
              <w:t>Totales</w:t>
            </w:r>
          </w:p>
        </w:tc>
        <w:tc>
          <w:tcPr>
            <w:tcW w:w="3261" w:type="dxa"/>
            <w:noWrap/>
            <w:vAlign w:val="center"/>
            <w:hideMark/>
          </w:tcPr>
          <w:p w14:paraId="2A54B106" w14:textId="77777777" w:rsidR="0088046E" w:rsidRPr="00034451" w:rsidRDefault="0088046E" w:rsidP="004F20A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lang w:eastAsia="es-MX"/>
              </w:rPr>
            </w:pPr>
            <w:r w:rsidRPr="00034451">
              <w:rPr>
                <w:rFonts w:ascii="Arial" w:eastAsia="Times New Roman" w:hAnsi="Arial" w:cs="Arial"/>
                <w:b/>
                <w:lang w:eastAsia="es-MX"/>
              </w:rPr>
              <w:t>247</w:t>
            </w:r>
          </w:p>
        </w:tc>
      </w:tr>
      <w:tr w:rsidR="0088046E" w:rsidRPr="00FC29A1" w14:paraId="43441C7F" w14:textId="77777777" w:rsidTr="00F020A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658" w:type="dxa"/>
            <w:gridSpan w:val="2"/>
            <w:shd w:val="clear" w:color="auto" w:fill="auto"/>
            <w:noWrap/>
            <w:vAlign w:val="center"/>
          </w:tcPr>
          <w:p w14:paraId="46D5E2BF" w14:textId="77777777" w:rsidR="00F24C0C" w:rsidRPr="00F24C0C" w:rsidRDefault="00F24C0C" w:rsidP="004F20A8">
            <w:pPr>
              <w:pStyle w:val="Textoindependiente"/>
              <w:jc w:val="center"/>
              <w:rPr>
                <w:i/>
                <w:noProof/>
                <w:color w:val="000000" w:themeColor="text1"/>
                <w:sz w:val="18"/>
                <w:szCs w:val="6"/>
                <w:lang w:eastAsia="es-MX"/>
              </w:rPr>
            </w:pPr>
            <w:r w:rsidRPr="00F24C0C">
              <w:rPr>
                <w:i/>
                <w:noProof/>
                <w:color w:val="000000" w:themeColor="text1"/>
                <w:sz w:val="18"/>
                <w:szCs w:val="22"/>
                <w:lang w:eastAsia="es-MX"/>
              </w:rPr>
              <w:t>Tabla N° 3</w:t>
            </w:r>
            <w:r w:rsidR="0088046E" w:rsidRPr="00F24C0C">
              <w:rPr>
                <w:i/>
                <w:noProof/>
                <w:color w:val="000000" w:themeColor="text1"/>
                <w:sz w:val="18"/>
                <w:szCs w:val="22"/>
                <w:lang w:eastAsia="es-MX"/>
              </w:rPr>
              <w:t xml:space="preserve">  </w:t>
            </w:r>
          </w:p>
          <w:p w14:paraId="1668885D" w14:textId="77777777" w:rsidR="0088046E" w:rsidRPr="00F24C0C" w:rsidRDefault="0088046E" w:rsidP="004F20A8">
            <w:pPr>
              <w:pStyle w:val="Textoindependiente"/>
              <w:jc w:val="center"/>
              <w:rPr>
                <w:bCs w:val="0"/>
                <w:noProof/>
                <w:color w:val="000000" w:themeColor="text1"/>
                <w:sz w:val="18"/>
                <w:szCs w:val="22"/>
                <w:lang w:eastAsia="es-MX"/>
              </w:rPr>
            </w:pPr>
            <w:r w:rsidRPr="00F24C0C">
              <w:rPr>
                <w:i/>
                <w:noProof/>
                <w:color w:val="000000" w:themeColor="text1"/>
                <w:sz w:val="18"/>
                <w:szCs w:val="22"/>
                <w:lang w:eastAsia="es-MX"/>
              </w:rPr>
              <w:t xml:space="preserve">Fuente: </w:t>
            </w:r>
            <w:r w:rsidRPr="00F24C0C">
              <w:rPr>
                <w:b w:val="0"/>
                <w:i/>
                <w:noProof/>
                <w:color w:val="000000" w:themeColor="text1"/>
                <w:sz w:val="18"/>
                <w:szCs w:val="22"/>
                <w:lang w:eastAsia="es-MX"/>
              </w:rPr>
              <w:t>Programa Anual de Auditorías, Visitas e Inspecciones 2023 publicado en la página web de la ASEQROO</w:t>
            </w:r>
          </w:p>
        </w:tc>
      </w:tr>
    </w:tbl>
    <w:p w14:paraId="2705FD45" w14:textId="77777777" w:rsidR="00054C3B" w:rsidRDefault="00054C3B" w:rsidP="00E257C9">
      <w:pPr>
        <w:spacing w:before="240" w:after="0" w:line="276" w:lineRule="auto"/>
        <w:jc w:val="both"/>
        <w:rPr>
          <w:rFonts w:ascii="Arial" w:hAnsi="Arial" w:cs="Arial"/>
          <w:sz w:val="24"/>
          <w:szCs w:val="24"/>
        </w:rPr>
      </w:pPr>
    </w:p>
    <w:p w14:paraId="2BD1FE55" w14:textId="77777777" w:rsidR="0073772A" w:rsidRPr="00E257C9" w:rsidRDefault="0073772A" w:rsidP="00E257C9">
      <w:pPr>
        <w:spacing w:before="240" w:after="0" w:line="276" w:lineRule="auto"/>
        <w:jc w:val="both"/>
        <w:rPr>
          <w:rFonts w:ascii="Arial" w:hAnsi="Arial" w:cs="Arial"/>
          <w:sz w:val="24"/>
          <w:szCs w:val="24"/>
        </w:rPr>
      </w:pPr>
    </w:p>
    <w:p w14:paraId="3216DA8C" w14:textId="77777777" w:rsidR="00054C3B" w:rsidRDefault="00054C3B" w:rsidP="005400EE">
      <w:pPr>
        <w:pStyle w:val="Prrafodelista"/>
        <w:spacing w:before="240" w:after="0" w:line="276" w:lineRule="auto"/>
        <w:jc w:val="both"/>
        <w:rPr>
          <w:rFonts w:ascii="Arial" w:hAnsi="Arial" w:cs="Arial"/>
          <w:sz w:val="24"/>
          <w:szCs w:val="24"/>
        </w:rPr>
      </w:pPr>
    </w:p>
    <w:p w14:paraId="31CAF444" w14:textId="77777777" w:rsidR="007E099D" w:rsidRDefault="007E099D" w:rsidP="005400EE">
      <w:pPr>
        <w:pStyle w:val="Prrafodelista"/>
        <w:spacing w:before="240" w:after="0" w:line="276" w:lineRule="auto"/>
        <w:jc w:val="both"/>
        <w:rPr>
          <w:rFonts w:ascii="Arial" w:hAnsi="Arial" w:cs="Arial"/>
          <w:sz w:val="24"/>
          <w:szCs w:val="24"/>
        </w:rPr>
      </w:pPr>
    </w:p>
    <w:p w14:paraId="5209B283" w14:textId="77777777" w:rsidR="007E099D" w:rsidRDefault="007E099D" w:rsidP="005400EE">
      <w:pPr>
        <w:pStyle w:val="Prrafodelista"/>
        <w:spacing w:before="240" w:after="0" w:line="276" w:lineRule="auto"/>
        <w:jc w:val="both"/>
        <w:rPr>
          <w:rFonts w:ascii="Arial" w:hAnsi="Arial" w:cs="Arial"/>
          <w:sz w:val="24"/>
          <w:szCs w:val="24"/>
        </w:rPr>
      </w:pPr>
    </w:p>
    <w:p w14:paraId="59123550" w14:textId="77777777" w:rsidR="007E099D" w:rsidRDefault="007E099D" w:rsidP="005400EE">
      <w:pPr>
        <w:pStyle w:val="Prrafodelista"/>
        <w:spacing w:before="240" w:after="0" w:line="276" w:lineRule="auto"/>
        <w:jc w:val="both"/>
        <w:rPr>
          <w:rFonts w:ascii="Arial" w:hAnsi="Arial" w:cs="Arial"/>
          <w:sz w:val="24"/>
          <w:szCs w:val="24"/>
        </w:rPr>
      </w:pPr>
    </w:p>
    <w:p w14:paraId="2A942338" w14:textId="77777777" w:rsidR="007E099D" w:rsidRDefault="007E099D" w:rsidP="005400EE">
      <w:pPr>
        <w:pStyle w:val="Prrafodelista"/>
        <w:spacing w:before="240" w:after="0" w:line="276" w:lineRule="auto"/>
        <w:jc w:val="both"/>
        <w:rPr>
          <w:rFonts w:ascii="Arial" w:hAnsi="Arial" w:cs="Arial"/>
          <w:sz w:val="24"/>
          <w:szCs w:val="24"/>
        </w:rPr>
      </w:pPr>
    </w:p>
    <w:p w14:paraId="1017D711" w14:textId="77777777" w:rsidR="007E099D" w:rsidRDefault="007E099D" w:rsidP="005400EE">
      <w:pPr>
        <w:pStyle w:val="Prrafodelista"/>
        <w:spacing w:before="240" w:after="0" w:line="276" w:lineRule="auto"/>
        <w:jc w:val="both"/>
        <w:rPr>
          <w:rFonts w:ascii="Arial" w:hAnsi="Arial" w:cs="Arial"/>
          <w:sz w:val="24"/>
          <w:szCs w:val="24"/>
        </w:rPr>
      </w:pPr>
    </w:p>
    <w:p w14:paraId="7DA251BB" w14:textId="77777777" w:rsidR="007E099D" w:rsidRDefault="007E099D" w:rsidP="005400EE">
      <w:pPr>
        <w:pStyle w:val="Prrafodelista"/>
        <w:spacing w:before="240" w:after="0" w:line="276" w:lineRule="auto"/>
        <w:jc w:val="both"/>
        <w:rPr>
          <w:rFonts w:ascii="Arial" w:hAnsi="Arial" w:cs="Arial"/>
          <w:sz w:val="24"/>
          <w:szCs w:val="24"/>
        </w:rPr>
      </w:pPr>
    </w:p>
    <w:p w14:paraId="572679BA" w14:textId="77777777" w:rsidR="007E099D" w:rsidRDefault="007E099D" w:rsidP="005400EE">
      <w:pPr>
        <w:pStyle w:val="Prrafodelista"/>
        <w:spacing w:before="240" w:after="0" w:line="276" w:lineRule="auto"/>
        <w:jc w:val="both"/>
        <w:rPr>
          <w:rFonts w:ascii="Arial" w:hAnsi="Arial" w:cs="Arial"/>
          <w:sz w:val="24"/>
          <w:szCs w:val="24"/>
        </w:rPr>
      </w:pPr>
    </w:p>
    <w:p w14:paraId="7A18CC14" w14:textId="77777777" w:rsidR="007E099D" w:rsidRDefault="007E099D" w:rsidP="005400EE">
      <w:pPr>
        <w:pStyle w:val="Prrafodelista"/>
        <w:spacing w:before="240" w:after="0" w:line="276" w:lineRule="auto"/>
        <w:jc w:val="both"/>
        <w:rPr>
          <w:rFonts w:ascii="Arial" w:hAnsi="Arial" w:cs="Arial"/>
          <w:sz w:val="24"/>
          <w:szCs w:val="24"/>
        </w:rPr>
      </w:pPr>
    </w:p>
    <w:p w14:paraId="245A109B" w14:textId="77777777" w:rsidR="004A346D" w:rsidRDefault="004A346D" w:rsidP="0073772A">
      <w:pPr>
        <w:spacing w:before="240" w:after="0" w:line="276" w:lineRule="auto"/>
        <w:rPr>
          <w:rFonts w:ascii="Arial" w:hAnsi="Arial" w:cs="Arial"/>
          <w:sz w:val="24"/>
          <w:szCs w:val="24"/>
        </w:rPr>
      </w:pPr>
    </w:p>
    <w:p w14:paraId="2E3BCF2B" w14:textId="77777777" w:rsidR="00FD4225" w:rsidRPr="007E099D" w:rsidRDefault="00FD4225" w:rsidP="00683FD0">
      <w:pPr>
        <w:pStyle w:val="Prrafodelista"/>
        <w:numPr>
          <w:ilvl w:val="0"/>
          <w:numId w:val="17"/>
        </w:numPr>
        <w:spacing w:before="240" w:after="0" w:line="276" w:lineRule="auto"/>
        <w:jc w:val="both"/>
        <w:outlineLvl w:val="2"/>
        <w:rPr>
          <w:rFonts w:ascii="Arial" w:hAnsi="Arial" w:cs="Arial"/>
          <w:b/>
          <w:sz w:val="24"/>
          <w:szCs w:val="24"/>
        </w:rPr>
      </w:pPr>
      <w:bookmarkStart w:id="14" w:name="_Toc158567475"/>
      <w:r w:rsidRPr="007E099D">
        <w:rPr>
          <w:rFonts w:ascii="Arial" w:hAnsi="Arial" w:cs="Arial"/>
          <w:b/>
          <w:sz w:val="24"/>
          <w:szCs w:val="24"/>
        </w:rPr>
        <w:lastRenderedPageBreak/>
        <w:t>Muestra Fiscalizada</w:t>
      </w:r>
      <w:bookmarkEnd w:id="14"/>
      <w:r w:rsidRPr="007E099D">
        <w:rPr>
          <w:rFonts w:ascii="Arial" w:hAnsi="Arial" w:cs="Arial"/>
          <w:b/>
          <w:sz w:val="24"/>
          <w:szCs w:val="24"/>
        </w:rPr>
        <w:t xml:space="preserve"> </w:t>
      </w:r>
    </w:p>
    <w:p w14:paraId="47877BB0" w14:textId="77777777" w:rsidR="00BC59AA" w:rsidRDefault="00BC59AA" w:rsidP="00D64E9E">
      <w:pPr>
        <w:jc w:val="center"/>
        <w:rPr>
          <w:rFonts w:ascii="Arial" w:hAnsi="Arial" w:cs="Arial"/>
          <w:b/>
          <w:sz w:val="24"/>
          <w:szCs w:val="24"/>
        </w:rPr>
      </w:pPr>
    </w:p>
    <w:p w14:paraId="33A0EB53" w14:textId="77777777" w:rsidR="00D64E9E" w:rsidRPr="005955F3" w:rsidRDefault="00D64E9E" w:rsidP="00D64E9E">
      <w:pPr>
        <w:jc w:val="center"/>
        <w:rPr>
          <w:b/>
          <w:sz w:val="24"/>
          <w:szCs w:val="24"/>
        </w:rPr>
      </w:pPr>
      <w:r w:rsidRPr="0058369D">
        <w:rPr>
          <w:rFonts w:ascii="Arial" w:hAnsi="Arial" w:cs="Arial"/>
          <w:b/>
          <w:sz w:val="24"/>
          <w:szCs w:val="24"/>
        </w:rPr>
        <w:t>Cuenta Pública 20</w:t>
      </w:r>
      <w:r>
        <w:rPr>
          <w:rFonts w:ascii="Arial" w:hAnsi="Arial" w:cs="Arial"/>
          <w:b/>
          <w:sz w:val="24"/>
          <w:szCs w:val="24"/>
        </w:rPr>
        <w:t>22</w:t>
      </w:r>
    </w:p>
    <w:tbl>
      <w:tblPr>
        <w:tblStyle w:val="TableNormal"/>
        <w:tblW w:w="9219" w:type="dxa"/>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2981"/>
        <w:gridCol w:w="2124"/>
        <w:gridCol w:w="1985"/>
        <w:gridCol w:w="2129"/>
      </w:tblGrid>
      <w:tr w:rsidR="00D64E9E" w:rsidRPr="00555F9E" w14:paraId="5FD94C67" w14:textId="77777777" w:rsidTr="00156241">
        <w:trPr>
          <w:trHeight w:val="450"/>
          <w:jc w:val="center"/>
        </w:trPr>
        <w:tc>
          <w:tcPr>
            <w:tcW w:w="9219" w:type="dxa"/>
            <w:gridSpan w:val="4"/>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A5A5A5" w:themeFill="accent3"/>
          </w:tcPr>
          <w:p w14:paraId="3F70A791" w14:textId="77777777" w:rsidR="00D64E9E" w:rsidRPr="00276E6F" w:rsidRDefault="00D64E9E" w:rsidP="00156241">
            <w:pPr>
              <w:pStyle w:val="TableParagraph"/>
              <w:spacing w:before="122"/>
              <w:ind w:left="3216" w:right="3211"/>
              <w:jc w:val="center"/>
              <w:rPr>
                <w:b/>
                <w:sz w:val="18"/>
              </w:rPr>
            </w:pPr>
            <w:r w:rsidRPr="00276E6F">
              <w:rPr>
                <w:b/>
                <w:sz w:val="18"/>
              </w:rPr>
              <w:t>INGRESOS FISCALIZADOS</w:t>
            </w:r>
          </w:p>
        </w:tc>
      </w:tr>
      <w:tr w:rsidR="00D64E9E" w:rsidRPr="00555F9E" w14:paraId="788DA61D" w14:textId="77777777" w:rsidTr="00156241">
        <w:trPr>
          <w:trHeight w:val="454"/>
          <w:jc w:val="center"/>
        </w:trPr>
        <w:tc>
          <w:tcPr>
            <w:tcW w:w="2981"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A5A5A5" w:themeFill="accent3"/>
          </w:tcPr>
          <w:p w14:paraId="2E54E662" w14:textId="77777777" w:rsidR="00D64E9E" w:rsidRPr="00475CA1" w:rsidRDefault="00D64E9E" w:rsidP="00156241">
            <w:pPr>
              <w:pStyle w:val="TableParagraph"/>
              <w:spacing w:before="122"/>
              <w:ind w:left="975"/>
              <w:rPr>
                <w:b/>
                <w:color w:val="FFFFFF" w:themeColor="background1"/>
                <w:sz w:val="18"/>
              </w:rPr>
            </w:pPr>
            <w:r w:rsidRPr="00276E6F">
              <w:rPr>
                <w:b/>
                <w:sz w:val="18"/>
              </w:rPr>
              <w:t>CONCEPTO</w:t>
            </w:r>
          </w:p>
        </w:tc>
        <w:tc>
          <w:tcPr>
            <w:tcW w:w="2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tcPr>
          <w:p w14:paraId="0A1704B6" w14:textId="77777777" w:rsidR="00D64E9E" w:rsidRPr="00276E6F" w:rsidRDefault="00D64E9E" w:rsidP="00156241">
            <w:pPr>
              <w:pStyle w:val="TableParagraph"/>
              <w:spacing w:before="4" w:line="237" w:lineRule="auto"/>
              <w:ind w:left="603" w:right="495" w:hanging="84"/>
              <w:rPr>
                <w:b/>
                <w:sz w:val="18"/>
              </w:rPr>
            </w:pPr>
            <w:r w:rsidRPr="00276E6F">
              <w:rPr>
                <w:b/>
                <w:sz w:val="18"/>
              </w:rPr>
              <w:t>POBLACIÓN OBJETIVO</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tcPr>
          <w:p w14:paraId="301C7C0E" w14:textId="77777777" w:rsidR="00D64E9E" w:rsidRPr="00276E6F" w:rsidRDefault="00D64E9E" w:rsidP="00156241">
            <w:pPr>
              <w:pStyle w:val="TableParagraph"/>
              <w:spacing w:before="4" w:line="237" w:lineRule="auto"/>
              <w:ind w:left="524" w:right="491" w:firstLine="23"/>
              <w:rPr>
                <w:b/>
                <w:sz w:val="18"/>
              </w:rPr>
            </w:pPr>
            <w:r w:rsidRPr="00276E6F">
              <w:rPr>
                <w:b/>
                <w:sz w:val="18"/>
              </w:rPr>
              <w:t>MUESTRA AUDITADA</w:t>
            </w:r>
          </w:p>
        </w:tc>
        <w:tc>
          <w:tcPr>
            <w:tcW w:w="2129"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5A5A5" w:themeFill="accent3"/>
          </w:tcPr>
          <w:p w14:paraId="4FCFF8EE" w14:textId="77777777" w:rsidR="00D64E9E" w:rsidRPr="00276E6F" w:rsidRDefault="00D64E9E" w:rsidP="00156241">
            <w:pPr>
              <w:pStyle w:val="TableParagraph"/>
              <w:spacing w:before="4" w:line="237" w:lineRule="auto"/>
              <w:ind w:left="323" w:right="61" w:hanging="236"/>
              <w:rPr>
                <w:b/>
                <w:sz w:val="18"/>
              </w:rPr>
            </w:pPr>
            <w:r w:rsidRPr="00276E6F">
              <w:rPr>
                <w:b/>
                <w:sz w:val="18"/>
              </w:rPr>
              <w:t>REPRESENTATIVIDAD DE LA MUESTRA</w:t>
            </w:r>
          </w:p>
        </w:tc>
      </w:tr>
      <w:tr w:rsidR="00D64E9E" w:rsidRPr="00555F9E" w14:paraId="3E7B2B21" w14:textId="77777777" w:rsidTr="00156241">
        <w:trPr>
          <w:trHeight w:val="454"/>
          <w:jc w:val="center"/>
        </w:trPr>
        <w:tc>
          <w:tcPr>
            <w:tcW w:w="2981" w:type="dxa"/>
            <w:tcBorders>
              <w:top w:val="single" w:sz="4" w:space="0" w:color="FFFFFF" w:themeColor="background1"/>
            </w:tcBorders>
            <w:vAlign w:val="center"/>
          </w:tcPr>
          <w:p w14:paraId="6D2A96B3" w14:textId="77777777" w:rsidR="00D64E9E" w:rsidRPr="00475CA1" w:rsidRDefault="00D64E9E" w:rsidP="00156241">
            <w:pPr>
              <w:pStyle w:val="TableParagraph"/>
              <w:spacing w:before="58"/>
              <w:ind w:left="70"/>
              <w:rPr>
                <w:b/>
                <w:sz w:val="18"/>
              </w:rPr>
            </w:pPr>
            <w:r w:rsidRPr="00475CA1">
              <w:rPr>
                <w:b/>
                <w:sz w:val="18"/>
              </w:rPr>
              <w:t>PODERES DEL ESTADO</w:t>
            </w:r>
          </w:p>
        </w:tc>
        <w:tc>
          <w:tcPr>
            <w:tcW w:w="2124" w:type="dxa"/>
            <w:tcBorders>
              <w:top w:val="single" w:sz="4" w:space="0" w:color="FFFFFF" w:themeColor="background1"/>
            </w:tcBorders>
          </w:tcPr>
          <w:p w14:paraId="15E44E16"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$22,108,944,225.04 </w:t>
            </w:r>
          </w:p>
        </w:tc>
        <w:tc>
          <w:tcPr>
            <w:tcW w:w="1985" w:type="dxa"/>
            <w:tcBorders>
              <w:top w:val="single" w:sz="4" w:space="0" w:color="FFFFFF" w:themeColor="background1"/>
            </w:tcBorders>
          </w:tcPr>
          <w:p w14:paraId="72945B9C"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$13,521,566,248.44 </w:t>
            </w:r>
          </w:p>
        </w:tc>
        <w:tc>
          <w:tcPr>
            <w:tcW w:w="2129" w:type="dxa"/>
            <w:tcBorders>
              <w:top w:val="single" w:sz="4" w:space="0" w:color="FFFFFF" w:themeColor="background1"/>
            </w:tcBorders>
          </w:tcPr>
          <w:p w14:paraId="408B63A9" w14:textId="77777777" w:rsidR="00D64E9E" w:rsidRPr="00340170" w:rsidRDefault="00D64E9E" w:rsidP="00156241">
            <w:pPr>
              <w:pStyle w:val="TableParagraph"/>
              <w:spacing w:before="113"/>
              <w:ind w:right="59"/>
              <w:jc w:val="right"/>
              <w:rPr>
                <w:sz w:val="20"/>
                <w:szCs w:val="18"/>
              </w:rPr>
            </w:pPr>
            <w:r w:rsidRPr="00340170">
              <w:rPr>
                <w:sz w:val="20"/>
                <w:szCs w:val="18"/>
              </w:rPr>
              <w:t>61.16%</w:t>
            </w:r>
          </w:p>
        </w:tc>
      </w:tr>
      <w:tr w:rsidR="00D64E9E" w:rsidRPr="00555F9E" w14:paraId="05809BF3" w14:textId="77777777" w:rsidTr="00156241">
        <w:trPr>
          <w:trHeight w:val="454"/>
          <w:jc w:val="center"/>
        </w:trPr>
        <w:tc>
          <w:tcPr>
            <w:tcW w:w="2981" w:type="dxa"/>
            <w:vAlign w:val="center"/>
          </w:tcPr>
          <w:p w14:paraId="16325793" w14:textId="77777777" w:rsidR="00D64E9E" w:rsidRPr="00475CA1" w:rsidRDefault="00D64E9E" w:rsidP="00156241">
            <w:pPr>
              <w:pStyle w:val="TableParagraph"/>
              <w:spacing w:before="8" w:line="204" w:lineRule="exact"/>
              <w:ind w:left="70" w:right="500"/>
              <w:rPr>
                <w:b/>
                <w:sz w:val="18"/>
              </w:rPr>
            </w:pPr>
            <w:r w:rsidRPr="00475CA1">
              <w:rPr>
                <w:b/>
                <w:sz w:val="18"/>
              </w:rPr>
              <w:t>ADMINISTRACIÓN PÚBLICA MUNICIPAL</w:t>
            </w:r>
          </w:p>
        </w:tc>
        <w:tc>
          <w:tcPr>
            <w:tcW w:w="2124" w:type="dxa"/>
          </w:tcPr>
          <w:p w14:paraId="245659ED"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$10,978,012,510.53 </w:t>
            </w:r>
          </w:p>
        </w:tc>
        <w:tc>
          <w:tcPr>
            <w:tcW w:w="1985" w:type="dxa"/>
          </w:tcPr>
          <w:p w14:paraId="1FC4A36E"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$8,438,376,007.58 </w:t>
            </w:r>
          </w:p>
        </w:tc>
        <w:tc>
          <w:tcPr>
            <w:tcW w:w="2129" w:type="dxa"/>
          </w:tcPr>
          <w:p w14:paraId="55BE6DA1" w14:textId="77777777" w:rsidR="00D64E9E" w:rsidRPr="00340170" w:rsidRDefault="00D64E9E" w:rsidP="00156241">
            <w:pPr>
              <w:pStyle w:val="TableParagraph"/>
              <w:spacing w:before="113"/>
              <w:ind w:right="59"/>
              <w:jc w:val="right"/>
              <w:rPr>
                <w:sz w:val="20"/>
                <w:szCs w:val="18"/>
              </w:rPr>
            </w:pPr>
            <w:r w:rsidRPr="00340170">
              <w:rPr>
                <w:sz w:val="20"/>
                <w:szCs w:val="18"/>
              </w:rPr>
              <w:t>76.87%</w:t>
            </w:r>
          </w:p>
        </w:tc>
      </w:tr>
      <w:tr w:rsidR="00D64E9E" w:rsidRPr="00555F9E" w14:paraId="5E9E1802" w14:textId="77777777" w:rsidTr="00156241">
        <w:trPr>
          <w:trHeight w:val="454"/>
          <w:jc w:val="center"/>
        </w:trPr>
        <w:tc>
          <w:tcPr>
            <w:tcW w:w="2981" w:type="dxa"/>
            <w:vAlign w:val="center"/>
          </w:tcPr>
          <w:p w14:paraId="31EB6051" w14:textId="77777777" w:rsidR="00D64E9E" w:rsidRPr="00475CA1" w:rsidRDefault="00D64E9E" w:rsidP="00156241">
            <w:pPr>
              <w:pStyle w:val="TableParagraph"/>
              <w:spacing w:before="5" w:line="204" w:lineRule="exact"/>
              <w:ind w:left="70" w:right="500"/>
              <w:rPr>
                <w:b/>
                <w:sz w:val="18"/>
              </w:rPr>
            </w:pPr>
            <w:r w:rsidRPr="00475CA1">
              <w:rPr>
                <w:b/>
                <w:sz w:val="18"/>
              </w:rPr>
              <w:t>ADMINISTRACIÓN PÚBLICA PARAESTATAL</w:t>
            </w:r>
          </w:p>
        </w:tc>
        <w:tc>
          <w:tcPr>
            <w:tcW w:w="2124" w:type="dxa"/>
          </w:tcPr>
          <w:p w14:paraId="2DDACF41"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$10,034,929,552.88 </w:t>
            </w:r>
          </w:p>
        </w:tc>
        <w:tc>
          <w:tcPr>
            <w:tcW w:w="1985" w:type="dxa"/>
          </w:tcPr>
          <w:p w14:paraId="3E4DC38F"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$7,404,280,793.43 </w:t>
            </w:r>
          </w:p>
        </w:tc>
        <w:tc>
          <w:tcPr>
            <w:tcW w:w="2129" w:type="dxa"/>
          </w:tcPr>
          <w:p w14:paraId="485421B6" w14:textId="77777777" w:rsidR="00D64E9E" w:rsidRPr="00340170" w:rsidRDefault="00D64E9E" w:rsidP="00156241">
            <w:pPr>
              <w:pStyle w:val="TableParagraph"/>
              <w:spacing w:before="113"/>
              <w:ind w:right="59"/>
              <w:jc w:val="right"/>
              <w:rPr>
                <w:sz w:val="20"/>
                <w:szCs w:val="18"/>
              </w:rPr>
            </w:pPr>
            <w:r w:rsidRPr="00340170">
              <w:rPr>
                <w:sz w:val="20"/>
                <w:szCs w:val="18"/>
              </w:rPr>
              <w:t>73.79%</w:t>
            </w:r>
          </w:p>
        </w:tc>
      </w:tr>
      <w:tr w:rsidR="00D64E9E" w:rsidRPr="00555F9E" w14:paraId="3A6FD9E3" w14:textId="77777777" w:rsidTr="00156241">
        <w:trPr>
          <w:trHeight w:val="454"/>
          <w:jc w:val="center"/>
        </w:trPr>
        <w:tc>
          <w:tcPr>
            <w:tcW w:w="2981" w:type="dxa"/>
            <w:vAlign w:val="center"/>
          </w:tcPr>
          <w:p w14:paraId="720BFD35" w14:textId="77777777" w:rsidR="00D64E9E" w:rsidRPr="00475CA1" w:rsidRDefault="00D64E9E" w:rsidP="00156241">
            <w:pPr>
              <w:pStyle w:val="TableParagraph"/>
              <w:spacing w:before="57"/>
              <w:ind w:left="70"/>
              <w:rPr>
                <w:b/>
                <w:sz w:val="18"/>
              </w:rPr>
            </w:pPr>
            <w:r w:rsidRPr="00475CA1">
              <w:rPr>
                <w:b/>
                <w:sz w:val="18"/>
              </w:rPr>
              <w:t>ORGANISMOS AUTÓNOMOS</w:t>
            </w:r>
          </w:p>
        </w:tc>
        <w:tc>
          <w:tcPr>
            <w:tcW w:w="2124" w:type="dxa"/>
          </w:tcPr>
          <w:p w14:paraId="50FDDD74"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$961,931,872.31 </w:t>
            </w:r>
          </w:p>
        </w:tc>
        <w:tc>
          <w:tcPr>
            <w:tcW w:w="1985" w:type="dxa"/>
          </w:tcPr>
          <w:p w14:paraId="36258714"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$677,993,530.06 </w:t>
            </w:r>
          </w:p>
        </w:tc>
        <w:tc>
          <w:tcPr>
            <w:tcW w:w="2129" w:type="dxa"/>
          </w:tcPr>
          <w:p w14:paraId="58BBDF3C" w14:textId="77777777" w:rsidR="00D64E9E" w:rsidRPr="00340170" w:rsidRDefault="00D64E9E" w:rsidP="00156241">
            <w:pPr>
              <w:pStyle w:val="TableParagraph"/>
              <w:spacing w:before="113"/>
              <w:ind w:right="59"/>
              <w:jc w:val="right"/>
              <w:rPr>
                <w:sz w:val="20"/>
                <w:szCs w:val="18"/>
              </w:rPr>
            </w:pPr>
            <w:r w:rsidRPr="00340170">
              <w:rPr>
                <w:sz w:val="20"/>
                <w:szCs w:val="18"/>
              </w:rPr>
              <w:t>70.48%</w:t>
            </w:r>
          </w:p>
        </w:tc>
      </w:tr>
      <w:tr w:rsidR="00D64E9E" w:rsidRPr="00555F9E" w14:paraId="718FA0D2" w14:textId="77777777" w:rsidTr="00156241">
        <w:trPr>
          <w:trHeight w:val="414"/>
          <w:jc w:val="center"/>
        </w:trPr>
        <w:tc>
          <w:tcPr>
            <w:tcW w:w="2981" w:type="dxa"/>
            <w:tcBorders>
              <w:bottom w:val="single" w:sz="4" w:space="0" w:color="BFBFBF" w:themeColor="background1" w:themeShade="BF"/>
              <w:right w:val="single" w:sz="4" w:space="0" w:color="FFFFFF" w:themeColor="background1"/>
            </w:tcBorders>
            <w:shd w:val="clear" w:color="auto" w:fill="A5A5A5" w:themeFill="accent3"/>
            <w:vAlign w:val="center"/>
          </w:tcPr>
          <w:p w14:paraId="7006B22D" w14:textId="77777777" w:rsidR="00D64E9E" w:rsidRPr="00276E6F" w:rsidRDefault="00D64E9E" w:rsidP="00156241">
            <w:pPr>
              <w:pStyle w:val="TableParagraph"/>
              <w:spacing w:line="205" w:lineRule="exact"/>
              <w:ind w:right="62"/>
              <w:jc w:val="right"/>
              <w:rPr>
                <w:b/>
                <w:sz w:val="18"/>
              </w:rPr>
            </w:pPr>
            <w:r w:rsidRPr="00276E6F">
              <w:rPr>
                <w:b/>
                <w:sz w:val="18"/>
              </w:rPr>
              <w:t>TOTAL DE</w:t>
            </w:r>
            <w:r w:rsidRPr="00276E6F">
              <w:rPr>
                <w:b/>
                <w:spacing w:val="-5"/>
                <w:sz w:val="18"/>
              </w:rPr>
              <w:t xml:space="preserve"> </w:t>
            </w:r>
            <w:r w:rsidRPr="00276E6F">
              <w:rPr>
                <w:b/>
                <w:sz w:val="18"/>
              </w:rPr>
              <w:t>INGRESOS</w:t>
            </w:r>
          </w:p>
          <w:p w14:paraId="4BEE6AF3" w14:textId="77777777" w:rsidR="00D64E9E" w:rsidRPr="00475CA1" w:rsidRDefault="00D64E9E" w:rsidP="00156241">
            <w:pPr>
              <w:pStyle w:val="TableParagraph"/>
              <w:spacing w:before="1" w:line="188" w:lineRule="exact"/>
              <w:ind w:right="58"/>
              <w:jc w:val="right"/>
              <w:rPr>
                <w:b/>
                <w:color w:val="FFFFFF" w:themeColor="background1"/>
                <w:sz w:val="18"/>
              </w:rPr>
            </w:pPr>
            <w:r w:rsidRPr="00276E6F">
              <w:rPr>
                <w:b/>
                <w:spacing w:val="-1"/>
                <w:sz w:val="18"/>
              </w:rPr>
              <w:t>FISCALIZADOS</w:t>
            </w:r>
          </w:p>
        </w:tc>
        <w:tc>
          <w:tcPr>
            <w:tcW w:w="2124" w:type="dxa"/>
            <w:tcBorders>
              <w:left w:val="single" w:sz="4" w:space="0" w:color="FFFFFF" w:themeColor="background1"/>
              <w:bottom w:val="single" w:sz="4" w:space="0" w:color="BFBFBF" w:themeColor="background1" w:themeShade="BF"/>
              <w:right w:val="single" w:sz="4" w:space="0" w:color="FFFFFF" w:themeColor="background1"/>
            </w:tcBorders>
            <w:shd w:val="clear" w:color="auto" w:fill="A5A5A5" w:themeFill="accent3"/>
          </w:tcPr>
          <w:p w14:paraId="1489B6D5" w14:textId="77777777" w:rsidR="00D64E9E" w:rsidRPr="00340170" w:rsidRDefault="00D64E9E" w:rsidP="00156241">
            <w:pPr>
              <w:pStyle w:val="TableParagraph"/>
              <w:tabs>
                <w:tab w:val="left" w:pos="576"/>
              </w:tabs>
              <w:spacing w:before="113"/>
              <w:ind w:right="76"/>
              <w:jc w:val="right"/>
              <w:rPr>
                <w:b/>
                <w:bCs/>
                <w:sz w:val="20"/>
                <w:szCs w:val="18"/>
              </w:rPr>
            </w:pPr>
            <w:r w:rsidRPr="00340170">
              <w:rPr>
                <w:b/>
                <w:bCs/>
                <w:sz w:val="20"/>
                <w:szCs w:val="18"/>
              </w:rPr>
              <w:t xml:space="preserve"> $44,083,818,160.76 </w:t>
            </w:r>
          </w:p>
        </w:tc>
        <w:tc>
          <w:tcPr>
            <w:tcW w:w="1985" w:type="dxa"/>
            <w:tcBorders>
              <w:left w:val="single" w:sz="4" w:space="0" w:color="FFFFFF" w:themeColor="background1"/>
              <w:bottom w:val="single" w:sz="4" w:space="0" w:color="BFBFBF" w:themeColor="background1" w:themeShade="BF"/>
              <w:right w:val="single" w:sz="4" w:space="0" w:color="FFFFFF" w:themeColor="background1"/>
            </w:tcBorders>
            <w:shd w:val="clear" w:color="auto" w:fill="A5A5A5" w:themeFill="accent3"/>
          </w:tcPr>
          <w:p w14:paraId="0237D8F5" w14:textId="77777777" w:rsidR="00D64E9E" w:rsidRPr="00340170" w:rsidRDefault="00D64E9E" w:rsidP="00156241">
            <w:pPr>
              <w:pStyle w:val="TableParagraph"/>
              <w:tabs>
                <w:tab w:val="left" w:pos="576"/>
              </w:tabs>
              <w:spacing w:before="113"/>
              <w:ind w:right="76"/>
              <w:jc w:val="right"/>
              <w:rPr>
                <w:b/>
                <w:bCs/>
                <w:sz w:val="20"/>
                <w:szCs w:val="18"/>
              </w:rPr>
            </w:pPr>
            <w:r w:rsidRPr="00340170">
              <w:rPr>
                <w:b/>
                <w:bCs/>
                <w:sz w:val="20"/>
                <w:szCs w:val="18"/>
              </w:rPr>
              <w:t xml:space="preserve"> $30,042,216,579.51 </w:t>
            </w:r>
          </w:p>
        </w:tc>
        <w:tc>
          <w:tcPr>
            <w:tcW w:w="2129" w:type="dxa"/>
            <w:tcBorders>
              <w:left w:val="single" w:sz="4" w:space="0" w:color="FFFFFF" w:themeColor="background1"/>
              <w:bottom w:val="single" w:sz="4" w:space="0" w:color="BFBFBF" w:themeColor="background1" w:themeShade="BF"/>
            </w:tcBorders>
            <w:shd w:val="clear" w:color="auto" w:fill="A5A5A5" w:themeFill="accent3"/>
          </w:tcPr>
          <w:p w14:paraId="338ADEBC" w14:textId="77777777" w:rsidR="00D64E9E" w:rsidRPr="00340170" w:rsidRDefault="00D64E9E" w:rsidP="00156241">
            <w:pPr>
              <w:pStyle w:val="TableParagraph"/>
              <w:tabs>
                <w:tab w:val="left" w:pos="576"/>
              </w:tabs>
              <w:spacing w:before="113"/>
              <w:ind w:right="76"/>
              <w:jc w:val="right"/>
              <w:rPr>
                <w:b/>
                <w:bCs/>
                <w:sz w:val="20"/>
                <w:szCs w:val="18"/>
              </w:rPr>
            </w:pPr>
            <w:r w:rsidRPr="00340170">
              <w:rPr>
                <w:b/>
                <w:bCs/>
                <w:sz w:val="20"/>
                <w:szCs w:val="18"/>
              </w:rPr>
              <w:t>68.15%</w:t>
            </w:r>
          </w:p>
        </w:tc>
      </w:tr>
      <w:tr w:rsidR="00D64E9E" w:rsidRPr="00555F9E" w14:paraId="26BF8E50" w14:textId="77777777" w:rsidTr="00156241">
        <w:trPr>
          <w:trHeight w:val="414"/>
          <w:jc w:val="center"/>
        </w:trPr>
        <w:tc>
          <w:tcPr>
            <w:tcW w:w="9219" w:type="dxa"/>
            <w:gridSpan w:val="4"/>
            <w:tcBorders>
              <w:top w:val="single" w:sz="4" w:space="0" w:color="BFBFBF" w:themeColor="background1" w:themeShade="BF"/>
              <w:left w:val="nil"/>
              <w:bottom w:val="nil"/>
              <w:right w:val="nil"/>
            </w:tcBorders>
            <w:shd w:val="clear" w:color="auto" w:fill="auto"/>
            <w:vAlign w:val="center"/>
          </w:tcPr>
          <w:p w14:paraId="2E1996EB" w14:textId="77777777" w:rsidR="00D64E9E" w:rsidRPr="00156241" w:rsidRDefault="00D64E9E" w:rsidP="00156241">
            <w:pPr>
              <w:pStyle w:val="Textoindependiente"/>
              <w:spacing w:line="276" w:lineRule="auto"/>
              <w:rPr>
                <w:bCs/>
                <w:i/>
                <w:noProof/>
                <w:sz w:val="18"/>
                <w:szCs w:val="16"/>
                <w:lang w:eastAsia="es-MX"/>
              </w:rPr>
            </w:pPr>
            <w:r w:rsidRPr="00156241">
              <w:rPr>
                <w:b/>
                <w:bCs/>
                <w:i/>
                <w:noProof/>
                <w:sz w:val="18"/>
                <w:szCs w:val="16"/>
                <w:lang w:eastAsia="es-MX"/>
              </w:rPr>
              <w:t>Tabla N°</w:t>
            </w:r>
            <w:r w:rsidR="00156241" w:rsidRPr="00156241">
              <w:rPr>
                <w:b/>
                <w:bCs/>
                <w:i/>
                <w:noProof/>
                <w:sz w:val="18"/>
                <w:szCs w:val="16"/>
                <w:lang w:eastAsia="es-MX"/>
              </w:rPr>
              <w:t>4</w:t>
            </w:r>
            <w:r w:rsidRPr="00156241">
              <w:rPr>
                <w:b/>
                <w:bCs/>
                <w:i/>
                <w:noProof/>
                <w:sz w:val="18"/>
                <w:szCs w:val="16"/>
                <w:lang w:eastAsia="es-MX"/>
              </w:rPr>
              <w:t>:</w:t>
            </w:r>
            <w:r w:rsidRPr="00156241">
              <w:rPr>
                <w:bCs/>
                <w:i/>
                <w:noProof/>
                <w:sz w:val="18"/>
                <w:szCs w:val="16"/>
                <w:lang w:eastAsia="es-MX"/>
              </w:rPr>
              <w:t xml:space="preserve"> Elaboración propia, corresponde al cálculo de la muestra fiscalizada en auditorías a ingresos.</w:t>
            </w:r>
          </w:p>
        </w:tc>
      </w:tr>
    </w:tbl>
    <w:p w14:paraId="1DC35DD8" w14:textId="77777777" w:rsidR="00D64E9E" w:rsidRPr="00703E77" w:rsidRDefault="00D64E9E" w:rsidP="00D64E9E">
      <w:pPr>
        <w:rPr>
          <w:sz w:val="10"/>
        </w:rPr>
      </w:pPr>
    </w:p>
    <w:p w14:paraId="6AF3E595" w14:textId="77777777" w:rsidR="00D64E9E" w:rsidRPr="00276E6F" w:rsidRDefault="00D64E9E" w:rsidP="00D64E9E">
      <w:pPr>
        <w:spacing w:after="0"/>
        <w:rPr>
          <w:sz w:val="10"/>
        </w:rPr>
      </w:pPr>
    </w:p>
    <w:tbl>
      <w:tblPr>
        <w:tblStyle w:val="TableNormal"/>
        <w:tblW w:w="9219" w:type="dxa"/>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2981"/>
        <w:gridCol w:w="2124"/>
        <w:gridCol w:w="1985"/>
        <w:gridCol w:w="2129"/>
      </w:tblGrid>
      <w:tr w:rsidR="00D64E9E" w:rsidRPr="00F64EC4" w14:paraId="178CDB5C" w14:textId="77777777" w:rsidTr="00156241">
        <w:trPr>
          <w:trHeight w:val="454"/>
          <w:jc w:val="center"/>
        </w:trPr>
        <w:tc>
          <w:tcPr>
            <w:tcW w:w="9219" w:type="dxa"/>
            <w:gridSpan w:val="4"/>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A5A5A5" w:themeFill="accent3"/>
          </w:tcPr>
          <w:p w14:paraId="29BB7539" w14:textId="77777777" w:rsidR="00D64E9E" w:rsidRPr="00276E6F" w:rsidRDefault="00D64E9E" w:rsidP="00156241">
            <w:pPr>
              <w:pStyle w:val="TableParagraph"/>
              <w:spacing w:before="58"/>
              <w:ind w:left="3216" w:right="3206"/>
              <w:jc w:val="center"/>
              <w:rPr>
                <w:b/>
                <w:sz w:val="18"/>
              </w:rPr>
            </w:pPr>
            <w:r w:rsidRPr="00276E6F">
              <w:rPr>
                <w:b/>
                <w:sz w:val="18"/>
              </w:rPr>
              <w:t>EGRESOS FISCALIZADOS</w:t>
            </w:r>
          </w:p>
        </w:tc>
      </w:tr>
      <w:tr w:rsidR="00D64E9E" w:rsidRPr="00F64EC4" w14:paraId="3E33BC57" w14:textId="77777777" w:rsidTr="00156241">
        <w:trPr>
          <w:trHeight w:val="454"/>
          <w:jc w:val="center"/>
        </w:trPr>
        <w:tc>
          <w:tcPr>
            <w:tcW w:w="2981"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A5A5A5" w:themeFill="accent3"/>
          </w:tcPr>
          <w:p w14:paraId="11C80F1F" w14:textId="77777777" w:rsidR="00D64E9E" w:rsidRPr="00276E6F" w:rsidRDefault="00D64E9E" w:rsidP="00156241">
            <w:pPr>
              <w:pStyle w:val="TableParagraph"/>
              <w:spacing w:before="102"/>
              <w:ind w:left="975"/>
              <w:rPr>
                <w:b/>
                <w:sz w:val="18"/>
              </w:rPr>
            </w:pPr>
            <w:r w:rsidRPr="00276E6F">
              <w:rPr>
                <w:b/>
                <w:sz w:val="18"/>
              </w:rPr>
              <w:t>CONCEPTO</w:t>
            </w:r>
          </w:p>
        </w:tc>
        <w:tc>
          <w:tcPr>
            <w:tcW w:w="2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tcPr>
          <w:p w14:paraId="42F8E2AA" w14:textId="77777777" w:rsidR="00D64E9E" w:rsidRPr="00276E6F" w:rsidRDefault="00D64E9E" w:rsidP="00156241">
            <w:pPr>
              <w:pStyle w:val="TableParagraph"/>
              <w:spacing w:line="208" w:lineRule="exact"/>
              <w:ind w:left="603" w:right="495" w:hanging="84"/>
              <w:rPr>
                <w:b/>
                <w:sz w:val="18"/>
              </w:rPr>
            </w:pPr>
            <w:r w:rsidRPr="00276E6F">
              <w:rPr>
                <w:b/>
                <w:sz w:val="18"/>
              </w:rPr>
              <w:t>POBLACIÓN OBJETIVO</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tcPr>
          <w:p w14:paraId="611C7BC2" w14:textId="77777777" w:rsidR="00D64E9E" w:rsidRPr="00276E6F" w:rsidRDefault="00D64E9E" w:rsidP="00156241">
            <w:pPr>
              <w:pStyle w:val="TableParagraph"/>
              <w:spacing w:line="208" w:lineRule="exact"/>
              <w:ind w:left="524" w:right="491" w:firstLine="23"/>
              <w:rPr>
                <w:b/>
                <w:sz w:val="18"/>
              </w:rPr>
            </w:pPr>
            <w:r w:rsidRPr="00276E6F">
              <w:rPr>
                <w:b/>
                <w:sz w:val="18"/>
              </w:rPr>
              <w:t>MUESTRA AUDITADA</w:t>
            </w:r>
          </w:p>
        </w:tc>
        <w:tc>
          <w:tcPr>
            <w:tcW w:w="2129"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5A5A5" w:themeFill="accent3"/>
          </w:tcPr>
          <w:p w14:paraId="1CC49FD0" w14:textId="77777777" w:rsidR="00D64E9E" w:rsidRPr="00276E6F" w:rsidRDefault="00D64E9E" w:rsidP="00156241">
            <w:pPr>
              <w:pStyle w:val="TableParagraph"/>
              <w:spacing w:line="208" w:lineRule="exact"/>
              <w:ind w:left="323" w:right="61" w:hanging="236"/>
              <w:rPr>
                <w:b/>
                <w:sz w:val="18"/>
              </w:rPr>
            </w:pPr>
            <w:r w:rsidRPr="00276E6F">
              <w:rPr>
                <w:b/>
                <w:sz w:val="18"/>
              </w:rPr>
              <w:t>REPRESENTATIVIDAD DE LA MUESTRA</w:t>
            </w:r>
          </w:p>
        </w:tc>
      </w:tr>
      <w:tr w:rsidR="00D64E9E" w:rsidRPr="00F64EC4" w14:paraId="4F2A0C93" w14:textId="77777777" w:rsidTr="00156241">
        <w:trPr>
          <w:trHeight w:val="454"/>
          <w:jc w:val="center"/>
        </w:trPr>
        <w:tc>
          <w:tcPr>
            <w:tcW w:w="2981" w:type="dxa"/>
            <w:tcBorders>
              <w:top w:val="single" w:sz="4" w:space="0" w:color="FFFFFF" w:themeColor="background1"/>
            </w:tcBorders>
            <w:vAlign w:val="center"/>
          </w:tcPr>
          <w:p w14:paraId="61CD1DE9" w14:textId="77777777" w:rsidR="00D64E9E" w:rsidRPr="00E257C9" w:rsidRDefault="00D64E9E" w:rsidP="00156241">
            <w:pPr>
              <w:pStyle w:val="TableParagraph"/>
              <w:spacing w:before="56"/>
              <w:ind w:left="70"/>
              <w:rPr>
                <w:b/>
                <w:sz w:val="18"/>
              </w:rPr>
            </w:pPr>
            <w:r w:rsidRPr="00E257C9">
              <w:rPr>
                <w:b/>
                <w:sz w:val="18"/>
              </w:rPr>
              <w:t>PODERES DEL ESTADO</w:t>
            </w:r>
          </w:p>
        </w:tc>
        <w:tc>
          <w:tcPr>
            <w:tcW w:w="2124" w:type="dxa"/>
            <w:tcBorders>
              <w:top w:val="single" w:sz="4" w:space="0" w:color="FFFFFF" w:themeColor="background1"/>
            </w:tcBorders>
          </w:tcPr>
          <w:p w14:paraId="1501585A"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$7,629,337,905.13 </w:t>
            </w:r>
          </w:p>
        </w:tc>
        <w:tc>
          <w:tcPr>
            <w:tcW w:w="1985" w:type="dxa"/>
            <w:tcBorders>
              <w:top w:val="single" w:sz="4" w:space="0" w:color="FFFFFF" w:themeColor="background1"/>
            </w:tcBorders>
          </w:tcPr>
          <w:p w14:paraId="6FA72CF7"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$4,740,982,583.72 </w:t>
            </w:r>
          </w:p>
        </w:tc>
        <w:tc>
          <w:tcPr>
            <w:tcW w:w="2129" w:type="dxa"/>
            <w:tcBorders>
              <w:top w:val="single" w:sz="4" w:space="0" w:color="FFFFFF" w:themeColor="background1"/>
            </w:tcBorders>
          </w:tcPr>
          <w:p w14:paraId="7B74E960" w14:textId="77777777" w:rsidR="00D64E9E" w:rsidRPr="00340170" w:rsidRDefault="00D64E9E" w:rsidP="00156241">
            <w:pPr>
              <w:pStyle w:val="TableParagraph"/>
              <w:spacing w:before="113"/>
              <w:ind w:right="59"/>
              <w:jc w:val="right"/>
              <w:rPr>
                <w:sz w:val="20"/>
                <w:szCs w:val="18"/>
              </w:rPr>
            </w:pPr>
            <w:r w:rsidRPr="00340170">
              <w:rPr>
                <w:sz w:val="20"/>
                <w:szCs w:val="18"/>
              </w:rPr>
              <w:t>62.14%</w:t>
            </w:r>
          </w:p>
        </w:tc>
      </w:tr>
      <w:tr w:rsidR="00D64E9E" w:rsidRPr="00F64EC4" w14:paraId="1564A547" w14:textId="77777777" w:rsidTr="00156241">
        <w:trPr>
          <w:trHeight w:val="454"/>
          <w:jc w:val="center"/>
        </w:trPr>
        <w:tc>
          <w:tcPr>
            <w:tcW w:w="2981" w:type="dxa"/>
            <w:vAlign w:val="center"/>
          </w:tcPr>
          <w:p w14:paraId="1B313141" w14:textId="77777777" w:rsidR="00D64E9E" w:rsidRPr="00E257C9" w:rsidRDefault="00D64E9E" w:rsidP="00156241">
            <w:pPr>
              <w:pStyle w:val="TableParagraph"/>
              <w:spacing w:before="8" w:line="204" w:lineRule="exact"/>
              <w:ind w:left="70" w:right="500"/>
              <w:rPr>
                <w:b/>
                <w:sz w:val="18"/>
              </w:rPr>
            </w:pPr>
            <w:r w:rsidRPr="00E257C9">
              <w:rPr>
                <w:b/>
                <w:sz w:val="18"/>
              </w:rPr>
              <w:t>ADMINISTRACIÓN PÚBLICA MUNICIPAL</w:t>
            </w:r>
          </w:p>
        </w:tc>
        <w:tc>
          <w:tcPr>
            <w:tcW w:w="2124" w:type="dxa"/>
          </w:tcPr>
          <w:p w14:paraId="493B59E3"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$10,125,546,810.71 </w:t>
            </w:r>
          </w:p>
        </w:tc>
        <w:tc>
          <w:tcPr>
            <w:tcW w:w="1985" w:type="dxa"/>
          </w:tcPr>
          <w:p w14:paraId="04F43A0D"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$6,668,012,405.76 </w:t>
            </w:r>
          </w:p>
        </w:tc>
        <w:tc>
          <w:tcPr>
            <w:tcW w:w="2129" w:type="dxa"/>
          </w:tcPr>
          <w:p w14:paraId="2863BD5F" w14:textId="77777777" w:rsidR="00D64E9E" w:rsidRPr="00340170" w:rsidRDefault="00D64E9E" w:rsidP="00156241">
            <w:pPr>
              <w:pStyle w:val="TableParagraph"/>
              <w:spacing w:before="113"/>
              <w:ind w:right="59"/>
              <w:jc w:val="right"/>
              <w:rPr>
                <w:sz w:val="20"/>
                <w:szCs w:val="18"/>
              </w:rPr>
            </w:pPr>
            <w:r w:rsidRPr="00340170">
              <w:rPr>
                <w:sz w:val="20"/>
                <w:szCs w:val="18"/>
              </w:rPr>
              <w:t>65.85%</w:t>
            </w:r>
          </w:p>
        </w:tc>
      </w:tr>
      <w:tr w:rsidR="00D64E9E" w:rsidRPr="00F64EC4" w14:paraId="26503FE3" w14:textId="77777777" w:rsidTr="00156241">
        <w:trPr>
          <w:trHeight w:val="454"/>
          <w:jc w:val="center"/>
        </w:trPr>
        <w:tc>
          <w:tcPr>
            <w:tcW w:w="2981" w:type="dxa"/>
            <w:vAlign w:val="center"/>
          </w:tcPr>
          <w:p w14:paraId="51255E5F" w14:textId="77777777" w:rsidR="00D64E9E" w:rsidRPr="00E257C9" w:rsidRDefault="00D64E9E" w:rsidP="00156241">
            <w:pPr>
              <w:pStyle w:val="TableParagraph"/>
              <w:spacing w:before="6" w:line="204" w:lineRule="exact"/>
              <w:ind w:left="70" w:right="500"/>
              <w:rPr>
                <w:b/>
                <w:sz w:val="18"/>
              </w:rPr>
            </w:pPr>
            <w:r w:rsidRPr="00E257C9">
              <w:rPr>
                <w:b/>
                <w:sz w:val="18"/>
              </w:rPr>
              <w:t>ADMINISTRACIÓN PÚBLICA PARAESTATAL</w:t>
            </w:r>
          </w:p>
        </w:tc>
        <w:tc>
          <w:tcPr>
            <w:tcW w:w="2124" w:type="dxa"/>
          </w:tcPr>
          <w:p w14:paraId="21A24A97"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$7,087,090,656.59 </w:t>
            </w:r>
          </w:p>
        </w:tc>
        <w:tc>
          <w:tcPr>
            <w:tcW w:w="1985" w:type="dxa"/>
          </w:tcPr>
          <w:p w14:paraId="6A1441CB"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$5,081,798,776.13 </w:t>
            </w:r>
          </w:p>
        </w:tc>
        <w:tc>
          <w:tcPr>
            <w:tcW w:w="2129" w:type="dxa"/>
          </w:tcPr>
          <w:p w14:paraId="262CF8C4" w14:textId="77777777" w:rsidR="00D64E9E" w:rsidRPr="00340170" w:rsidRDefault="00D64E9E" w:rsidP="00156241">
            <w:pPr>
              <w:pStyle w:val="TableParagraph"/>
              <w:spacing w:before="113"/>
              <w:ind w:right="59"/>
              <w:jc w:val="right"/>
              <w:rPr>
                <w:sz w:val="20"/>
                <w:szCs w:val="18"/>
              </w:rPr>
            </w:pPr>
            <w:r w:rsidRPr="00340170">
              <w:rPr>
                <w:sz w:val="20"/>
                <w:szCs w:val="18"/>
              </w:rPr>
              <w:t>71.71%</w:t>
            </w:r>
          </w:p>
        </w:tc>
      </w:tr>
      <w:tr w:rsidR="00D64E9E" w:rsidRPr="00F64EC4" w14:paraId="6E3B369C" w14:textId="77777777" w:rsidTr="00156241">
        <w:trPr>
          <w:trHeight w:val="454"/>
          <w:jc w:val="center"/>
        </w:trPr>
        <w:tc>
          <w:tcPr>
            <w:tcW w:w="2981" w:type="dxa"/>
            <w:vAlign w:val="center"/>
          </w:tcPr>
          <w:p w14:paraId="6FAFA248" w14:textId="77777777" w:rsidR="00D64E9E" w:rsidRPr="00E257C9" w:rsidRDefault="00D64E9E" w:rsidP="00156241">
            <w:pPr>
              <w:pStyle w:val="TableParagraph"/>
              <w:spacing w:before="56"/>
              <w:ind w:left="70"/>
              <w:rPr>
                <w:b/>
                <w:sz w:val="18"/>
              </w:rPr>
            </w:pPr>
            <w:r w:rsidRPr="00E257C9">
              <w:rPr>
                <w:b/>
                <w:sz w:val="18"/>
              </w:rPr>
              <w:t>ORGANISMOS AUTÓNOMOS</w:t>
            </w:r>
          </w:p>
        </w:tc>
        <w:tc>
          <w:tcPr>
            <w:tcW w:w="2124" w:type="dxa"/>
          </w:tcPr>
          <w:p w14:paraId="3FF1948D"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$964,013,017.96 </w:t>
            </w:r>
          </w:p>
        </w:tc>
        <w:tc>
          <w:tcPr>
            <w:tcW w:w="1985" w:type="dxa"/>
          </w:tcPr>
          <w:p w14:paraId="31DCAA62"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$650,282,029.55 </w:t>
            </w:r>
          </w:p>
        </w:tc>
        <w:tc>
          <w:tcPr>
            <w:tcW w:w="2129" w:type="dxa"/>
          </w:tcPr>
          <w:p w14:paraId="79813E2D" w14:textId="77777777" w:rsidR="00D64E9E" w:rsidRPr="00340170" w:rsidRDefault="00D64E9E" w:rsidP="00156241">
            <w:pPr>
              <w:pStyle w:val="TableParagraph"/>
              <w:spacing w:before="113"/>
              <w:ind w:right="59"/>
              <w:jc w:val="right"/>
              <w:rPr>
                <w:sz w:val="20"/>
                <w:szCs w:val="18"/>
              </w:rPr>
            </w:pPr>
            <w:r w:rsidRPr="00340170">
              <w:rPr>
                <w:sz w:val="20"/>
                <w:szCs w:val="18"/>
              </w:rPr>
              <w:t>67.46%</w:t>
            </w:r>
          </w:p>
        </w:tc>
      </w:tr>
      <w:tr w:rsidR="00D64E9E" w:rsidRPr="00F64EC4" w14:paraId="3351CC5A" w14:textId="77777777" w:rsidTr="00156241">
        <w:trPr>
          <w:trHeight w:val="454"/>
          <w:jc w:val="center"/>
        </w:trPr>
        <w:tc>
          <w:tcPr>
            <w:tcW w:w="2981" w:type="dxa"/>
            <w:tcBorders>
              <w:bottom w:val="single" w:sz="4" w:space="0" w:color="BFBFBF" w:themeColor="background1" w:themeShade="BF"/>
              <w:right w:val="single" w:sz="4" w:space="0" w:color="FFFFFF" w:themeColor="background1"/>
            </w:tcBorders>
            <w:shd w:val="clear" w:color="auto" w:fill="A5A5A5" w:themeFill="accent3"/>
          </w:tcPr>
          <w:p w14:paraId="70AAFF05" w14:textId="77777777" w:rsidR="00D64E9E" w:rsidRPr="00276E6F" w:rsidRDefault="00D64E9E" w:rsidP="00156241">
            <w:pPr>
              <w:pStyle w:val="TableParagraph"/>
              <w:spacing w:line="208" w:lineRule="exact"/>
              <w:ind w:left="1579" w:right="42" w:hanging="516"/>
              <w:rPr>
                <w:b/>
                <w:sz w:val="18"/>
              </w:rPr>
            </w:pPr>
            <w:r w:rsidRPr="00276E6F">
              <w:rPr>
                <w:b/>
                <w:sz w:val="18"/>
              </w:rPr>
              <w:t>TOTAL DE EGRESOS FISCALIZADOS</w:t>
            </w:r>
          </w:p>
        </w:tc>
        <w:tc>
          <w:tcPr>
            <w:tcW w:w="2124" w:type="dxa"/>
            <w:tcBorders>
              <w:left w:val="single" w:sz="4" w:space="0" w:color="FFFFFF" w:themeColor="background1"/>
              <w:bottom w:val="single" w:sz="4" w:space="0" w:color="BFBFBF" w:themeColor="background1" w:themeShade="BF"/>
              <w:right w:val="single" w:sz="4" w:space="0" w:color="FFFFFF" w:themeColor="background1"/>
            </w:tcBorders>
            <w:shd w:val="clear" w:color="auto" w:fill="A5A5A5" w:themeFill="accent3"/>
          </w:tcPr>
          <w:p w14:paraId="6B0668DC" w14:textId="77777777" w:rsidR="00D64E9E" w:rsidRPr="00340170" w:rsidRDefault="00D64E9E" w:rsidP="00156241">
            <w:pPr>
              <w:pStyle w:val="TableParagraph"/>
              <w:tabs>
                <w:tab w:val="left" w:pos="576"/>
              </w:tabs>
              <w:spacing w:before="113"/>
              <w:ind w:right="76"/>
              <w:jc w:val="right"/>
              <w:rPr>
                <w:b/>
                <w:bCs/>
                <w:sz w:val="20"/>
                <w:szCs w:val="18"/>
              </w:rPr>
            </w:pPr>
            <w:r w:rsidRPr="00340170">
              <w:rPr>
                <w:b/>
                <w:bCs/>
                <w:sz w:val="20"/>
                <w:szCs w:val="18"/>
              </w:rPr>
              <w:t xml:space="preserve"> $25,805,988,390.39 </w:t>
            </w:r>
          </w:p>
        </w:tc>
        <w:tc>
          <w:tcPr>
            <w:tcW w:w="1985" w:type="dxa"/>
            <w:tcBorders>
              <w:left w:val="single" w:sz="4" w:space="0" w:color="FFFFFF" w:themeColor="background1"/>
              <w:bottom w:val="single" w:sz="4" w:space="0" w:color="BFBFBF" w:themeColor="background1" w:themeShade="BF"/>
              <w:right w:val="single" w:sz="4" w:space="0" w:color="FFFFFF" w:themeColor="background1"/>
            </w:tcBorders>
            <w:shd w:val="clear" w:color="auto" w:fill="A5A5A5" w:themeFill="accent3"/>
          </w:tcPr>
          <w:p w14:paraId="6FF1BE79" w14:textId="77777777" w:rsidR="00D64E9E" w:rsidRPr="00340170" w:rsidRDefault="00D64E9E" w:rsidP="00156241">
            <w:pPr>
              <w:pStyle w:val="TableParagraph"/>
              <w:tabs>
                <w:tab w:val="left" w:pos="576"/>
              </w:tabs>
              <w:spacing w:before="113"/>
              <w:ind w:right="76"/>
              <w:jc w:val="right"/>
              <w:rPr>
                <w:b/>
                <w:bCs/>
                <w:sz w:val="20"/>
                <w:szCs w:val="18"/>
              </w:rPr>
            </w:pPr>
            <w:r w:rsidRPr="00340170">
              <w:rPr>
                <w:b/>
                <w:bCs/>
                <w:sz w:val="20"/>
                <w:szCs w:val="18"/>
              </w:rPr>
              <w:t xml:space="preserve"> $17,141,075,795.16 </w:t>
            </w:r>
          </w:p>
        </w:tc>
        <w:tc>
          <w:tcPr>
            <w:tcW w:w="2129" w:type="dxa"/>
            <w:tcBorders>
              <w:left w:val="single" w:sz="4" w:space="0" w:color="FFFFFF" w:themeColor="background1"/>
              <w:bottom w:val="single" w:sz="4" w:space="0" w:color="BFBFBF" w:themeColor="background1" w:themeShade="BF"/>
            </w:tcBorders>
            <w:shd w:val="clear" w:color="auto" w:fill="A5A5A5" w:themeFill="accent3"/>
          </w:tcPr>
          <w:p w14:paraId="28252038" w14:textId="77777777" w:rsidR="00D64E9E" w:rsidRPr="00340170" w:rsidRDefault="00D64E9E" w:rsidP="00156241">
            <w:pPr>
              <w:pStyle w:val="TableParagraph"/>
              <w:tabs>
                <w:tab w:val="left" w:pos="576"/>
              </w:tabs>
              <w:spacing w:before="113"/>
              <w:ind w:right="76"/>
              <w:jc w:val="right"/>
              <w:rPr>
                <w:b/>
                <w:bCs/>
                <w:sz w:val="20"/>
                <w:szCs w:val="18"/>
              </w:rPr>
            </w:pPr>
            <w:r w:rsidRPr="00340170">
              <w:rPr>
                <w:b/>
                <w:bCs/>
                <w:sz w:val="20"/>
                <w:szCs w:val="18"/>
              </w:rPr>
              <w:t>66.42%</w:t>
            </w:r>
          </w:p>
        </w:tc>
      </w:tr>
      <w:tr w:rsidR="00D64E9E" w:rsidRPr="00F64EC4" w14:paraId="3CBF40CD" w14:textId="77777777" w:rsidTr="00156241">
        <w:trPr>
          <w:trHeight w:val="414"/>
          <w:jc w:val="center"/>
        </w:trPr>
        <w:tc>
          <w:tcPr>
            <w:tcW w:w="9219" w:type="dxa"/>
            <w:gridSpan w:val="4"/>
            <w:tcBorders>
              <w:top w:val="single" w:sz="4" w:space="0" w:color="BFBFBF" w:themeColor="background1" w:themeShade="BF"/>
              <w:left w:val="nil"/>
              <w:bottom w:val="nil"/>
              <w:right w:val="nil"/>
            </w:tcBorders>
            <w:shd w:val="clear" w:color="auto" w:fill="auto"/>
            <w:vAlign w:val="center"/>
          </w:tcPr>
          <w:p w14:paraId="64196186" w14:textId="77777777" w:rsidR="00D64E9E" w:rsidRPr="00156241" w:rsidRDefault="00D64E9E" w:rsidP="00156241">
            <w:pPr>
              <w:pStyle w:val="Textoindependiente"/>
              <w:spacing w:line="276" w:lineRule="auto"/>
              <w:rPr>
                <w:bCs/>
                <w:i/>
                <w:noProof/>
                <w:sz w:val="18"/>
                <w:szCs w:val="16"/>
                <w:lang w:eastAsia="es-MX"/>
              </w:rPr>
            </w:pPr>
            <w:r w:rsidRPr="00156241">
              <w:rPr>
                <w:b/>
                <w:bCs/>
                <w:i/>
                <w:noProof/>
                <w:sz w:val="18"/>
                <w:szCs w:val="16"/>
                <w:lang w:eastAsia="es-MX"/>
              </w:rPr>
              <w:t>Tabla N°</w:t>
            </w:r>
            <w:r w:rsidR="00156241" w:rsidRPr="00156241">
              <w:rPr>
                <w:b/>
                <w:bCs/>
                <w:i/>
                <w:noProof/>
                <w:sz w:val="18"/>
                <w:szCs w:val="16"/>
                <w:lang w:eastAsia="es-MX"/>
              </w:rPr>
              <w:t>5</w:t>
            </w:r>
            <w:r w:rsidRPr="00156241">
              <w:rPr>
                <w:b/>
                <w:bCs/>
                <w:i/>
                <w:noProof/>
                <w:sz w:val="18"/>
                <w:szCs w:val="16"/>
                <w:lang w:eastAsia="es-MX"/>
              </w:rPr>
              <w:t>:</w:t>
            </w:r>
            <w:r w:rsidRPr="00156241">
              <w:rPr>
                <w:bCs/>
                <w:i/>
                <w:noProof/>
                <w:sz w:val="18"/>
                <w:szCs w:val="16"/>
                <w:lang w:eastAsia="es-MX"/>
              </w:rPr>
              <w:t xml:space="preserve"> Elaboración propia, corresponde al cálculo de la muestra fiscalizada en auditorías a egresos.</w:t>
            </w:r>
          </w:p>
        </w:tc>
      </w:tr>
    </w:tbl>
    <w:p w14:paraId="1025BA43" w14:textId="77777777" w:rsidR="00D64E9E" w:rsidRPr="00703E77" w:rsidRDefault="00D64E9E" w:rsidP="00D64E9E">
      <w:pPr>
        <w:rPr>
          <w:sz w:val="2"/>
        </w:rPr>
      </w:pPr>
    </w:p>
    <w:p w14:paraId="12676240" w14:textId="77777777" w:rsidR="00D64E9E" w:rsidRPr="00276E6F" w:rsidRDefault="00D64E9E" w:rsidP="00D64E9E">
      <w:pPr>
        <w:rPr>
          <w:sz w:val="10"/>
        </w:rPr>
      </w:pPr>
    </w:p>
    <w:tbl>
      <w:tblPr>
        <w:tblStyle w:val="TableNormal"/>
        <w:tblW w:w="9219" w:type="dxa"/>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2981"/>
        <w:gridCol w:w="2124"/>
        <w:gridCol w:w="1985"/>
        <w:gridCol w:w="2129"/>
      </w:tblGrid>
      <w:tr w:rsidR="00D64E9E" w:rsidRPr="00F64EC4" w14:paraId="28784614" w14:textId="77777777" w:rsidTr="00156241">
        <w:trPr>
          <w:trHeight w:val="454"/>
          <w:jc w:val="center"/>
        </w:trPr>
        <w:tc>
          <w:tcPr>
            <w:tcW w:w="9219" w:type="dxa"/>
            <w:gridSpan w:val="4"/>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A5A5A5" w:themeFill="accent3"/>
          </w:tcPr>
          <w:p w14:paraId="2330F6C9" w14:textId="77777777" w:rsidR="00D64E9E" w:rsidRPr="00276E6F" w:rsidRDefault="00D64E9E" w:rsidP="00156241">
            <w:pPr>
              <w:pStyle w:val="TableParagraph"/>
              <w:spacing w:line="205" w:lineRule="exact"/>
              <w:ind w:left="3216" w:right="3212"/>
              <w:jc w:val="center"/>
              <w:rPr>
                <w:b/>
                <w:sz w:val="18"/>
              </w:rPr>
            </w:pPr>
            <w:r w:rsidRPr="00276E6F">
              <w:rPr>
                <w:b/>
                <w:sz w:val="18"/>
              </w:rPr>
              <w:t>DEUDA PÚBLICA FISCALIZADA</w:t>
            </w:r>
          </w:p>
        </w:tc>
      </w:tr>
      <w:tr w:rsidR="00D64E9E" w:rsidRPr="00F64EC4" w14:paraId="409B63A2" w14:textId="77777777" w:rsidTr="00156241">
        <w:trPr>
          <w:trHeight w:val="454"/>
          <w:jc w:val="center"/>
        </w:trPr>
        <w:tc>
          <w:tcPr>
            <w:tcW w:w="2981"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A5A5A5" w:themeFill="accent3"/>
          </w:tcPr>
          <w:p w14:paraId="29252490" w14:textId="77777777" w:rsidR="00D64E9E" w:rsidRPr="00370CD7" w:rsidRDefault="00D64E9E" w:rsidP="00156241">
            <w:pPr>
              <w:pStyle w:val="TableParagraph"/>
              <w:spacing w:before="102"/>
              <w:ind w:left="975"/>
              <w:rPr>
                <w:b/>
                <w:color w:val="FFFFFF" w:themeColor="background1"/>
                <w:sz w:val="18"/>
              </w:rPr>
            </w:pPr>
            <w:r w:rsidRPr="00276E6F">
              <w:rPr>
                <w:b/>
                <w:sz w:val="18"/>
              </w:rPr>
              <w:t>CONCEPTO</w:t>
            </w:r>
          </w:p>
        </w:tc>
        <w:tc>
          <w:tcPr>
            <w:tcW w:w="2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tcPr>
          <w:p w14:paraId="10F8841A" w14:textId="77777777" w:rsidR="00D64E9E" w:rsidRPr="00276E6F" w:rsidRDefault="00D64E9E" w:rsidP="00156241">
            <w:pPr>
              <w:pStyle w:val="TableParagraph"/>
              <w:spacing w:line="208" w:lineRule="exact"/>
              <w:ind w:left="603" w:right="495" w:hanging="84"/>
              <w:rPr>
                <w:b/>
                <w:sz w:val="18"/>
              </w:rPr>
            </w:pPr>
            <w:r w:rsidRPr="00276E6F">
              <w:rPr>
                <w:b/>
                <w:sz w:val="18"/>
              </w:rPr>
              <w:t>POBLACIÓN OBJETIVO</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tcPr>
          <w:p w14:paraId="28F0A07B" w14:textId="77777777" w:rsidR="00D64E9E" w:rsidRPr="00276E6F" w:rsidRDefault="00D64E9E" w:rsidP="00156241">
            <w:pPr>
              <w:pStyle w:val="TableParagraph"/>
              <w:spacing w:line="208" w:lineRule="exact"/>
              <w:ind w:left="524" w:right="491" w:firstLine="23"/>
              <w:rPr>
                <w:b/>
                <w:sz w:val="18"/>
              </w:rPr>
            </w:pPr>
            <w:r w:rsidRPr="00276E6F">
              <w:rPr>
                <w:b/>
                <w:sz w:val="18"/>
              </w:rPr>
              <w:t>MUESTRA AUDITADA</w:t>
            </w:r>
          </w:p>
        </w:tc>
        <w:tc>
          <w:tcPr>
            <w:tcW w:w="2129"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5A5A5" w:themeFill="accent3"/>
          </w:tcPr>
          <w:p w14:paraId="324949A7" w14:textId="77777777" w:rsidR="00D64E9E" w:rsidRPr="00276E6F" w:rsidRDefault="00D64E9E" w:rsidP="00156241">
            <w:pPr>
              <w:pStyle w:val="TableParagraph"/>
              <w:spacing w:line="208" w:lineRule="exact"/>
              <w:ind w:left="323" w:right="61" w:hanging="236"/>
              <w:rPr>
                <w:b/>
                <w:sz w:val="18"/>
              </w:rPr>
            </w:pPr>
            <w:r w:rsidRPr="00276E6F">
              <w:rPr>
                <w:b/>
                <w:sz w:val="18"/>
              </w:rPr>
              <w:t>REPRESENTATIVIDAD DE LA MUESTRA</w:t>
            </w:r>
          </w:p>
        </w:tc>
      </w:tr>
      <w:tr w:rsidR="00D64E9E" w:rsidRPr="00F64EC4" w14:paraId="3A23DDD9" w14:textId="77777777" w:rsidTr="00156241">
        <w:trPr>
          <w:trHeight w:val="454"/>
          <w:jc w:val="center"/>
        </w:trPr>
        <w:tc>
          <w:tcPr>
            <w:tcW w:w="2981" w:type="dxa"/>
            <w:tcBorders>
              <w:top w:val="single" w:sz="4" w:space="0" w:color="FFFFFF" w:themeColor="background1"/>
            </w:tcBorders>
            <w:vAlign w:val="center"/>
          </w:tcPr>
          <w:p w14:paraId="244A2122" w14:textId="77777777" w:rsidR="00D64E9E" w:rsidRPr="00E257C9" w:rsidRDefault="00D64E9E" w:rsidP="00156241">
            <w:pPr>
              <w:pStyle w:val="TableParagraph"/>
              <w:spacing w:before="56"/>
              <w:ind w:left="70"/>
              <w:rPr>
                <w:b/>
                <w:sz w:val="18"/>
              </w:rPr>
            </w:pPr>
            <w:r w:rsidRPr="00E257C9">
              <w:rPr>
                <w:b/>
                <w:sz w:val="18"/>
              </w:rPr>
              <w:t>PODERES DEL ESTADO</w:t>
            </w:r>
          </w:p>
        </w:tc>
        <w:tc>
          <w:tcPr>
            <w:tcW w:w="2124" w:type="dxa"/>
            <w:tcBorders>
              <w:top w:val="single" w:sz="4" w:space="0" w:color="FFFFFF" w:themeColor="background1"/>
            </w:tcBorders>
          </w:tcPr>
          <w:p w14:paraId="4AE5E2AD"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$5,171,103,520.81 </w:t>
            </w:r>
          </w:p>
        </w:tc>
        <w:tc>
          <w:tcPr>
            <w:tcW w:w="1985" w:type="dxa"/>
            <w:tcBorders>
              <w:top w:val="single" w:sz="4" w:space="0" w:color="FFFFFF" w:themeColor="background1"/>
            </w:tcBorders>
          </w:tcPr>
          <w:p w14:paraId="7035F211"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$2,988,098,377.06 </w:t>
            </w:r>
          </w:p>
        </w:tc>
        <w:tc>
          <w:tcPr>
            <w:tcW w:w="2129" w:type="dxa"/>
            <w:tcBorders>
              <w:top w:val="single" w:sz="4" w:space="0" w:color="FFFFFF" w:themeColor="background1"/>
            </w:tcBorders>
          </w:tcPr>
          <w:p w14:paraId="6094739B" w14:textId="77777777" w:rsidR="00D64E9E" w:rsidRPr="00340170" w:rsidRDefault="00D64E9E" w:rsidP="00156241">
            <w:pPr>
              <w:pStyle w:val="TableParagraph"/>
              <w:spacing w:before="113"/>
              <w:ind w:right="59"/>
              <w:jc w:val="right"/>
              <w:rPr>
                <w:sz w:val="20"/>
                <w:szCs w:val="18"/>
              </w:rPr>
            </w:pPr>
            <w:r w:rsidRPr="00340170">
              <w:rPr>
                <w:sz w:val="20"/>
                <w:szCs w:val="18"/>
              </w:rPr>
              <w:t>57.78%</w:t>
            </w:r>
          </w:p>
        </w:tc>
      </w:tr>
      <w:tr w:rsidR="00D64E9E" w:rsidRPr="00F64EC4" w14:paraId="6D0B54AA" w14:textId="77777777" w:rsidTr="00156241">
        <w:trPr>
          <w:trHeight w:val="454"/>
          <w:jc w:val="center"/>
        </w:trPr>
        <w:tc>
          <w:tcPr>
            <w:tcW w:w="2981" w:type="dxa"/>
            <w:vAlign w:val="center"/>
          </w:tcPr>
          <w:p w14:paraId="0D028DD3" w14:textId="77777777" w:rsidR="00D64E9E" w:rsidRPr="00E257C9" w:rsidRDefault="00D64E9E" w:rsidP="00156241">
            <w:pPr>
              <w:pStyle w:val="TableParagraph"/>
              <w:spacing w:line="202" w:lineRule="exact"/>
              <w:ind w:left="70"/>
              <w:rPr>
                <w:b/>
                <w:sz w:val="18"/>
              </w:rPr>
            </w:pPr>
            <w:r w:rsidRPr="00E257C9">
              <w:rPr>
                <w:b/>
                <w:sz w:val="18"/>
              </w:rPr>
              <w:t>ADMINISTRACIÓN PÚBLICA</w:t>
            </w:r>
          </w:p>
          <w:p w14:paraId="36078FC6" w14:textId="77777777" w:rsidR="00D64E9E" w:rsidRPr="00E257C9" w:rsidRDefault="00D64E9E" w:rsidP="00156241">
            <w:pPr>
              <w:pStyle w:val="TableParagraph"/>
              <w:spacing w:before="1" w:line="208" w:lineRule="exact"/>
              <w:ind w:left="70" w:right="500"/>
              <w:rPr>
                <w:b/>
                <w:sz w:val="18"/>
              </w:rPr>
            </w:pPr>
            <w:r w:rsidRPr="00E257C9">
              <w:rPr>
                <w:b/>
                <w:sz w:val="18"/>
              </w:rPr>
              <w:t>MUNICIPAL</w:t>
            </w:r>
          </w:p>
        </w:tc>
        <w:tc>
          <w:tcPr>
            <w:tcW w:w="2124" w:type="dxa"/>
          </w:tcPr>
          <w:p w14:paraId="5B237AA4"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$299,434,465.14 </w:t>
            </w:r>
          </w:p>
        </w:tc>
        <w:tc>
          <w:tcPr>
            <w:tcW w:w="1985" w:type="dxa"/>
          </w:tcPr>
          <w:p w14:paraId="7B24CC00"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$299,434,465.14 </w:t>
            </w:r>
          </w:p>
        </w:tc>
        <w:tc>
          <w:tcPr>
            <w:tcW w:w="2129" w:type="dxa"/>
          </w:tcPr>
          <w:p w14:paraId="4DB327D1" w14:textId="77777777" w:rsidR="00D64E9E" w:rsidRPr="00340170" w:rsidRDefault="00D64E9E" w:rsidP="00156241">
            <w:pPr>
              <w:pStyle w:val="TableParagraph"/>
              <w:spacing w:before="113"/>
              <w:ind w:right="59"/>
              <w:jc w:val="right"/>
              <w:rPr>
                <w:sz w:val="20"/>
                <w:szCs w:val="18"/>
              </w:rPr>
            </w:pPr>
            <w:r w:rsidRPr="00340170">
              <w:rPr>
                <w:sz w:val="20"/>
                <w:szCs w:val="18"/>
              </w:rPr>
              <w:t>100.00%</w:t>
            </w:r>
          </w:p>
        </w:tc>
      </w:tr>
      <w:tr w:rsidR="00D64E9E" w:rsidRPr="00F64EC4" w14:paraId="7D34877B" w14:textId="77777777" w:rsidTr="00156241">
        <w:trPr>
          <w:trHeight w:val="454"/>
          <w:jc w:val="center"/>
        </w:trPr>
        <w:tc>
          <w:tcPr>
            <w:tcW w:w="2981" w:type="dxa"/>
            <w:vAlign w:val="center"/>
          </w:tcPr>
          <w:p w14:paraId="66BBF27E" w14:textId="77777777" w:rsidR="00D64E9E" w:rsidRPr="00E257C9" w:rsidRDefault="00D64E9E" w:rsidP="00156241">
            <w:pPr>
              <w:pStyle w:val="TableParagraph"/>
              <w:spacing w:before="1" w:line="188" w:lineRule="exact"/>
              <w:ind w:left="70"/>
              <w:rPr>
                <w:b/>
                <w:sz w:val="18"/>
              </w:rPr>
            </w:pPr>
            <w:r w:rsidRPr="00E257C9">
              <w:rPr>
                <w:b/>
                <w:sz w:val="18"/>
              </w:rPr>
              <w:t>ADMINISTRACIÓN PÚBLICA PARAESTATAL</w:t>
            </w:r>
          </w:p>
        </w:tc>
        <w:tc>
          <w:tcPr>
            <w:tcW w:w="2124" w:type="dxa"/>
          </w:tcPr>
          <w:p w14:paraId="5352CBFA"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$79,436,945.00 </w:t>
            </w:r>
          </w:p>
        </w:tc>
        <w:tc>
          <w:tcPr>
            <w:tcW w:w="1985" w:type="dxa"/>
          </w:tcPr>
          <w:p w14:paraId="2A68077E" w14:textId="77777777" w:rsidR="00D64E9E" w:rsidRPr="00340170" w:rsidRDefault="00D64E9E" w:rsidP="00156241">
            <w:pPr>
              <w:pStyle w:val="TableParagraph"/>
              <w:spacing w:before="113"/>
              <w:ind w:right="59"/>
              <w:jc w:val="right"/>
              <w:rPr>
                <w:sz w:val="20"/>
                <w:szCs w:val="18"/>
              </w:rPr>
            </w:pPr>
            <w:r w:rsidRPr="00340170">
              <w:rPr>
                <w:sz w:val="20"/>
                <w:szCs w:val="18"/>
              </w:rPr>
              <w:t xml:space="preserve"> $79,436,945.00 </w:t>
            </w:r>
          </w:p>
        </w:tc>
        <w:tc>
          <w:tcPr>
            <w:tcW w:w="2129" w:type="dxa"/>
          </w:tcPr>
          <w:p w14:paraId="73F44629" w14:textId="77777777" w:rsidR="00D64E9E" w:rsidRPr="00340170" w:rsidRDefault="00D64E9E" w:rsidP="00156241">
            <w:pPr>
              <w:pStyle w:val="TableParagraph"/>
              <w:spacing w:before="113"/>
              <w:ind w:right="59"/>
              <w:jc w:val="right"/>
              <w:rPr>
                <w:sz w:val="20"/>
                <w:szCs w:val="18"/>
              </w:rPr>
            </w:pPr>
            <w:r w:rsidRPr="00340170">
              <w:rPr>
                <w:sz w:val="20"/>
                <w:szCs w:val="18"/>
              </w:rPr>
              <w:t>100.00%</w:t>
            </w:r>
          </w:p>
        </w:tc>
      </w:tr>
      <w:tr w:rsidR="00D64E9E" w:rsidRPr="00F64EC4" w14:paraId="64740C98" w14:textId="77777777" w:rsidTr="00156241">
        <w:trPr>
          <w:trHeight w:val="454"/>
          <w:jc w:val="center"/>
        </w:trPr>
        <w:tc>
          <w:tcPr>
            <w:tcW w:w="2981" w:type="dxa"/>
            <w:tcBorders>
              <w:bottom w:val="single" w:sz="4" w:space="0" w:color="BFBFBF" w:themeColor="background1" w:themeShade="BF"/>
              <w:right w:val="single" w:sz="4" w:space="0" w:color="FFFFFF" w:themeColor="background1"/>
            </w:tcBorders>
            <w:shd w:val="clear" w:color="auto" w:fill="A5A5A5" w:themeFill="accent3"/>
          </w:tcPr>
          <w:p w14:paraId="633E6BCC" w14:textId="77777777" w:rsidR="00D64E9E" w:rsidRPr="00276E6F" w:rsidRDefault="00D64E9E" w:rsidP="00156241">
            <w:pPr>
              <w:pStyle w:val="TableParagraph"/>
              <w:spacing w:before="1" w:line="208" w:lineRule="exact"/>
              <w:ind w:left="1415" w:right="44" w:firstLine="592"/>
              <w:rPr>
                <w:b/>
                <w:sz w:val="18"/>
              </w:rPr>
            </w:pPr>
            <w:r w:rsidRPr="00276E6F">
              <w:rPr>
                <w:b/>
                <w:sz w:val="18"/>
              </w:rPr>
              <w:t>TOTAL DE DEUDA PÚBLICA</w:t>
            </w:r>
          </w:p>
        </w:tc>
        <w:tc>
          <w:tcPr>
            <w:tcW w:w="2124" w:type="dxa"/>
            <w:tcBorders>
              <w:left w:val="single" w:sz="4" w:space="0" w:color="FFFFFF" w:themeColor="background1"/>
              <w:bottom w:val="single" w:sz="4" w:space="0" w:color="BFBFBF" w:themeColor="background1" w:themeShade="BF"/>
              <w:right w:val="single" w:sz="4" w:space="0" w:color="FFFFFF" w:themeColor="background1"/>
            </w:tcBorders>
            <w:shd w:val="clear" w:color="auto" w:fill="A5A5A5" w:themeFill="accent3"/>
          </w:tcPr>
          <w:p w14:paraId="6CBA6386" w14:textId="77777777" w:rsidR="00D64E9E" w:rsidRPr="00340170" w:rsidRDefault="00D64E9E" w:rsidP="00156241">
            <w:pPr>
              <w:pStyle w:val="TableParagraph"/>
              <w:tabs>
                <w:tab w:val="left" w:pos="576"/>
              </w:tabs>
              <w:spacing w:before="113"/>
              <w:ind w:right="76"/>
              <w:jc w:val="right"/>
              <w:rPr>
                <w:b/>
                <w:bCs/>
                <w:sz w:val="20"/>
                <w:szCs w:val="18"/>
              </w:rPr>
            </w:pPr>
            <w:r w:rsidRPr="00340170">
              <w:rPr>
                <w:b/>
                <w:bCs/>
                <w:sz w:val="20"/>
                <w:szCs w:val="18"/>
              </w:rPr>
              <w:t xml:space="preserve"> $5,549,974,930.95 </w:t>
            </w:r>
          </w:p>
        </w:tc>
        <w:tc>
          <w:tcPr>
            <w:tcW w:w="1985" w:type="dxa"/>
            <w:tcBorders>
              <w:left w:val="single" w:sz="4" w:space="0" w:color="FFFFFF" w:themeColor="background1"/>
              <w:bottom w:val="single" w:sz="4" w:space="0" w:color="BFBFBF" w:themeColor="background1" w:themeShade="BF"/>
              <w:right w:val="single" w:sz="4" w:space="0" w:color="FFFFFF" w:themeColor="background1"/>
            </w:tcBorders>
            <w:shd w:val="clear" w:color="auto" w:fill="A5A5A5" w:themeFill="accent3"/>
          </w:tcPr>
          <w:p w14:paraId="4588F388" w14:textId="77777777" w:rsidR="00D64E9E" w:rsidRPr="00340170" w:rsidRDefault="00D64E9E" w:rsidP="00156241">
            <w:pPr>
              <w:pStyle w:val="TableParagraph"/>
              <w:tabs>
                <w:tab w:val="left" w:pos="576"/>
              </w:tabs>
              <w:spacing w:before="113"/>
              <w:ind w:right="76"/>
              <w:jc w:val="right"/>
              <w:rPr>
                <w:b/>
                <w:bCs/>
                <w:sz w:val="20"/>
                <w:szCs w:val="18"/>
              </w:rPr>
            </w:pPr>
            <w:r w:rsidRPr="00340170">
              <w:rPr>
                <w:b/>
                <w:bCs/>
                <w:sz w:val="20"/>
                <w:szCs w:val="18"/>
              </w:rPr>
              <w:t xml:space="preserve"> $3,366,969,787.20 </w:t>
            </w:r>
          </w:p>
        </w:tc>
        <w:tc>
          <w:tcPr>
            <w:tcW w:w="2129" w:type="dxa"/>
            <w:tcBorders>
              <w:left w:val="single" w:sz="4" w:space="0" w:color="FFFFFF" w:themeColor="background1"/>
              <w:bottom w:val="single" w:sz="4" w:space="0" w:color="BFBFBF" w:themeColor="background1" w:themeShade="BF"/>
            </w:tcBorders>
            <w:shd w:val="clear" w:color="auto" w:fill="A5A5A5" w:themeFill="accent3"/>
          </w:tcPr>
          <w:p w14:paraId="31F378F5" w14:textId="77777777" w:rsidR="00D64E9E" w:rsidRPr="00340170" w:rsidRDefault="00D64E9E" w:rsidP="00156241">
            <w:pPr>
              <w:pStyle w:val="TableParagraph"/>
              <w:tabs>
                <w:tab w:val="left" w:pos="576"/>
              </w:tabs>
              <w:spacing w:before="113"/>
              <w:ind w:right="76"/>
              <w:jc w:val="right"/>
              <w:rPr>
                <w:b/>
                <w:bCs/>
                <w:sz w:val="20"/>
                <w:szCs w:val="18"/>
              </w:rPr>
            </w:pPr>
            <w:r w:rsidRPr="00340170">
              <w:rPr>
                <w:b/>
                <w:bCs/>
                <w:sz w:val="20"/>
                <w:szCs w:val="18"/>
              </w:rPr>
              <w:t>60.67%</w:t>
            </w:r>
          </w:p>
        </w:tc>
      </w:tr>
      <w:tr w:rsidR="00D64E9E" w:rsidRPr="00F64EC4" w14:paraId="42A625B0" w14:textId="77777777" w:rsidTr="00156241">
        <w:trPr>
          <w:trHeight w:val="414"/>
          <w:jc w:val="center"/>
        </w:trPr>
        <w:tc>
          <w:tcPr>
            <w:tcW w:w="9219" w:type="dxa"/>
            <w:gridSpan w:val="4"/>
            <w:tcBorders>
              <w:top w:val="single" w:sz="4" w:space="0" w:color="BFBFBF" w:themeColor="background1" w:themeShade="BF"/>
              <w:left w:val="nil"/>
              <w:bottom w:val="nil"/>
              <w:right w:val="nil"/>
            </w:tcBorders>
            <w:shd w:val="clear" w:color="auto" w:fill="auto"/>
            <w:vAlign w:val="center"/>
          </w:tcPr>
          <w:p w14:paraId="531408E5" w14:textId="77777777" w:rsidR="00D64E9E" w:rsidRPr="001004B0" w:rsidRDefault="00D64E9E" w:rsidP="00156241">
            <w:pPr>
              <w:pStyle w:val="Textoindependiente"/>
              <w:spacing w:line="276" w:lineRule="auto"/>
              <w:rPr>
                <w:i/>
                <w:sz w:val="18"/>
              </w:rPr>
            </w:pPr>
            <w:r w:rsidRPr="001004B0">
              <w:rPr>
                <w:b/>
                <w:bCs/>
                <w:i/>
                <w:noProof/>
                <w:sz w:val="18"/>
                <w:szCs w:val="16"/>
                <w:lang w:eastAsia="es-MX"/>
              </w:rPr>
              <w:t>Tabla N°</w:t>
            </w:r>
            <w:r w:rsidR="00156241" w:rsidRPr="001004B0">
              <w:rPr>
                <w:b/>
                <w:bCs/>
                <w:i/>
                <w:noProof/>
                <w:sz w:val="18"/>
                <w:szCs w:val="16"/>
                <w:lang w:eastAsia="es-MX"/>
              </w:rPr>
              <w:t>6</w:t>
            </w:r>
            <w:r w:rsidRPr="001004B0">
              <w:rPr>
                <w:b/>
                <w:bCs/>
                <w:i/>
                <w:noProof/>
                <w:sz w:val="18"/>
                <w:szCs w:val="16"/>
                <w:lang w:eastAsia="es-MX"/>
              </w:rPr>
              <w:t>:</w:t>
            </w:r>
            <w:r w:rsidRPr="001004B0">
              <w:rPr>
                <w:bCs/>
                <w:i/>
                <w:noProof/>
                <w:sz w:val="18"/>
                <w:szCs w:val="16"/>
                <w:lang w:eastAsia="es-MX"/>
              </w:rPr>
              <w:t xml:space="preserve"> Elaboración propia, corresponde al cálculo de la muestra fiscalizada en auditorías a deuda pública.</w:t>
            </w:r>
          </w:p>
        </w:tc>
      </w:tr>
    </w:tbl>
    <w:p w14:paraId="7B00AB5F" w14:textId="77777777" w:rsidR="00D64E9E" w:rsidRDefault="00D64E9E" w:rsidP="006A52DA">
      <w:pPr>
        <w:rPr>
          <w:rFonts w:ascii="Arial" w:hAnsi="Arial" w:cs="Arial"/>
          <w:sz w:val="20"/>
          <w:szCs w:val="24"/>
        </w:rPr>
      </w:pPr>
    </w:p>
    <w:tbl>
      <w:tblPr>
        <w:tblStyle w:val="Tabladecuadrcula4-nfasis3"/>
        <w:tblW w:w="991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57" w:type="dxa"/>
          <w:right w:w="28" w:type="dxa"/>
        </w:tblCellMar>
        <w:tblLook w:val="01E0" w:firstRow="1" w:lastRow="1" w:firstColumn="1" w:lastColumn="1" w:noHBand="0" w:noVBand="0"/>
      </w:tblPr>
      <w:tblGrid>
        <w:gridCol w:w="2405"/>
        <w:gridCol w:w="1701"/>
        <w:gridCol w:w="1843"/>
        <w:gridCol w:w="1701"/>
        <w:gridCol w:w="2268"/>
      </w:tblGrid>
      <w:tr w:rsidR="001D15DF" w:rsidRPr="00F7194B" w14:paraId="271BDD66" w14:textId="77777777" w:rsidTr="00772EF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918" w:type="dxa"/>
            <w:gridSpan w:val="5"/>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tcPr>
          <w:p w14:paraId="63BB64EE" w14:textId="77777777" w:rsidR="001D15DF" w:rsidRPr="00032301" w:rsidRDefault="001D15DF" w:rsidP="003611E0">
            <w:pPr>
              <w:pStyle w:val="TableParagraph"/>
              <w:spacing w:before="106"/>
              <w:ind w:left="3081" w:right="3076"/>
              <w:jc w:val="center"/>
              <w:rPr>
                <w:color w:val="auto"/>
                <w:sz w:val="18"/>
              </w:rPr>
            </w:pPr>
            <w:r w:rsidRPr="00032301">
              <w:rPr>
                <w:color w:val="auto"/>
                <w:sz w:val="18"/>
              </w:rPr>
              <w:t>INVERSIONES FÍSICAS FISCALIZADAS</w:t>
            </w:r>
          </w:p>
        </w:tc>
      </w:tr>
      <w:tr w:rsidR="001D15DF" w:rsidRPr="00F7194B" w14:paraId="0E1A128D" w14:textId="77777777" w:rsidTr="00772EF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A5A5A5" w:themeFill="accent3"/>
          </w:tcPr>
          <w:p w14:paraId="73094AD9" w14:textId="77777777" w:rsidR="001D15DF" w:rsidRPr="00EF1219" w:rsidRDefault="001D15DF" w:rsidP="003611E0">
            <w:pPr>
              <w:pStyle w:val="TableParagraph"/>
              <w:spacing w:before="106"/>
              <w:ind w:left="614"/>
              <w:rPr>
                <w:color w:val="FFFFFF" w:themeColor="background1"/>
                <w:sz w:val="18"/>
              </w:rPr>
            </w:pPr>
            <w:r w:rsidRPr="00032301">
              <w:rPr>
                <w:sz w:val="18"/>
              </w:rPr>
              <w:t>CONCEPTO</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tcPr>
          <w:p w14:paraId="46895AE5" w14:textId="77777777" w:rsidR="001D15DF" w:rsidRPr="00032301" w:rsidRDefault="001D15DF" w:rsidP="003611E0">
            <w:pPr>
              <w:pStyle w:val="TableParagraph"/>
              <w:spacing w:before="106"/>
              <w:ind w:left="375"/>
              <w:rPr>
                <w:b/>
                <w:sz w:val="18"/>
              </w:rPr>
            </w:pPr>
            <w:r w:rsidRPr="00032301">
              <w:rPr>
                <w:b/>
                <w:sz w:val="18"/>
              </w:rPr>
              <w:t>UNIVERSO</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tcPr>
          <w:p w14:paraId="1E70EAF8" w14:textId="77777777" w:rsidR="001D15DF" w:rsidRPr="00032301" w:rsidRDefault="001D15DF" w:rsidP="003611E0">
            <w:pPr>
              <w:pStyle w:val="TableParagraph"/>
              <w:spacing w:line="210" w:lineRule="atLeast"/>
              <w:ind w:right="291"/>
              <w:jc w:val="center"/>
              <w:cnfStyle w:val="000000100000" w:firstRow="0" w:lastRow="0" w:firstColumn="0" w:lastColumn="0" w:oddVBand="0" w:evenVBand="0" w:oddHBand="1" w:evenHBand="0" w:firstRowFirstColumn="0" w:firstRowLastColumn="0" w:lastRowFirstColumn="0" w:lastRowLastColumn="0"/>
              <w:rPr>
                <w:b/>
                <w:sz w:val="18"/>
              </w:rPr>
            </w:pPr>
            <w:r w:rsidRPr="00032301">
              <w:rPr>
                <w:b/>
                <w:sz w:val="18"/>
              </w:rPr>
              <w:t>POBLACIÓN OBJETIVO</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tcPr>
          <w:p w14:paraId="6CF2F585" w14:textId="77777777" w:rsidR="001D15DF" w:rsidRPr="00032301" w:rsidRDefault="001D15DF" w:rsidP="00F34B64">
            <w:pPr>
              <w:pStyle w:val="TableParagraph"/>
              <w:tabs>
                <w:tab w:val="left" w:pos="1220"/>
              </w:tabs>
              <w:spacing w:line="210" w:lineRule="atLeast"/>
              <w:ind w:right="326"/>
              <w:jc w:val="center"/>
              <w:rPr>
                <w:b/>
                <w:sz w:val="18"/>
              </w:rPr>
            </w:pPr>
            <w:r w:rsidRPr="00032301">
              <w:rPr>
                <w:b/>
                <w:sz w:val="18"/>
              </w:rPr>
              <w:t>MUESTRA AUDITADA</w:t>
            </w:r>
          </w:p>
        </w:tc>
        <w:tc>
          <w:tcPr>
            <w:cnfStyle w:val="000100000000" w:firstRow="0" w:lastRow="0" w:firstColumn="0" w:lastColumn="1" w:oddVBand="0" w:evenVBand="0" w:oddHBand="0" w:evenHBand="0" w:firstRowFirstColumn="0" w:firstRowLastColumn="0" w:lastRowFirstColumn="0" w:lastRowLastColumn="0"/>
            <w:tcW w:w="2268"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5A5A5" w:themeFill="accent3"/>
          </w:tcPr>
          <w:p w14:paraId="3FC1EFD2" w14:textId="77777777" w:rsidR="001D15DF" w:rsidRPr="00032301" w:rsidRDefault="001D15DF" w:rsidP="00F34B64">
            <w:pPr>
              <w:pStyle w:val="TableParagraph"/>
              <w:spacing w:line="208" w:lineRule="exact"/>
              <w:ind w:left="84"/>
              <w:jc w:val="center"/>
              <w:rPr>
                <w:sz w:val="18"/>
              </w:rPr>
            </w:pPr>
            <w:r>
              <w:rPr>
                <w:sz w:val="18"/>
              </w:rPr>
              <w:t>REPRESENTATIVIDA</w:t>
            </w:r>
            <w:r w:rsidRPr="00032301">
              <w:rPr>
                <w:sz w:val="18"/>
              </w:rPr>
              <w:t>D DE LA MUESTRA</w:t>
            </w:r>
          </w:p>
        </w:tc>
      </w:tr>
      <w:tr w:rsidR="001D15DF" w:rsidRPr="00F7194B" w14:paraId="24993209" w14:textId="77777777" w:rsidTr="00772EF8">
        <w:trPr>
          <w:trHeight w:val="454"/>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FFFFF" w:themeColor="background1"/>
            </w:tcBorders>
            <w:shd w:val="clear" w:color="auto" w:fill="auto"/>
            <w:vAlign w:val="center"/>
          </w:tcPr>
          <w:p w14:paraId="194654BC" w14:textId="77777777" w:rsidR="001D15DF" w:rsidRPr="00F7194B" w:rsidRDefault="001D15DF" w:rsidP="003611E0">
            <w:pPr>
              <w:pStyle w:val="TableParagraph"/>
              <w:spacing w:before="46"/>
              <w:ind w:left="66"/>
              <w:rPr>
                <w:sz w:val="18"/>
              </w:rPr>
            </w:pPr>
            <w:r w:rsidRPr="00F7194B">
              <w:rPr>
                <w:sz w:val="18"/>
              </w:rPr>
              <w:t>PODERES</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FFFFFF" w:themeColor="background1"/>
            </w:tcBorders>
            <w:shd w:val="clear" w:color="auto" w:fill="auto"/>
            <w:vAlign w:val="center"/>
          </w:tcPr>
          <w:p w14:paraId="3A2D7BE6" w14:textId="77777777" w:rsidR="001D15DF" w:rsidRPr="00340170" w:rsidRDefault="001D15DF" w:rsidP="003611E0">
            <w:pPr>
              <w:jc w:val="right"/>
              <w:rPr>
                <w:rFonts w:ascii="Arial" w:hAnsi="Arial" w:cs="Arial"/>
                <w:color w:val="000000"/>
                <w:sz w:val="18"/>
                <w:szCs w:val="18"/>
              </w:rPr>
            </w:pPr>
            <w:r w:rsidRPr="00340170">
              <w:rPr>
                <w:rFonts w:ascii="Arial" w:hAnsi="Arial" w:cs="Arial"/>
                <w:sz w:val="18"/>
                <w:szCs w:val="18"/>
              </w:rPr>
              <w:t>$ 942,841,014.05</w:t>
            </w:r>
          </w:p>
        </w:tc>
        <w:tc>
          <w:tcPr>
            <w:tcW w:w="1843" w:type="dxa"/>
            <w:tcBorders>
              <w:top w:val="single" w:sz="4" w:space="0" w:color="FFFFFF" w:themeColor="background1"/>
            </w:tcBorders>
            <w:shd w:val="clear" w:color="auto" w:fill="auto"/>
            <w:vAlign w:val="center"/>
          </w:tcPr>
          <w:p w14:paraId="7DF70AF5" w14:textId="77777777" w:rsidR="001D15DF" w:rsidRPr="00340170" w:rsidRDefault="001D15DF" w:rsidP="003611E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40170">
              <w:rPr>
                <w:rFonts w:ascii="Arial" w:hAnsi="Arial" w:cs="Arial"/>
                <w:sz w:val="18"/>
                <w:szCs w:val="18"/>
              </w:rPr>
              <w:t xml:space="preserve"> $ 425,894,829.14 </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FFFFFF" w:themeColor="background1"/>
            </w:tcBorders>
            <w:shd w:val="clear" w:color="auto" w:fill="auto"/>
            <w:vAlign w:val="center"/>
          </w:tcPr>
          <w:p w14:paraId="096C4222" w14:textId="77777777" w:rsidR="001D15DF" w:rsidRPr="00340170" w:rsidRDefault="001D15DF" w:rsidP="003611E0">
            <w:pPr>
              <w:jc w:val="right"/>
              <w:rPr>
                <w:rFonts w:ascii="Arial" w:hAnsi="Arial" w:cs="Arial"/>
                <w:color w:val="000000"/>
                <w:sz w:val="18"/>
                <w:szCs w:val="18"/>
              </w:rPr>
            </w:pPr>
            <w:r w:rsidRPr="00340170">
              <w:rPr>
                <w:rFonts w:ascii="Arial" w:hAnsi="Arial" w:cs="Arial"/>
                <w:sz w:val="18"/>
                <w:szCs w:val="18"/>
              </w:rPr>
              <w:t xml:space="preserve"> $ 339,324,816.26 </w:t>
            </w:r>
          </w:p>
        </w:tc>
        <w:tc>
          <w:tcPr>
            <w:cnfStyle w:val="000100000000" w:firstRow="0" w:lastRow="0" w:firstColumn="0" w:lastColumn="1" w:oddVBand="0" w:evenVBand="0" w:oddHBand="0" w:evenHBand="0" w:firstRowFirstColumn="0" w:firstRowLastColumn="0" w:lastRowFirstColumn="0" w:lastRowLastColumn="0"/>
            <w:tcW w:w="2268" w:type="dxa"/>
            <w:tcBorders>
              <w:top w:val="single" w:sz="4" w:space="0" w:color="FFFFFF" w:themeColor="background1"/>
            </w:tcBorders>
            <w:shd w:val="clear" w:color="auto" w:fill="auto"/>
            <w:vAlign w:val="center"/>
          </w:tcPr>
          <w:p w14:paraId="1931BFD6" w14:textId="77777777" w:rsidR="001D15DF" w:rsidRPr="00340170" w:rsidRDefault="001D15DF" w:rsidP="003611E0">
            <w:pPr>
              <w:jc w:val="center"/>
              <w:rPr>
                <w:rFonts w:ascii="Arial" w:hAnsi="Arial" w:cs="Arial"/>
                <w:b w:val="0"/>
                <w:color w:val="000000"/>
                <w:sz w:val="18"/>
                <w:szCs w:val="18"/>
              </w:rPr>
            </w:pPr>
            <w:r w:rsidRPr="00340170">
              <w:rPr>
                <w:rFonts w:ascii="Arial" w:hAnsi="Arial" w:cs="Arial"/>
                <w:b w:val="0"/>
                <w:sz w:val="18"/>
                <w:szCs w:val="18"/>
              </w:rPr>
              <w:t>79.67%</w:t>
            </w:r>
          </w:p>
        </w:tc>
      </w:tr>
      <w:tr w:rsidR="001D15DF" w:rsidRPr="00F7194B" w14:paraId="302BC9F3" w14:textId="77777777" w:rsidTr="00772EF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24214D13" w14:textId="77777777" w:rsidR="001D15DF" w:rsidRPr="00F7194B" w:rsidRDefault="001D15DF" w:rsidP="003611E0">
            <w:pPr>
              <w:pStyle w:val="TableParagraph"/>
              <w:spacing w:line="208" w:lineRule="exact"/>
              <w:ind w:left="66" w:right="638"/>
              <w:rPr>
                <w:sz w:val="18"/>
              </w:rPr>
            </w:pPr>
            <w:r w:rsidRPr="00F7194B">
              <w:rPr>
                <w:sz w:val="18"/>
              </w:rPr>
              <w:t>ENTIDADES PARAESTATALES</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vAlign w:val="center"/>
          </w:tcPr>
          <w:p w14:paraId="2C96A885" w14:textId="77777777" w:rsidR="001D15DF" w:rsidRPr="00340170" w:rsidRDefault="001D15DF" w:rsidP="003611E0">
            <w:pPr>
              <w:jc w:val="right"/>
              <w:rPr>
                <w:rFonts w:ascii="Arial" w:hAnsi="Arial" w:cs="Arial"/>
                <w:color w:val="000000"/>
                <w:sz w:val="18"/>
                <w:szCs w:val="18"/>
              </w:rPr>
            </w:pPr>
            <w:r w:rsidRPr="00340170">
              <w:rPr>
                <w:rFonts w:ascii="Arial" w:hAnsi="Arial" w:cs="Arial"/>
                <w:sz w:val="18"/>
                <w:szCs w:val="18"/>
              </w:rPr>
              <w:t>$ 415,225,126.38</w:t>
            </w:r>
          </w:p>
        </w:tc>
        <w:tc>
          <w:tcPr>
            <w:tcW w:w="1843" w:type="dxa"/>
            <w:shd w:val="clear" w:color="auto" w:fill="auto"/>
            <w:vAlign w:val="center"/>
          </w:tcPr>
          <w:p w14:paraId="2ACBCF42" w14:textId="77777777" w:rsidR="001D15DF" w:rsidRPr="00340170" w:rsidRDefault="001D15DF" w:rsidP="003611E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40170">
              <w:rPr>
                <w:rFonts w:ascii="Arial" w:hAnsi="Arial" w:cs="Arial"/>
                <w:sz w:val="18"/>
                <w:szCs w:val="18"/>
              </w:rPr>
              <w:t xml:space="preserve"> $ 230,036,506.66 </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vAlign w:val="center"/>
          </w:tcPr>
          <w:p w14:paraId="67DAE1C1" w14:textId="77777777" w:rsidR="001D15DF" w:rsidRPr="00340170" w:rsidRDefault="001D15DF" w:rsidP="003611E0">
            <w:pPr>
              <w:jc w:val="right"/>
              <w:rPr>
                <w:rFonts w:ascii="Arial" w:hAnsi="Arial" w:cs="Arial"/>
                <w:color w:val="000000"/>
                <w:sz w:val="18"/>
                <w:szCs w:val="18"/>
              </w:rPr>
            </w:pPr>
            <w:r w:rsidRPr="00340170">
              <w:rPr>
                <w:rFonts w:ascii="Arial" w:hAnsi="Arial" w:cs="Arial"/>
                <w:sz w:val="18"/>
                <w:szCs w:val="18"/>
              </w:rPr>
              <w:t xml:space="preserve"> $ 193,615,482.22 </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14:paraId="53138D97" w14:textId="77777777" w:rsidR="001D15DF" w:rsidRPr="00340170" w:rsidRDefault="001D15DF" w:rsidP="003611E0">
            <w:pPr>
              <w:jc w:val="center"/>
              <w:rPr>
                <w:rFonts w:ascii="Arial" w:hAnsi="Arial" w:cs="Arial"/>
                <w:b w:val="0"/>
                <w:color w:val="000000"/>
                <w:sz w:val="18"/>
                <w:szCs w:val="18"/>
              </w:rPr>
            </w:pPr>
            <w:r w:rsidRPr="00340170">
              <w:rPr>
                <w:rFonts w:ascii="Arial" w:hAnsi="Arial" w:cs="Arial"/>
                <w:b w:val="0"/>
                <w:sz w:val="18"/>
                <w:szCs w:val="18"/>
              </w:rPr>
              <w:t>84.17%</w:t>
            </w:r>
          </w:p>
        </w:tc>
      </w:tr>
      <w:tr w:rsidR="001D15DF" w:rsidRPr="00F7194B" w14:paraId="60A52280" w14:textId="77777777" w:rsidTr="00772EF8">
        <w:trPr>
          <w:trHeight w:val="454"/>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1AEF3EEE" w14:textId="77777777" w:rsidR="001D15DF" w:rsidRPr="00F7194B" w:rsidRDefault="001D15DF" w:rsidP="003611E0">
            <w:pPr>
              <w:pStyle w:val="TableParagraph"/>
              <w:spacing w:line="208" w:lineRule="exact"/>
              <w:ind w:left="66" w:right="638"/>
              <w:rPr>
                <w:sz w:val="18"/>
              </w:rPr>
            </w:pPr>
            <w:r>
              <w:rPr>
                <w:sz w:val="18"/>
              </w:rPr>
              <w:t>ORGÁNOS AUTÓNOMOS</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vAlign w:val="center"/>
          </w:tcPr>
          <w:p w14:paraId="674DE728" w14:textId="77777777" w:rsidR="001D15DF" w:rsidRPr="00340170" w:rsidRDefault="001D15DF" w:rsidP="003611E0">
            <w:pPr>
              <w:jc w:val="right"/>
              <w:rPr>
                <w:rFonts w:ascii="Arial" w:hAnsi="Arial" w:cs="Arial"/>
                <w:sz w:val="18"/>
                <w:szCs w:val="18"/>
              </w:rPr>
            </w:pPr>
            <w:r w:rsidRPr="00340170">
              <w:rPr>
                <w:rFonts w:ascii="Arial" w:hAnsi="Arial" w:cs="Arial"/>
                <w:sz w:val="18"/>
                <w:szCs w:val="18"/>
              </w:rPr>
              <w:t>$ 76,891,390.74</w:t>
            </w:r>
          </w:p>
        </w:tc>
        <w:tc>
          <w:tcPr>
            <w:tcW w:w="1843" w:type="dxa"/>
            <w:shd w:val="clear" w:color="auto" w:fill="auto"/>
            <w:vAlign w:val="center"/>
          </w:tcPr>
          <w:p w14:paraId="32A9DA4D" w14:textId="77777777" w:rsidR="001D15DF" w:rsidRPr="00340170" w:rsidRDefault="001D15DF" w:rsidP="003611E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40170">
              <w:rPr>
                <w:rFonts w:ascii="Arial" w:hAnsi="Arial" w:cs="Arial"/>
                <w:sz w:val="18"/>
                <w:szCs w:val="18"/>
              </w:rPr>
              <w:t xml:space="preserve"> $ 42,891,390.74 </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vAlign w:val="center"/>
          </w:tcPr>
          <w:p w14:paraId="39287D9C" w14:textId="77777777" w:rsidR="001D15DF" w:rsidRPr="00340170" w:rsidRDefault="001D15DF" w:rsidP="003611E0">
            <w:pPr>
              <w:jc w:val="right"/>
              <w:rPr>
                <w:rFonts w:ascii="Arial" w:hAnsi="Arial" w:cs="Arial"/>
                <w:sz w:val="18"/>
                <w:szCs w:val="18"/>
              </w:rPr>
            </w:pPr>
            <w:r w:rsidRPr="00340170">
              <w:rPr>
                <w:rFonts w:ascii="Arial" w:hAnsi="Arial" w:cs="Arial"/>
                <w:sz w:val="18"/>
                <w:szCs w:val="18"/>
              </w:rPr>
              <w:t xml:space="preserve"> $ 42,891,390.74 </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14:paraId="6167A801" w14:textId="77777777" w:rsidR="001D15DF" w:rsidRPr="00340170" w:rsidRDefault="001D15DF" w:rsidP="003611E0">
            <w:pPr>
              <w:jc w:val="center"/>
              <w:rPr>
                <w:rFonts w:ascii="Arial" w:hAnsi="Arial" w:cs="Arial"/>
                <w:b w:val="0"/>
                <w:sz w:val="18"/>
                <w:szCs w:val="18"/>
              </w:rPr>
            </w:pPr>
            <w:r w:rsidRPr="00340170">
              <w:rPr>
                <w:rFonts w:ascii="Arial" w:hAnsi="Arial" w:cs="Arial"/>
                <w:b w:val="0"/>
                <w:sz w:val="18"/>
                <w:szCs w:val="18"/>
              </w:rPr>
              <w:t>100.00%</w:t>
            </w:r>
          </w:p>
        </w:tc>
      </w:tr>
      <w:tr w:rsidR="001D15DF" w:rsidRPr="00F7194B" w14:paraId="27128B8A" w14:textId="77777777" w:rsidTr="00772EF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3A29772B" w14:textId="77777777" w:rsidR="001D15DF" w:rsidRPr="00F7194B" w:rsidRDefault="001D15DF" w:rsidP="003611E0">
            <w:pPr>
              <w:pStyle w:val="TableParagraph"/>
              <w:spacing w:before="44"/>
              <w:ind w:left="66"/>
              <w:rPr>
                <w:sz w:val="18"/>
              </w:rPr>
            </w:pPr>
            <w:r w:rsidRPr="00F7194B">
              <w:rPr>
                <w:sz w:val="18"/>
              </w:rPr>
              <w:t>MUNICIPIOS</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vAlign w:val="center"/>
          </w:tcPr>
          <w:p w14:paraId="63CD9153" w14:textId="77777777" w:rsidR="001D15DF" w:rsidRPr="00340170" w:rsidRDefault="001D15DF" w:rsidP="003611E0">
            <w:pPr>
              <w:jc w:val="right"/>
              <w:rPr>
                <w:rFonts w:ascii="Arial" w:hAnsi="Arial" w:cs="Arial"/>
                <w:color w:val="000000"/>
                <w:sz w:val="18"/>
                <w:szCs w:val="18"/>
              </w:rPr>
            </w:pPr>
            <w:r w:rsidRPr="00340170">
              <w:rPr>
                <w:rFonts w:ascii="Arial" w:hAnsi="Arial" w:cs="Arial"/>
                <w:sz w:val="18"/>
                <w:szCs w:val="18"/>
              </w:rPr>
              <w:t xml:space="preserve"> $1,594,399,189.10 </w:t>
            </w:r>
          </w:p>
        </w:tc>
        <w:tc>
          <w:tcPr>
            <w:tcW w:w="1843" w:type="dxa"/>
            <w:shd w:val="clear" w:color="auto" w:fill="auto"/>
            <w:vAlign w:val="center"/>
          </w:tcPr>
          <w:p w14:paraId="604CFBC9" w14:textId="77777777" w:rsidR="001D15DF" w:rsidRPr="00340170" w:rsidRDefault="001D15DF" w:rsidP="003611E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40170">
              <w:rPr>
                <w:rFonts w:ascii="Arial" w:hAnsi="Arial" w:cs="Arial"/>
                <w:sz w:val="18"/>
                <w:szCs w:val="18"/>
              </w:rPr>
              <w:t xml:space="preserve"> $ 1,588,050,828.87 </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vAlign w:val="center"/>
          </w:tcPr>
          <w:p w14:paraId="046437AC" w14:textId="77777777" w:rsidR="001D15DF" w:rsidRPr="00340170" w:rsidRDefault="001D15DF" w:rsidP="003611E0">
            <w:pPr>
              <w:jc w:val="right"/>
              <w:rPr>
                <w:rFonts w:ascii="Arial" w:hAnsi="Arial" w:cs="Arial"/>
                <w:color w:val="000000"/>
                <w:sz w:val="18"/>
                <w:szCs w:val="18"/>
              </w:rPr>
            </w:pPr>
            <w:r w:rsidRPr="00340170">
              <w:rPr>
                <w:rFonts w:ascii="Arial" w:hAnsi="Arial" w:cs="Arial"/>
                <w:sz w:val="18"/>
                <w:szCs w:val="18"/>
              </w:rPr>
              <w:t xml:space="preserve"> $1,236,392,417.35 </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14:paraId="13B8794F" w14:textId="77777777" w:rsidR="001D15DF" w:rsidRPr="00340170" w:rsidRDefault="001D15DF" w:rsidP="003611E0">
            <w:pPr>
              <w:jc w:val="center"/>
              <w:rPr>
                <w:rFonts w:ascii="Arial" w:hAnsi="Arial" w:cs="Arial"/>
                <w:b w:val="0"/>
                <w:color w:val="000000"/>
                <w:sz w:val="18"/>
                <w:szCs w:val="18"/>
              </w:rPr>
            </w:pPr>
            <w:r w:rsidRPr="00340170">
              <w:rPr>
                <w:rFonts w:ascii="Arial" w:hAnsi="Arial" w:cs="Arial"/>
                <w:b w:val="0"/>
                <w:sz w:val="18"/>
                <w:szCs w:val="18"/>
              </w:rPr>
              <w:t>77.86%</w:t>
            </w:r>
          </w:p>
        </w:tc>
      </w:tr>
      <w:tr w:rsidR="001D15DF" w:rsidRPr="00F7194B" w14:paraId="4A295592" w14:textId="77777777" w:rsidTr="00772EF8">
        <w:trPr>
          <w:trHeight w:val="454"/>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0D7FFDAF" w14:textId="77777777" w:rsidR="001D15DF" w:rsidRPr="00F7194B" w:rsidRDefault="001D15DF" w:rsidP="003611E0">
            <w:pPr>
              <w:pStyle w:val="TableParagraph"/>
              <w:spacing w:before="46"/>
              <w:ind w:left="66"/>
              <w:rPr>
                <w:sz w:val="18"/>
              </w:rPr>
            </w:pPr>
            <w:r w:rsidRPr="00F7194B">
              <w:rPr>
                <w:sz w:val="18"/>
              </w:rPr>
              <w:t>PARAMUNICIPALES</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vAlign w:val="center"/>
          </w:tcPr>
          <w:p w14:paraId="0233E02B" w14:textId="77777777" w:rsidR="001D15DF" w:rsidRPr="00340170" w:rsidRDefault="001D15DF" w:rsidP="003611E0">
            <w:pPr>
              <w:jc w:val="right"/>
              <w:rPr>
                <w:rFonts w:ascii="Arial" w:hAnsi="Arial" w:cs="Arial"/>
                <w:color w:val="000000"/>
                <w:sz w:val="18"/>
                <w:szCs w:val="18"/>
              </w:rPr>
            </w:pPr>
            <w:r w:rsidRPr="00340170">
              <w:rPr>
                <w:rFonts w:ascii="Arial" w:hAnsi="Arial" w:cs="Arial"/>
                <w:color w:val="000000"/>
                <w:sz w:val="18"/>
                <w:szCs w:val="18"/>
              </w:rPr>
              <w:t xml:space="preserve"> $ 1,551,529.68 </w:t>
            </w:r>
          </w:p>
        </w:tc>
        <w:tc>
          <w:tcPr>
            <w:tcW w:w="1843" w:type="dxa"/>
            <w:shd w:val="clear" w:color="auto" w:fill="auto"/>
            <w:vAlign w:val="center"/>
          </w:tcPr>
          <w:p w14:paraId="1B2B90F0" w14:textId="77777777" w:rsidR="001D15DF" w:rsidRPr="00340170" w:rsidRDefault="001D15DF" w:rsidP="003611E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40170">
              <w:rPr>
                <w:rFonts w:ascii="Arial" w:hAnsi="Arial" w:cs="Arial"/>
                <w:color w:val="000000"/>
                <w:sz w:val="18"/>
                <w:szCs w:val="18"/>
              </w:rPr>
              <w:t xml:space="preserve"> $ 1,551,529.68 </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vAlign w:val="center"/>
          </w:tcPr>
          <w:p w14:paraId="71640D52" w14:textId="77777777" w:rsidR="001D15DF" w:rsidRPr="00340170" w:rsidRDefault="001D15DF" w:rsidP="003611E0">
            <w:pPr>
              <w:jc w:val="right"/>
              <w:rPr>
                <w:rFonts w:ascii="Arial" w:hAnsi="Arial" w:cs="Arial"/>
                <w:color w:val="000000"/>
                <w:sz w:val="18"/>
                <w:szCs w:val="18"/>
              </w:rPr>
            </w:pPr>
            <w:r w:rsidRPr="00340170">
              <w:rPr>
                <w:rFonts w:ascii="Arial" w:hAnsi="Arial" w:cs="Arial"/>
                <w:color w:val="000000"/>
                <w:sz w:val="18"/>
                <w:szCs w:val="18"/>
              </w:rPr>
              <w:t xml:space="preserve"> $ 1,253,373.68 </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14:paraId="265FF43B" w14:textId="77777777" w:rsidR="001D15DF" w:rsidRPr="00340170" w:rsidRDefault="001D15DF" w:rsidP="003611E0">
            <w:pPr>
              <w:jc w:val="center"/>
              <w:rPr>
                <w:rFonts w:ascii="Arial" w:hAnsi="Arial" w:cs="Arial"/>
                <w:b w:val="0"/>
                <w:color w:val="000000"/>
                <w:sz w:val="18"/>
                <w:szCs w:val="18"/>
              </w:rPr>
            </w:pPr>
            <w:r w:rsidRPr="00340170">
              <w:rPr>
                <w:rFonts w:ascii="Arial" w:hAnsi="Arial" w:cs="Arial"/>
                <w:b w:val="0"/>
                <w:color w:val="000000"/>
                <w:sz w:val="18"/>
                <w:szCs w:val="18"/>
              </w:rPr>
              <w:t>80.78%</w:t>
            </w:r>
          </w:p>
        </w:tc>
      </w:tr>
      <w:tr w:rsidR="001D15DF" w:rsidRPr="00F7194B" w14:paraId="00D63CB4" w14:textId="77777777" w:rsidTr="00772EF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BFBFBF" w:themeColor="background1" w:themeShade="BF"/>
              <w:right w:val="single" w:sz="4" w:space="0" w:color="FFFFFF" w:themeColor="background1"/>
            </w:tcBorders>
            <w:shd w:val="clear" w:color="auto" w:fill="A5A5A5" w:themeFill="accent3"/>
          </w:tcPr>
          <w:p w14:paraId="2EC4AF96" w14:textId="77777777" w:rsidR="001D15DF" w:rsidRPr="00276E6F" w:rsidRDefault="001D15DF" w:rsidP="00772EF8">
            <w:pPr>
              <w:pStyle w:val="TableParagraph"/>
              <w:spacing w:before="82"/>
              <w:rPr>
                <w:sz w:val="18"/>
              </w:rPr>
            </w:pPr>
            <w:r w:rsidRPr="00276E6F">
              <w:rPr>
                <w:sz w:val="18"/>
              </w:rPr>
              <w:t>TOTAL DE INVERSIONES FÍSICAS FISCALIZADAS</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4" w:space="0" w:color="FFFFFF" w:themeColor="background1"/>
              <w:bottom w:val="single" w:sz="4" w:space="0" w:color="BFBFBF" w:themeColor="background1" w:themeShade="BF"/>
              <w:right w:val="single" w:sz="4" w:space="0" w:color="FFFFFF" w:themeColor="background1"/>
            </w:tcBorders>
            <w:shd w:val="clear" w:color="auto" w:fill="A5A5A5" w:themeFill="accent3"/>
            <w:vAlign w:val="center"/>
          </w:tcPr>
          <w:p w14:paraId="4A90D666" w14:textId="77777777" w:rsidR="001D15DF" w:rsidRPr="00340170" w:rsidRDefault="001D15DF" w:rsidP="003611E0">
            <w:pPr>
              <w:jc w:val="right"/>
              <w:rPr>
                <w:rFonts w:ascii="Arial" w:hAnsi="Arial" w:cs="Arial"/>
                <w:b/>
                <w:bCs/>
                <w:sz w:val="18"/>
                <w:szCs w:val="18"/>
              </w:rPr>
            </w:pPr>
            <w:r w:rsidRPr="00340170">
              <w:rPr>
                <w:rFonts w:ascii="Arial" w:hAnsi="Arial" w:cs="Arial"/>
                <w:b/>
                <w:sz w:val="18"/>
                <w:szCs w:val="18"/>
              </w:rPr>
              <w:t xml:space="preserve"> $ </w:t>
            </w:r>
            <w:r w:rsidR="00DC18E2" w:rsidRPr="00340170">
              <w:rPr>
                <w:rFonts w:ascii="Arial" w:hAnsi="Arial" w:cs="Arial"/>
                <w:b/>
                <w:sz w:val="18"/>
                <w:szCs w:val="18"/>
              </w:rPr>
              <w:t>3,0</w:t>
            </w:r>
            <w:r w:rsidRPr="00340170">
              <w:rPr>
                <w:rFonts w:ascii="Arial" w:hAnsi="Arial" w:cs="Arial"/>
                <w:b/>
                <w:sz w:val="18"/>
                <w:szCs w:val="18"/>
              </w:rPr>
              <w:t>3</w:t>
            </w:r>
            <w:r w:rsidR="00DC18E2" w:rsidRPr="00340170">
              <w:rPr>
                <w:rFonts w:ascii="Arial" w:hAnsi="Arial" w:cs="Arial"/>
                <w:b/>
                <w:sz w:val="18"/>
                <w:szCs w:val="18"/>
              </w:rPr>
              <w:t>0</w:t>
            </w:r>
            <w:r w:rsidRPr="00340170">
              <w:rPr>
                <w:rFonts w:ascii="Arial" w:hAnsi="Arial" w:cs="Arial"/>
                <w:b/>
                <w:sz w:val="18"/>
                <w:szCs w:val="18"/>
              </w:rPr>
              <w:t xml:space="preserve">,908,249.95 </w:t>
            </w:r>
          </w:p>
        </w:tc>
        <w:tc>
          <w:tcPr>
            <w:tcW w:w="1843" w:type="dxa"/>
            <w:tcBorders>
              <w:left w:val="single" w:sz="4" w:space="0" w:color="FFFFFF" w:themeColor="background1"/>
              <w:bottom w:val="single" w:sz="4" w:space="0" w:color="BFBFBF" w:themeColor="background1" w:themeShade="BF"/>
              <w:right w:val="single" w:sz="4" w:space="0" w:color="FFFFFF" w:themeColor="background1"/>
            </w:tcBorders>
            <w:shd w:val="clear" w:color="auto" w:fill="A5A5A5" w:themeFill="accent3"/>
            <w:vAlign w:val="center"/>
          </w:tcPr>
          <w:p w14:paraId="317DD6C8" w14:textId="77777777" w:rsidR="001D15DF" w:rsidRPr="00340170" w:rsidRDefault="001D15DF" w:rsidP="003611E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40170">
              <w:rPr>
                <w:rFonts w:ascii="Arial" w:hAnsi="Arial" w:cs="Arial"/>
                <w:b/>
                <w:sz w:val="18"/>
                <w:szCs w:val="18"/>
              </w:rPr>
              <w:t xml:space="preserve"> $ 2,288,425,085.09 </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4" w:space="0" w:color="FFFFFF" w:themeColor="background1"/>
              <w:bottom w:val="single" w:sz="4" w:space="0" w:color="BFBFBF" w:themeColor="background1" w:themeShade="BF"/>
              <w:right w:val="single" w:sz="4" w:space="0" w:color="FFFFFF" w:themeColor="background1"/>
            </w:tcBorders>
            <w:shd w:val="clear" w:color="auto" w:fill="A5A5A5" w:themeFill="accent3"/>
            <w:vAlign w:val="center"/>
          </w:tcPr>
          <w:p w14:paraId="43A57453" w14:textId="77777777" w:rsidR="001D15DF" w:rsidRPr="00340170" w:rsidRDefault="001D15DF" w:rsidP="003611E0">
            <w:pPr>
              <w:jc w:val="right"/>
              <w:rPr>
                <w:rFonts w:ascii="Arial" w:hAnsi="Arial" w:cs="Arial"/>
                <w:b/>
                <w:bCs/>
                <w:sz w:val="18"/>
                <w:szCs w:val="18"/>
              </w:rPr>
            </w:pPr>
            <w:r w:rsidRPr="00340170">
              <w:rPr>
                <w:rFonts w:ascii="Arial" w:hAnsi="Arial" w:cs="Arial"/>
                <w:b/>
                <w:sz w:val="18"/>
                <w:szCs w:val="18"/>
              </w:rPr>
              <w:t xml:space="preserve"> $ 1,813,477,480.29 </w:t>
            </w:r>
          </w:p>
        </w:tc>
        <w:tc>
          <w:tcPr>
            <w:cnfStyle w:val="000100000000" w:firstRow="0" w:lastRow="0" w:firstColumn="0" w:lastColumn="1" w:oddVBand="0" w:evenVBand="0" w:oddHBand="0" w:evenHBand="0" w:firstRowFirstColumn="0" w:firstRowLastColumn="0" w:lastRowFirstColumn="0" w:lastRowLastColumn="0"/>
            <w:tcW w:w="2268" w:type="dxa"/>
            <w:tcBorders>
              <w:left w:val="single" w:sz="4" w:space="0" w:color="FFFFFF" w:themeColor="background1"/>
              <w:bottom w:val="single" w:sz="4" w:space="0" w:color="BFBFBF" w:themeColor="background1" w:themeShade="BF"/>
            </w:tcBorders>
            <w:shd w:val="clear" w:color="auto" w:fill="A5A5A5" w:themeFill="accent3"/>
            <w:vAlign w:val="center"/>
          </w:tcPr>
          <w:p w14:paraId="3D6C5A70" w14:textId="77777777" w:rsidR="001D15DF" w:rsidRPr="00340170" w:rsidRDefault="001D15DF" w:rsidP="003611E0">
            <w:pPr>
              <w:jc w:val="center"/>
              <w:rPr>
                <w:rFonts w:ascii="Arial" w:hAnsi="Arial" w:cs="Arial"/>
                <w:b w:val="0"/>
                <w:bCs w:val="0"/>
                <w:sz w:val="18"/>
                <w:szCs w:val="18"/>
              </w:rPr>
            </w:pPr>
            <w:r w:rsidRPr="00340170">
              <w:rPr>
                <w:rFonts w:ascii="Arial" w:hAnsi="Arial" w:cs="Arial"/>
                <w:sz w:val="18"/>
                <w:szCs w:val="18"/>
              </w:rPr>
              <w:t>79.25%</w:t>
            </w:r>
          </w:p>
        </w:tc>
      </w:tr>
      <w:tr w:rsidR="001D15DF" w:rsidRPr="00F7194B" w14:paraId="72C60CA3" w14:textId="77777777" w:rsidTr="00772EF8">
        <w:trPr>
          <w:cnfStyle w:val="010000000000" w:firstRow="0" w:lastRow="1"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9918" w:type="dxa"/>
            <w:gridSpan w:val="5"/>
            <w:tcBorders>
              <w:top w:val="single" w:sz="4" w:space="0" w:color="BFBFBF" w:themeColor="background1" w:themeShade="BF"/>
              <w:left w:val="nil"/>
              <w:bottom w:val="nil"/>
              <w:right w:val="nil"/>
            </w:tcBorders>
            <w:shd w:val="clear" w:color="auto" w:fill="auto"/>
            <w:vAlign w:val="center"/>
          </w:tcPr>
          <w:p w14:paraId="35E379D7" w14:textId="77777777" w:rsidR="001D15DF" w:rsidRPr="001004B0" w:rsidRDefault="001D15DF" w:rsidP="001D15DF">
            <w:pPr>
              <w:pStyle w:val="Textoindependiente"/>
              <w:spacing w:line="276" w:lineRule="auto"/>
              <w:rPr>
                <w:i/>
                <w:sz w:val="18"/>
              </w:rPr>
            </w:pPr>
            <w:r w:rsidRPr="001004B0">
              <w:rPr>
                <w:bCs w:val="0"/>
                <w:i/>
                <w:noProof/>
                <w:sz w:val="18"/>
                <w:szCs w:val="16"/>
                <w:lang w:eastAsia="es-MX"/>
              </w:rPr>
              <w:t>Tabla N°7:</w:t>
            </w:r>
            <w:r w:rsidRPr="001004B0">
              <w:rPr>
                <w:b w:val="0"/>
                <w:bCs w:val="0"/>
                <w:i/>
                <w:noProof/>
                <w:sz w:val="18"/>
                <w:szCs w:val="16"/>
                <w:lang w:eastAsia="es-MX"/>
              </w:rPr>
              <w:t xml:space="preserve"> Elaboración propia, corresponde al cálculo de la muestra fiscalizada en auditorías a inversiones físicas.</w:t>
            </w:r>
          </w:p>
        </w:tc>
      </w:tr>
    </w:tbl>
    <w:p w14:paraId="32DFC539" w14:textId="77777777" w:rsidR="001D15DF" w:rsidRDefault="001D15DF" w:rsidP="006A52DA">
      <w:pPr>
        <w:rPr>
          <w:rFonts w:ascii="Arial" w:hAnsi="Arial" w:cs="Arial"/>
          <w:sz w:val="20"/>
          <w:szCs w:val="24"/>
        </w:rPr>
      </w:pPr>
    </w:p>
    <w:p w14:paraId="4D9DE6DC" w14:textId="77777777" w:rsidR="001D15DF" w:rsidRPr="00276E6F" w:rsidRDefault="001D15DF" w:rsidP="006A52DA">
      <w:pPr>
        <w:rPr>
          <w:rFonts w:ascii="Arial" w:hAnsi="Arial" w:cs="Arial"/>
          <w:sz w:val="20"/>
          <w:szCs w:val="24"/>
        </w:rPr>
      </w:pPr>
    </w:p>
    <w:p w14:paraId="3DAE66E1" w14:textId="77777777" w:rsidR="00D4189D" w:rsidRPr="00F7194B" w:rsidRDefault="00D4189D" w:rsidP="00D4189D">
      <w:pPr>
        <w:rPr>
          <w:rFonts w:ascii="Arial" w:hAnsi="Arial" w:cs="Arial"/>
          <w:sz w:val="6"/>
        </w:rPr>
      </w:pPr>
    </w:p>
    <w:p w14:paraId="66ADA139" w14:textId="77777777" w:rsidR="00D4189D" w:rsidRDefault="00D4189D" w:rsidP="00D4189D">
      <w:pPr>
        <w:tabs>
          <w:tab w:val="left" w:pos="6994"/>
        </w:tabs>
        <w:rPr>
          <w:rFonts w:ascii="Arial" w:hAnsi="Arial" w:cs="Arial"/>
          <w:sz w:val="10"/>
          <w:szCs w:val="10"/>
        </w:rPr>
      </w:pPr>
    </w:p>
    <w:p w14:paraId="2E0EFF98" w14:textId="77777777" w:rsidR="00156241" w:rsidRDefault="00156241" w:rsidP="00D4189D">
      <w:pPr>
        <w:tabs>
          <w:tab w:val="left" w:pos="6994"/>
        </w:tabs>
        <w:rPr>
          <w:rFonts w:ascii="Arial" w:hAnsi="Arial" w:cs="Arial"/>
          <w:sz w:val="10"/>
          <w:szCs w:val="10"/>
        </w:rPr>
      </w:pPr>
    </w:p>
    <w:p w14:paraId="107035AD" w14:textId="77777777" w:rsidR="00156241" w:rsidRDefault="00156241" w:rsidP="00D4189D">
      <w:pPr>
        <w:tabs>
          <w:tab w:val="left" w:pos="6994"/>
        </w:tabs>
        <w:rPr>
          <w:rFonts w:ascii="Arial" w:hAnsi="Arial" w:cs="Arial"/>
          <w:sz w:val="10"/>
          <w:szCs w:val="10"/>
        </w:rPr>
      </w:pPr>
    </w:p>
    <w:p w14:paraId="3BC7DDF4" w14:textId="77777777" w:rsidR="00156241" w:rsidRDefault="00156241" w:rsidP="00D4189D">
      <w:pPr>
        <w:tabs>
          <w:tab w:val="left" w:pos="6994"/>
        </w:tabs>
        <w:rPr>
          <w:rFonts w:ascii="Arial" w:hAnsi="Arial" w:cs="Arial"/>
          <w:sz w:val="10"/>
          <w:szCs w:val="10"/>
        </w:rPr>
      </w:pPr>
    </w:p>
    <w:p w14:paraId="7D9AA4A4" w14:textId="77777777" w:rsidR="00156241" w:rsidRDefault="00156241" w:rsidP="00D4189D">
      <w:pPr>
        <w:tabs>
          <w:tab w:val="left" w:pos="6994"/>
        </w:tabs>
        <w:rPr>
          <w:rFonts w:ascii="Arial" w:hAnsi="Arial" w:cs="Arial"/>
          <w:sz w:val="10"/>
          <w:szCs w:val="10"/>
        </w:rPr>
      </w:pPr>
    </w:p>
    <w:p w14:paraId="30AB20F7" w14:textId="77777777" w:rsidR="00156241" w:rsidRDefault="00156241" w:rsidP="00D4189D">
      <w:pPr>
        <w:tabs>
          <w:tab w:val="left" w:pos="6994"/>
        </w:tabs>
        <w:rPr>
          <w:rFonts w:ascii="Arial" w:hAnsi="Arial" w:cs="Arial"/>
          <w:sz w:val="10"/>
          <w:szCs w:val="10"/>
        </w:rPr>
      </w:pPr>
    </w:p>
    <w:p w14:paraId="301C6119" w14:textId="77777777" w:rsidR="00156241" w:rsidRDefault="00156241" w:rsidP="00D4189D">
      <w:pPr>
        <w:tabs>
          <w:tab w:val="left" w:pos="6994"/>
        </w:tabs>
        <w:rPr>
          <w:rFonts w:ascii="Arial" w:hAnsi="Arial" w:cs="Arial"/>
          <w:sz w:val="10"/>
          <w:szCs w:val="10"/>
        </w:rPr>
      </w:pPr>
    </w:p>
    <w:p w14:paraId="4BC5CCDB" w14:textId="77777777" w:rsidR="00156241" w:rsidRDefault="00156241" w:rsidP="00D4189D">
      <w:pPr>
        <w:tabs>
          <w:tab w:val="left" w:pos="6994"/>
        </w:tabs>
        <w:rPr>
          <w:rFonts w:ascii="Arial" w:hAnsi="Arial" w:cs="Arial"/>
          <w:sz w:val="10"/>
          <w:szCs w:val="10"/>
        </w:rPr>
      </w:pPr>
    </w:p>
    <w:p w14:paraId="7E50C00D" w14:textId="77777777" w:rsidR="00156241" w:rsidRDefault="00156241" w:rsidP="00D4189D">
      <w:pPr>
        <w:tabs>
          <w:tab w:val="left" w:pos="6994"/>
        </w:tabs>
        <w:rPr>
          <w:rFonts w:ascii="Arial" w:hAnsi="Arial" w:cs="Arial"/>
          <w:sz w:val="10"/>
          <w:szCs w:val="10"/>
        </w:rPr>
      </w:pPr>
    </w:p>
    <w:p w14:paraId="7AE4B266" w14:textId="77777777" w:rsidR="00156241" w:rsidRDefault="00156241" w:rsidP="00D4189D">
      <w:pPr>
        <w:tabs>
          <w:tab w:val="left" w:pos="6994"/>
        </w:tabs>
        <w:rPr>
          <w:rFonts w:ascii="Arial" w:hAnsi="Arial" w:cs="Arial"/>
          <w:sz w:val="10"/>
          <w:szCs w:val="10"/>
        </w:rPr>
      </w:pPr>
    </w:p>
    <w:p w14:paraId="329CE0AD" w14:textId="77777777" w:rsidR="00156241" w:rsidRDefault="00156241" w:rsidP="00D4189D">
      <w:pPr>
        <w:tabs>
          <w:tab w:val="left" w:pos="6994"/>
        </w:tabs>
        <w:rPr>
          <w:rFonts w:ascii="Arial" w:hAnsi="Arial" w:cs="Arial"/>
          <w:sz w:val="10"/>
          <w:szCs w:val="10"/>
        </w:rPr>
      </w:pPr>
    </w:p>
    <w:p w14:paraId="47641CCC" w14:textId="77777777" w:rsidR="00156241" w:rsidRDefault="00156241" w:rsidP="00D4189D">
      <w:pPr>
        <w:tabs>
          <w:tab w:val="left" w:pos="6994"/>
        </w:tabs>
        <w:rPr>
          <w:rFonts w:ascii="Arial" w:hAnsi="Arial" w:cs="Arial"/>
          <w:sz w:val="10"/>
          <w:szCs w:val="10"/>
        </w:rPr>
      </w:pPr>
    </w:p>
    <w:p w14:paraId="66B190AE" w14:textId="77777777" w:rsidR="00156241" w:rsidRDefault="00156241" w:rsidP="00D4189D">
      <w:pPr>
        <w:tabs>
          <w:tab w:val="left" w:pos="6994"/>
        </w:tabs>
        <w:rPr>
          <w:rFonts w:ascii="Arial" w:hAnsi="Arial" w:cs="Arial"/>
          <w:sz w:val="10"/>
          <w:szCs w:val="10"/>
        </w:rPr>
      </w:pPr>
    </w:p>
    <w:p w14:paraId="4508437E" w14:textId="77777777" w:rsidR="00156241" w:rsidRDefault="00156241" w:rsidP="00D4189D">
      <w:pPr>
        <w:tabs>
          <w:tab w:val="left" w:pos="6994"/>
        </w:tabs>
        <w:rPr>
          <w:rFonts w:ascii="Arial" w:hAnsi="Arial" w:cs="Arial"/>
          <w:sz w:val="10"/>
          <w:szCs w:val="10"/>
        </w:rPr>
      </w:pPr>
    </w:p>
    <w:p w14:paraId="69122245" w14:textId="77777777" w:rsidR="00156241" w:rsidRDefault="00156241" w:rsidP="00D4189D">
      <w:pPr>
        <w:tabs>
          <w:tab w:val="left" w:pos="6994"/>
        </w:tabs>
        <w:rPr>
          <w:rFonts w:ascii="Arial" w:hAnsi="Arial" w:cs="Arial"/>
          <w:sz w:val="10"/>
          <w:szCs w:val="10"/>
        </w:rPr>
      </w:pPr>
    </w:p>
    <w:p w14:paraId="77B9A7AD" w14:textId="77777777" w:rsidR="00156241" w:rsidRDefault="00156241" w:rsidP="00D4189D">
      <w:pPr>
        <w:tabs>
          <w:tab w:val="left" w:pos="6994"/>
        </w:tabs>
        <w:rPr>
          <w:rFonts w:ascii="Arial" w:hAnsi="Arial" w:cs="Arial"/>
          <w:sz w:val="10"/>
          <w:szCs w:val="10"/>
        </w:rPr>
      </w:pPr>
    </w:p>
    <w:p w14:paraId="2862864B" w14:textId="77777777" w:rsidR="00156241" w:rsidRDefault="00156241" w:rsidP="00D4189D">
      <w:pPr>
        <w:tabs>
          <w:tab w:val="left" w:pos="6994"/>
        </w:tabs>
        <w:rPr>
          <w:rFonts w:ascii="Arial" w:hAnsi="Arial" w:cs="Arial"/>
          <w:sz w:val="10"/>
          <w:szCs w:val="10"/>
        </w:rPr>
      </w:pPr>
    </w:p>
    <w:p w14:paraId="66C6BB31" w14:textId="77777777" w:rsidR="00156241" w:rsidRDefault="00156241" w:rsidP="00D4189D">
      <w:pPr>
        <w:tabs>
          <w:tab w:val="left" w:pos="6994"/>
        </w:tabs>
        <w:rPr>
          <w:rFonts w:ascii="Arial" w:hAnsi="Arial" w:cs="Arial"/>
          <w:sz w:val="10"/>
          <w:szCs w:val="10"/>
        </w:rPr>
      </w:pPr>
    </w:p>
    <w:p w14:paraId="71083FBB" w14:textId="77777777" w:rsidR="00156241" w:rsidRDefault="00156241" w:rsidP="00D4189D">
      <w:pPr>
        <w:tabs>
          <w:tab w:val="left" w:pos="6994"/>
        </w:tabs>
        <w:rPr>
          <w:rFonts w:ascii="Arial" w:hAnsi="Arial" w:cs="Arial"/>
          <w:sz w:val="10"/>
          <w:szCs w:val="10"/>
        </w:rPr>
      </w:pPr>
    </w:p>
    <w:p w14:paraId="6481EF94" w14:textId="77777777" w:rsidR="00156241" w:rsidRDefault="00156241" w:rsidP="00D4189D">
      <w:pPr>
        <w:tabs>
          <w:tab w:val="left" w:pos="6994"/>
        </w:tabs>
        <w:rPr>
          <w:rFonts w:ascii="Arial" w:hAnsi="Arial" w:cs="Arial"/>
          <w:sz w:val="10"/>
          <w:szCs w:val="10"/>
        </w:rPr>
      </w:pPr>
    </w:p>
    <w:p w14:paraId="67D0EA56" w14:textId="77777777" w:rsidR="00156241" w:rsidRDefault="00156241" w:rsidP="00D4189D">
      <w:pPr>
        <w:tabs>
          <w:tab w:val="left" w:pos="6994"/>
        </w:tabs>
        <w:rPr>
          <w:rFonts w:ascii="Arial" w:hAnsi="Arial" w:cs="Arial"/>
          <w:sz w:val="10"/>
          <w:szCs w:val="10"/>
        </w:rPr>
      </w:pPr>
    </w:p>
    <w:p w14:paraId="54BAE2D2" w14:textId="77777777" w:rsidR="00156241" w:rsidRDefault="00156241" w:rsidP="00D4189D">
      <w:pPr>
        <w:tabs>
          <w:tab w:val="left" w:pos="6994"/>
        </w:tabs>
        <w:rPr>
          <w:rFonts w:ascii="Arial" w:hAnsi="Arial" w:cs="Arial"/>
          <w:sz w:val="10"/>
          <w:szCs w:val="10"/>
        </w:rPr>
      </w:pPr>
    </w:p>
    <w:p w14:paraId="209C7C9D" w14:textId="77777777" w:rsidR="00156241" w:rsidRDefault="00156241" w:rsidP="00D4189D">
      <w:pPr>
        <w:tabs>
          <w:tab w:val="left" w:pos="6994"/>
        </w:tabs>
        <w:rPr>
          <w:rFonts w:ascii="Arial" w:hAnsi="Arial" w:cs="Arial"/>
          <w:sz w:val="10"/>
          <w:szCs w:val="10"/>
        </w:rPr>
      </w:pPr>
    </w:p>
    <w:p w14:paraId="2E656336" w14:textId="77777777" w:rsidR="00156241" w:rsidRDefault="00156241" w:rsidP="00D4189D">
      <w:pPr>
        <w:tabs>
          <w:tab w:val="left" w:pos="6994"/>
        </w:tabs>
        <w:rPr>
          <w:rFonts w:ascii="Arial" w:hAnsi="Arial" w:cs="Arial"/>
          <w:sz w:val="10"/>
          <w:szCs w:val="10"/>
        </w:rPr>
      </w:pPr>
    </w:p>
    <w:p w14:paraId="029BCFBC" w14:textId="77777777" w:rsidR="00156241" w:rsidRDefault="00156241" w:rsidP="00D4189D">
      <w:pPr>
        <w:tabs>
          <w:tab w:val="left" w:pos="6994"/>
        </w:tabs>
        <w:rPr>
          <w:rFonts w:ascii="Arial" w:hAnsi="Arial" w:cs="Arial"/>
          <w:sz w:val="10"/>
          <w:szCs w:val="10"/>
        </w:rPr>
      </w:pPr>
    </w:p>
    <w:p w14:paraId="2E7D0CDB" w14:textId="77777777" w:rsidR="008731B2" w:rsidRPr="00C70285" w:rsidRDefault="004A600D" w:rsidP="00683FD0">
      <w:pPr>
        <w:pStyle w:val="Prrafodelista"/>
        <w:numPr>
          <w:ilvl w:val="0"/>
          <w:numId w:val="1"/>
        </w:numPr>
        <w:spacing w:before="240" w:after="0" w:line="276" w:lineRule="auto"/>
        <w:jc w:val="both"/>
        <w:outlineLvl w:val="1"/>
        <w:rPr>
          <w:rFonts w:ascii="Arial" w:hAnsi="Arial" w:cs="Arial"/>
          <w:b/>
          <w:sz w:val="24"/>
          <w:szCs w:val="24"/>
        </w:rPr>
      </w:pPr>
      <w:bookmarkStart w:id="15" w:name="_Toc158567476"/>
      <w:r w:rsidRPr="00C70285">
        <w:rPr>
          <w:rFonts w:ascii="Arial" w:hAnsi="Arial" w:cs="Arial"/>
          <w:b/>
          <w:sz w:val="24"/>
          <w:szCs w:val="24"/>
        </w:rPr>
        <w:lastRenderedPageBreak/>
        <w:t>TIPOS Y ENFOQUES DE AUDITORÍA UTILIZADOS PARA LA FISCALIZACIÓN DE LA CUENTA PÚBLICA 202</w:t>
      </w:r>
      <w:r w:rsidR="001501B3">
        <w:rPr>
          <w:rFonts w:ascii="Arial" w:hAnsi="Arial" w:cs="Arial"/>
          <w:b/>
          <w:sz w:val="24"/>
          <w:szCs w:val="24"/>
        </w:rPr>
        <w:t>2</w:t>
      </w:r>
      <w:bookmarkEnd w:id="15"/>
    </w:p>
    <w:p w14:paraId="0E62F1D3" w14:textId="77777777" w:rsidR="008731B2" w:rsidRDefault="008731B2" w:rsidP="008731B2">
      <w:pPr>
        <w:rPr>
          <w:rFonts w:ascii="Arial" w:hAnsi="Arial" w:cs="Arial"/>
          <w:sz w:val="24"/>
          <w:szCs w:val="24"/>
        </w:rPr>
      </w:pPr>
    </w:p>
    <w:p w14:paraId="04E3E1FB" w14:textId="77777777" w:rsidR="00CB0127" w:rsidRPr="00F7194B" w:rsidRDefault="00CB0127" w:rsidP="00CB0127">
      <w:pPr>
        <w:pStyle w:val="Textoindependiente"/>
        <w:spacing w:before="149" w:line="360" w:lineRule="auto"/>
        <w:jc w:val="both"/>
        <w:rPr>
          <w:b/>
        </w:rPr>
      </w:pPr>
      <w:r w:rsidRPr="00F7194B">
        <w:t xml:space="preserve">La Auditoría Superior del Estado de Quintana Roo para su quehacer fiscalizador ha adoptado las NPASNF, y las disposiciones establecidas en la LGCG, la normatividad emitida por el CONAC y de conformidad a los Postulados Básicos de Contabilidad Gubernamental, en este tenor existen tres modalidades de auditoría gubernamental: </w:t>
      </w:r>
      <w:r w:rsidRPr="00F7194B">
        <w:rPr>
          <w:b/>
        </w:rPr>
        <w:t xml:space="preserve">de Cumplimiento Financiero, </w:t>
      </w:r>
      <w:r w:rsidR="00BF61C5">
        <w:rPr>
          <w:b/>
        </w:rPr>
        <w:t>de Cumplimiento de Inversiones Físicas y de</w:t>
      </w:r>
      <w:r w:rsidRPr="00F7194B">
        <w:rPr>
          <w:b/>
        </w:rPr>
        <w:t xml:space="preserve"> Desempeño.</w:t>
      </w:r>
    </w:p>
    <w:p w14:paraId="356101BF" w14:textId="77777777" w:rsidR="008731B2" w:rsidRPr="004A600D" w:rsidRDefault="008731B2" w:rsidP="008731B2">
      <w:pPr>
        <w:rPr>
          <w:rFonts w:ascii="Arial" w:hAnsi="Arial" w:cs="Arial"/>
          <w:sz w:val="16"/>
          <w:szCs w:val="24"/>
        </w:rPr>
      </w:pPr>
    </w:p>
    <w:p w14:paraId="658CD2A1" w14:textId="77777777" w:rsidR="00FD4225" w:rsidRPr="00C70285" w:rsidRDefault="00FD4225" w:rsidP="00683FD0">
      <w:pPr>
        <w:pStyle w:val="Prrafodelista"/>
        <w:numPr>
          <w:ilvl w:val="0"/>
          <w:numId w:val="2"/>
        </w:numPr>
        <w:spacing w:before="240" w:after="0" w:line="276" w:lineRule="auto"/>
        <w:jc w:val="both"/>
        <w:outlineLvl w:val="2"/>
        <w:rPr>
          <w:rFonts w:ascii="Arial" w:hAnsi="Arial" w:cs="Arial"/>
          <w:b/>
          <w:sz w:val="24"/>
          <w:szCs w:val="24"/>
        </w:rPr>
      </w:pPr>
      <w:bookmarkStart w:id="16" w:name="_Toc158567477"/>
      <w:r w:rsidRPr="00C70285">
        <w:rPr>
          <w:rFonts w:ascii="Arial" w:hAnsi="Arial" w:cs="Arial"/>
          <w:b/>
          <w:sz w:val="24"/>
          <w:szCs w:val="24"/>
        </w:rPr>
        <w:t>Auditoría de Cumplimiento Financiero</w:t>
      </w:r>
      <w:bookmarkEnd w:id="16"/>
      <w:r w:rsidRPr="00C70285">
        <w:rPr>
          <w:rFonts w:ascii="Arial" w:hAnsi="Arial" w:cs="Arial"/>
          <w:b/>
          <w:sz w:val="24"/>
          <w:szCs w:val="24"/>
        </w:rPr>
        <w:t xml:space="preserve"> </w:t>
      </w:r>
    </w:p>
    <w:p w14:paraId="667946F3" w14:textId="77777777" w:rsidR="00AD0302" w:rsidRPr="00F7194B" w:rsidRDefault="00AD0302" w:rsidP="00AD0302">
      <w:pPr>
        <w:pStyle w:val="Textoindependiente"/>
        <w:spacing w:before="201" w:line="360" w:lineRule="auto"/>
        <w:ind w:left="360"/>
        <w:jc w:val="both"/>
      </w:pPr>
      <w:r w:rsidRPr="00F7194B">
        <w:t>Se fiscaliza el cumplimiento de lo estipulado en la Ley de Ingresos y el P</w:t>
      </w:r>
      <w:r w:rsidR="00F34B64">
        <w:t xml:space="preserve">resupuesto de </w:t>
      </w:r>
      <w:r w:rsidRPr="00F7194B">
        <w:t>E</w:t>
      </w:r>
      <w:r w:rsidR="00F34B64">
        <w:t>gresos (PE)</w:t>
      </w:r>
      <w:r w:rsidRPr="00F7194B">
        <w:t>, y demás disposiciones legales aplicables, en cuanto a los ingresos y gastos públicos, así como la deuda pública, incluyendo la revisión del manejo, la custodia y la aplicación de recursos públicos</w:t>
      </w:r>
      <w:r w:rsidRPr="00F7194B">
        <w:rPr>
          <w:spacing w:val="-5"/>
        </w:rPr>
        <w:t xml:space="preserve"> </w:t>
      </w:r>
      <w:r w:rsidRPr="00F7194B">
        <w:t>estatales</w:t>
      </w:r>
      <w:r w:rsidRPr="00F7194B">
        <w:rPr>
          <w:spacing w:val="-6"/>
        </w:rPr>
        <w:t xml:space="preserve"> </w:t>
      </w:r>
      <w:r w:rsidRPr="00F7194B">
        <w:t>y</w:t>
      </w:r>
      <w:r w:rsidRPr="00F7194B">
        <w:rPr>
          <w:spacing w:val="-7"/>
        </w:rPr>
        <w:t xml:space="preserve"> </w:t>
      </w:r>
      <w:r w:rsidRPr="00F7194B">
        <w:t>municipales,</w:t>
      </w:r>
      <w:r w:rsidRPr="00F7194B">
        <w:rPr>
          <w:spacing w:val="-6"/>
        </w:rPr>
        <w:t xml:space="preserve"> </w:t>
      </w:r>
      <w:r w:rsidRPr="00F7194B">
        <w:t>así</w:t>
      </w:r>
      <w:r w:rsidRPr="00F7194B">
        <w:rPr>
          <w:spacing w:val="-6"/>
        </w:rPr>
        <w:t xml:space="preserve"> </w:t>
      </w:r>
      <w:r w:rsidRPr="00F7194B">
        <w:t>como</w:t>
      </w:r>
      <w:r w:rsidRPr="00F7194B">
        <w:rPr>
          <w:spacing w:val="-9"/>
        </w:rPr>
        <w:t xml:space="preserve"> </w:t>
      </w:r>
      <w:r w:rsidRPr="00F7194B">
        <w:t>de</w:t>
      </w:r>
      <w:r w:rsidRPr="00F7194B">
        <w:rPr>
          <w:spacing w:val="-5"/>
        </w:rPr>
        <w:t xml:space="preserve"> </w:t>
      </w:r>
      <w:r w:rsidRPr="00F7194B">
        <w:t>la</w:t>
      </w:r>
      <w:r w:rsidRPr="00F7194B">
        <w:rPr>
          <w:spacing w:val="-5"/>
        </w:rPr>
        <w:t xml:space="preserve"> </w:t>
      </w:r>
      <w:r w:rsidRPr="00F7194B">
        <w:t>demás</w:t>
      </w:r>
      <w:r w:rsidRPr="00F7194B">
        <w:rPr>
          <w:spacing w:val="-4"/>
        </w:rPr>
        <w:t xml:space="preserve"> </w:t>
      </w:r>
      <w:r w:rsidRPr="00F7194B">
        <w:t>información</w:t>
      </w:r>
      <w:r w:rsidRPr="00F7194B">
        <w:rPr>
          <w:spacing w:val="-9"/>
        </w:rPr>
        <w:t xml:space="preserve"> </w:t>
      </w:r>
      <w:r w:rsidRPr="00F7194B">
        <w:t>financiera,</w:t>
      </w:r>
      <w:r w:rsidRPr="00F7194B">
        <w:rPr>
          <w:spacing w:val="-6"/>
        </w:rPr>
        <w:t xml:space="preserve"> </w:t>
      </w:r>
      <w:r w:rsidRPr="00F7194B">
        <w:t>contable, patrimonial, presupuestaria y programática que las entidades fiscalizadas deban incluir en dicho documento, conforme a las disposiciones</w:t>
      </w:r>
      <w:r w:rsidRPr="00F7194B">
        <w:rPr>
          <w:spacing w:val="-6"/>
        </w:rPr>
        <w:t xml:space="preserve"> </w:t>
      </w:r>
      <w:r w:rsidRPr="00F7194B">
        <w:t>aplicables.</w:t>
      </w:r>
    </w:p>
    <w:p w14:paraId="55A3B7A9" w14:textId="77777777" w:rsidR="00AD0302" w:rsidRPr="004A600D" w:rsidRDefault="00AD0302" w:rsidP="00AD0302">
      <w:pPr>
        <w:pStyle w:val="Textoindependiente"/>
        <w:spacing w:before="4" w:line="360" w:lineRule="auto"/>
        <w:ind w:left="720"/>
        <w:rPr>
          <w:sz w:val="14"/>
        </w:rPr>
      </w:pPr>
    </w:p>
    <w:p w14:paraId="04C9B101" w14:textId="77777777" w:rsidR="00AD0302" w:rsidRDefault="00AD0302" w:rsidP="00AD0302">
      <w:pPr>
        <w:pStyle w:val="Textoindependiente"/>
        <w:spacing w:line="360" w:lineRule="auto"/>
        <w:ind w:left="360"/>
        <w:jc w:val="both"/>
      </w:pPr>
      <w:r w:rsidRPr="00F7194B">
        <w:t>Bajo</w:t>
      </w:r>
      <w:r w:rsidRPr="00F7194B">
        <w:rPr>
          <w:spacing w:val="-12"/>
        </w:rPr>
        <w:t xml:space="preserve"> </w:t>
      </w:r>
      <w:r w:rsidRPr="00F7194B">
        <w:t>este</w:t>
      </w:r>
      <w:r w:rsidRPr="00F7194B">
        <w:rPr>
          <w:spacing w:val="-12"/>
        </w:rPr>
        <w:t xml:space="preserve"> </w:t>
      </w:r>
      <w:r w:rsidRPr="00F7194B">
        <w:t>rubro</w:t>
      </w:r>
      <w:r w:rsidRPr="00F7194B">
        <w:rPr>
          <w:spacing w:val="-12"/>
        </w:rPr>
        <w:t xml:space="preserve"> </w:t>
      </w:r>
      <w:r w:rsidRPr="00F7194B">
        <w:t>nuestra</w:t>
      </w:r>
      <w:r w:rsidRPr="00F7194B">
        <w:rPr>
          <w:spacing w:val="-11"/>
        </w:rPr>
        <w:t xml:space="preserve"> </w:t>
      </w:r>
      <w:r w:rsidRPr="00F7194B">
        <w:t>labor</w:t>
      </w:r>
      <w:r w:rsidRPr="00F7194B">
        <w:rPr>
          <w:spacing w:val="-10"/>
        </w:rPr>
        <w:t xml:space="preserve"> </w:t>
      </w:r>
      <w:r w:rsidRPr="00F7194B">
        <w:t>de</w:t>
      </w:r>
      <w:r w:rsidRPr="00F7194B">
        <w:rPr>
          <w:spacing w:val="-12"/>
        </w:rPr>
        <w:t xml:space="preserve"> </w:t>
      </w:r>
      <w:r w:rsidRPr="00F7194B">
        <w:t>fiscalización</w:t>
      </w:r>
      <w:r w:rsidRPr="00F7194B">
        <w:rPr>
          <w:spacing w:val="-12"/>
        </w:rPr>
        <w:t xml:space="preserve"> </w:t>
      </w:r>
      <w:r w:rsidRPr="00F7194B">
        <w:t>se</w:t>
      </w:r>
      <w:r w:rsidRPr="00F7194B">
        <w:rPr>
          <w:spacing w:val="-11"/>
        </w:rPr>
        <w:t xml:space="preserve"> </w:t>
      </w:r>
      <w:r w:rsidRPr="00F7194B">
        <w:t>apega</w:t>
      </w:r>
      <w:r w:rsidRPr="00F7194B">
        <w:rPr>
          <w:spacing w:val="-12"/>
        </w:rPr>
        <w:t xml:space="preserve"> </w:t>
      </w:r>
      <w:r w:rsidRPr="00F7194B">
        <w:t>a</w:t>
      </w:r>
      <w:r w:rsidRPr="00F7194B">
        <w:rPr>
          <w:spacing w:val="-12"/>
        </w:rPr>
        <w:t xml:space="preserve"> </w:t>
      </w:r>
      <w:r w:rsidRPr="00F7194B">
        <w:t>las</w:t>
      </w:r>
      <w:r w:rsidRPr="00F7194B">
        <w:rPr>
          <w:spacing w:val="-10"/>
        </w:rPr>
        <w:t xml:space="preserve"> </w:t>
      </w:r>
      <w:r w:rsidRPr="00F7194B">
        <w:t>NPASNF,</w:t>
      </w:r>
      <w:r w:rsidRPr="00F7194B">
        <w:rPr>
          <w:spacing w:val="-9"/>
        </w:rPr>
        <w:t xml:space="preserve"> </w:t>
      </w:r>
      <w:r w:rsidRPr="00F7194B">
        <w:t>definiendo</w:t>
      </w:r>
      <w:r w:rsidRPr="00F7194B">
        <w:rPr>
          <w:spacing w:val="-11"/>
        </w:rPr>
        <w:t xml:space="preserve"> </w:t>
      </w:r>
      <w:r w:rsidRPr="00F7194B">
        <w:t>las</w:t>
      </w:r>
      <w:r w:rsidRPr="00F7194B">
        <w:rPr>
          <w:spacing w:val="-10"/>
        </w:rPr>
        <w:t xml:space="preserve"> </w:t>
      </w:r>
      <w:r w:rsidRPr="00F7194B">
        <w:t>dos vertientes integradas en nuestras auditorías bajo el siguiente</w:t>
      </w:r>
      <w:r w:rsidRPr="00F7194B">
        <w:rPr>
          <w:spacing w:val="-9"/>
        </w:rPr>
        <w:t xml:space="preserve"> </w:t>
      </w:r>
      <w:r w:rsidRPr="00F7194B">
        <w:t>esquema:</w:t>
      </w:r>
    </w:p>
    <w:p w14:paraId="48982856" w14:textId="77777777" w:rsidR="004539EE" w:rsidRPr="004A600D" w:rsidRDefault="004539EE" w:rsidP="00AD0302">
      <w:pPr>
        <w:pStyle w:val="Textoindependiente"/>
        <w:spacing w:line="360" w:lineRule="auto"/>
        <w:ind w:left="360"/>
        <w:jc w:val="both"/>
        <w:rPr>
          <w:sz w:val="16"/>
        </w:rPr>
      </w:pPr>
    </w:p>
    <w:p w14:paraId="10505532" w14:textId="77777777" w:rsidR="00D60BC3" w:rsidRPr="007E099D" w:rsidRDefault="00D60BC3" w:rsidP="00683FD0">
      <w:pPr>
        <w:pStyle w:val="Prrafodelista"/>
        <w:widowControl w:val="0"/>
        <w:numPr>
          <w:ilvl w:val="0"/>
          <w:numId w:val="6"/>
        </w:numPr>
        <w:tabs>
          <w:tab w:val="left" w:pos="1761"/>
        </w:tabs>
        <w:autoSpaceDE w:val="0"/>
        <w:autoSpaceDN w:val="0"/>
        <w:spacing w:after="0" w:line="360" w:lineRule="auto"/>
        <w:jc w:val="both"/>
        <w:rPr>
          <w:rFonts w:ascii="Arial" w:hAnsi="Arial" w:cs="Arial"/>
          <w:sz w:val="24"/>
          <w:szCs w:val="24"/>
        </w:rPr>
      </w:pPr>
      <w:r w:rsidRPr="007E099D">
        <w:rPr>
          <w:rFonts w:ascii="Arial" w:hAnsi="Arial" w:cs="Arial"/>
          <w:sz w:val="24"/>
          <w:szCs w:val="24"/>
        </w:rPr>
        <w:t>Las</w:t>
      </w:r>
      <w:r w:rsidRPr="007E099D">
        <w:rPr>
          <w:rFonts w:ascii="Arial" w:hAnsi="Arial" w:cs="Arial"/>
          <w:spacing w:val="-8"/>
          <w:sz w:val="24"/>
          <w:szCs w:val="24"/>
        </w:rPr>
        <w:t xml:space="preserve"> </w:t>
      </w:r>
      <w:r w:rsidRPr="007E099D">
        <w:rPr>
          <w:rFonts w:ascii="Arial" w:hAnsi="Arial" w:cs="Arial"/>
          <w:sz w:val="24"/>
          <w:szCs w:val="24"/>
        </w:rPr>
        <w:t>auditorías</w:t>
      </w:r>
      <w:r w:rsidRPr="007E099D">
        <w:rPr>
          <w:rFonts w:ascii="Arial" w:hAnsi="Arial" w:cs="Arial"/>
          <w:spacing w:val="-8"/>
          <w:sz w:val="24"/>
          <w:szCs w:val="24"/>
        </w:rPr>
        <w:t xml:space="preserve"> </w:t>
      </w:r>
      <w:r w:rsidRPr="007E099D">
        <w:rPr>
          <w:rFonts w:ascii="Arial" w:hAnsi="Arial" w:cs="Arial"/>
          <w:sz w:val="24"/>
          <w:szCs w:val="24"/>
        </w:rPr>
        <w:t>financieras</w:t>
      </w:r>
      <w:r w:rsidRPr="007E099D">
        <w:rPr>
          <w:rFonts w:ascii="Arial" w:hAnsi="Arial" w:cs="Arial"/>
          <w:spacing w:val="-8"/>
          <w:sz w:val="24"/>
          <w:szCs w:val="24"/>
        </w:rPr>
        <w:t xml:space="preserve"> </w:t>
      </w:r>
      <w:r w:rsidRPr="007E099D">
        <w:rPr>
          <w:rFonts w:ascii="Arial" w:hAnsi="Arial" w:cs="Arial"/>
          <w:sz w:val="24"/>
          <w:szCs w:val="24"/>
        </w:rPr>
        <w:t>son</w:t>
      </w:r>
      <w:r w:rsidRPr="007E099D">
        <w:rPr>
          <w:rFonts w:ascii="Arial" w:hAnsi="Arial" w:cs="Arial"/>
          <w:spacing w:val="-10"/>
          <w:sz w:val="24"/>
          <w:szCs w:val="24"/>
        </w:rPr>
        <w:t xml:space="preserve"> </w:t>
      </w:r>
      <w:r w:rsidRPr="007E099D">
        <w:rPr>
          <w:rFonts w:ascii="Arial" w:hAnsi="Arial" w:cs="Arial"/>
          <w:sz w:val="24"/>
          <w:szCs w:val="24"/>
        </w:rPr>
        <w:t>evaluaciones</w:t>
      </w:r>
      <w:r w:rsidRPr="007E099D">
        <w:rPr>
          <w:rFonts w:ascii="Arial" w:hAnsi="Arial" w:cs="Arial"/>
          <w:spacing w:val="-7"/>
          <w:sz w:val="24"/>
          <w:szCs w:val="24"/>
        </w:rPr>
        <w:t xml:space="preserve"> </w:t>
      </w:r>
      <w:r w:rsidRPr="007E099D">
        <w:rPr>
          <w:rFonts w:ascii="Arial" w:hAnsi="Arial" w:cs="Arial"/>
          <w:sz w:val="24"/>
          <w:szCs w:val="24"/>
        </w:rPr>
        <w:t>independientes,</w:t>
      </w:r>
      <w:r w:rsidRPr="007E099D">
        <w:rPr>
          <w:rFonts w:ascii="Arial" w:hAnsi="Arial" w:cs="Arial"/>
          <w:spacing w:val="-8"/>
          <w:sz w:val="24"/>
          <w:szCs w:val="24"/>
        </w:rPr>
        <w:t xml:space="preserve"> </w:t>
      </w:r>
      <w:r w:rsidRPr="007E099D">
        <w:rPr>
          <w:rFonts w:ascii="Arial" w:hAnsi="Arial" w:cs="Arial"/>
          <w:sz w:val="24"/>
          <w:szCs w:val="24"/>
        </w:rPr>
        <w:t>reflejadas</w:t>
      </w:r>
      <w:r w:rsidRPr="007E099D">
        <w:rPr>
          <w:rFonts w:ascii="Arial" w:hAnsi="Arial" w:cs="Arial"/>
          <w:spacing w:val="-8"/>
          <w:sz w:val="24"/>
          <w:szCs w:val="24"/>
        </w:rPr>
        <w:t xml:space="preserve"> </w:t>
      </w:r>
      <w:r w:rsidRPr="007E099D">
        <w:rPr>
          <w:rFonts w:ascii="Arial" w:hAnsi="Arial" w:cs="Arial"/>
          <w:sz w:val="24"/>
          <w:szCs w:val="24"/>
        </w:rPr>
        <w:t>en</w:t>
      </w:r>
      <w:r w:rsidRPr="007E099D">
        <w:rPr>
          <w:rFonts w:ascii="Arial" w:hAnsi="Arial" w:cs="Arial"/>
          <w:spacing w:val="-6"/>
          <w:sz w:val="24"/>
          <w:szCs w:val="24"/>
        </w:rPr>
        <w:t xml:space="preserve"> </w:t>
      </w:r>
      <w:r w:rsidRPr="007E099D">
        <w:rPr>
          <w:rFonts w:ascii="Arial" w:hAnsi="Arial" w:cs="Arial"/>
          <w:sz w:val="24"/>
          <w:szCs w:val="24"/>
        </w:rPr>
        <w:t>una</w:t>
      </w:r>
      <w:r w:rsidRPr="007E099D">
        <w:rPr>
          <w:rFonts w:ascii="Arial" w:hAnsi="Arial" w:cs="Arial"/>
          <w:spacing w:val="-10"/>
          <w:sz w:val="24"/>
          <w:szCs w:val="24"/>
        </w:rPr>
        <w:t xml:space="preserve"> </w:t>
      </w:r>
      <w:r w:rsidRPr="007E099D">
        <w:rPr>
          <w:rFonts w:ascii="Arial" w:hAnsi="Arial" w:cs="Arial"/>
          <w:sz w:val="24"/>
          <w:szCs w:val="24"/>
        </w:rPr>
        <w:t>opinión con</w:t>
      </w:r>
      <w:r w:rsidRPr="007E099D">
        <w:rPr>
          <w:rFonts w:ascii="Arial" w:hAnsi="Arial" w:cs="Arial"/>
          <w:spacing w:val="-19"/>
          <w:sz w:val="24"/>
          <w:szCs w:val="24"/>
        </w:rPr>
        <w:t xml:space="preserve"> </w:t>
      </w:r>
      <w:r w:rsidRPr="007E099D">
        <w:rPr>
          <w:rFonts w:ascii="Arial" w:hAnsi="Arial" w:cs="Arial"/>
          <w:sz w:val="24"/>
          <w:szCs w:val="24"/>
        </w:rPr>
        <w:t>garantías</w:t>
      </w:r>
      <w:r w:rsidRPr="007E099D">
        <w:rPr>
          <w:rFonts w:ascii="Arial" w:hAnsi="Arial" w:cs="Arial"/>
          <w:spacing w:val="-16"/>
          <w:sz w:val="24"/>
          <w:szCs w:val="24"/>
        </w:rPr>
        <w:t xml:space="preserve"> </w:t>
      </w:r>
      <w:r w:rsidRPr="007E099D">
        <w:rPr>
          <w:rFonts w:ascii="Arial" w:hAnsi="Arial" w:cs="Arial"/>
          <w:sz w:val="24"/>
          <w:szCs w:val="24"/>
        </w:rPr>
        <w:t>razonables,</w:t>
      </w:r>
      <w:r w:rsidRPr="007E099D">
        <w:rPr>
          <w:rFonts w:ascii="Arial" w:hAnsi="Arial" w:cs="Arial"/>
          <w:spacing w:val="-15"/>
          <w:sz w:val="24"/>
          <w:szCs w:val="24"/>
        </w:rPr>
        <w:t xml:space="preserve"> </w:t>
      </w:r>
      <w:r w:rsidRPr="007E099D">
        <w:rPr>
          <w:rFonts w:ascii="Arial" w:hAnsi="Arial" w:cs="Arial"/>
          <w:sz w:val="24"/>
          <w:szCs w:val="24"/>
        </w:rPr>
        <w:t>de</w:t>
      </w:r>
      <w:r w:rsidRPr="007E099D">
        <w:rPr>
          <w:rFonts w:ascii="Arial" w:hAnsi="Arial" w:cs="Arial"/>
          <w:spacing w:val="-18"/>
          <w:sz w:val="24"/>
          <w:szCs w:val="24"/>
        </w:rPr>
        <w:t xml:space="preserve"> </w:t>
      </w:r>
      <w:r w:rsidRPr="007E099D">
        <w:rPr>
          <w:rFonts w:ascii="Arial" w:hAnsi="Arial" w:cs="Arial"/>
          <w:sz w:val="24"/>
          <w:szCs w:val="24"/>
        </w:rPr>
        <w:t>que</w:t>
      </w:r>
      <w:r w:rsidRPr="007E099D">
        <w:rPr>
          <w:rFonts w:ascii="Arial" w:hAnsi="Arial" w:cs="Arial"/>
          <w:spacing w:val="-18"/>
          <w:sz w:val="24"/>
          <w:szCs w:val="24"/>
        </w:rPr>
        <w:t xml:space="preserve"> </w:t>
      </w:r>
      <w:r w:rsidRPr="007E099D">
        <w:rPr>
          <w:rFonts w:ascii="Arial" w:hAnsi="Arial" w:cs="Arial"/>
          <w:sz w:val="24"/>
          <w:szCs w:val="24"/>
        </w:rPr>
        <w:t>la</w:t>
      </w:r>
      <w:r w:rsidRPr="007E099D">
        <w:rPr>
          <w:rFonts w:ascii="Arial" w:hAnsi="Arial" w:cs="Arial"/>
          <w:spacing w:val="-18"/>
          <w:sz w:val="24"/>
          <w:szCs w:val="24"/>
        </w:rPr>
        <w:t xml:space="preserve"> </w:t>
      </w:r>
      <w:r w:rsidRPr="007E099D">
        <w:rPr>
          <w:rFonts w:ascii="Arial" w:hAnsi="Arial" w:cs="Arial"/>
          <w:sz w:val="24"/>
          <w:szCs w:val="24"/>
        </w:rPr>
        <w:t>situación</w:t>
      </w:r>
      <w:r w:rsidRPr="007E099D">
        <w:rPr>
          <w:rFonts w:ascii="Arial" w:hAnsi="Arial" w:cs="Arial"/>
          <w:spacing w:val="-18"/>
          <w:sz w:val="24"/>
          <w:szCs w:val="24"/>
        </w:rPr>
        <w:t xml:space="preserve"> </w:t>
      </w:r>
      <w:r w:rsidRPr="007E099D">
        <w:rPr>
          <w:rFonts w:ascii="Arial" w:hAnsi="Arial" w:cs="Arial"/>
          <w:sz w:val="24"/>
          <w:szCs w:val="24"/>
        </w:rPr>
        <w:t>financiera</w:t>
      </w:r>
      <w:r w:rsidRPr="007E099D">
        <w:rPr>
          <w:rFonts w:ascii="Arial" w:hAnsi="Arial" w:cs="Arial"/>
          <w:spacing w:val="-19"/>
          <w:sz w:val="24"/>
          <w:szCs w:val="24"/>
        </w:rPr>
        <w:t xml:space="preserve"> </w:t>
      </w:r>
      <w:r w:rsidRPr="007E099D">
        <w:rPr>
          <w:rFonts w:ascii="Arial" w:hAnsi="Arial" w:cs="Arial"/>
          <w:sz w:val="24"/>
          <w:szCs w:val="24"/>
        </w:rPr>
        <w:t>presentada</w:t>
      </w:r>
      <w:r w:rsidRPr="007E099D">
        <w:rPr>
          <w:rFonts w:ascii="Arial" w:hAnsi="Arial" w:cs="Arial"/>
          <w:spacing w:val="-14"/>
          <w:sz w:val="24"/>
          <w:szCs w:val="24"/>
        </w:rPr>
        <w:t xml:space="preserve"> </w:t>
      </w:r>
      <w:r w:rsidRPr="007E099D">
        <w:rPr>
          <w:rFonts w:ascii="Arial" w:hAnsi="Arial" w:cs="Arial"/>
          <w:sz w:val="24"/>
          <w:szCs w:val="24"/>
        </w:rPr>
        <w:t>por</w:t>
      </w:r>
      <w:r w:rsidRPr="007E099D">
        <w:rPr>
          <w:rFonts w:ascii="Arial" w:hAnsi="Arial" w:cs="Arial"/>
          <w:spacing w:val="-16"/>
          <w:sz w:val="24"/>
          <w:szCs w:val="24"/>
        </w:rPr>
        <w:t xml:space="preserve"> </w:t>
      </w:r>
      <w:r w:rsidRPr="007E099D">
        <w:rPr>
          <w:rFonts w:ascii="Arial" w:hAnsi="Arial" w:cs="Arial"/>
          <w:sz w:val="24"/>
          <w:szCs w:val="24"/>
        </w:rPr>
        <w:t>un</w:t>
      </w:r>
      <w:r w:rsidRPr="007E099D">
        <w:rPr>
          <w:rFonts w:ascii="Arial" w:hAnsi="Arial" w:cs="Arial"/>
          <w:spacing w:val="-18"/>
          <w:sz w:val="24"/>
          <w:szCs w:val="24"/>
        </w:rPr>
        <w:t xml:space="preserve"> </w:t>
      </w:r>
      <w:r w:rsidRPr="007E099D">
        <w:rPr>
          <w:rFonts w:ascii="Arial" w:hAnsi="Arial" w:cs="Arial"/>
          <w:sz w:val="24"/>
          <w:szCs w:val="24"/>
        </w:rPr>
        <w:t>ente,</w:t>
      </w:r>
      <w:r w:rsidRPr="007E099D">
        <w:rPr>
          <w:rFonts w:ascii="Arial" w:hAnsi="Arial" w:cs="Arial"/>
          <w:spacing w:val="-15"/>
          <w:sz w:val="24"/>
          <w:szCs w:val="24"/>
        </w:rPr>
        <w:t xml:space="preserve"> </w:t>
      </w:r>
      <w:r w:rsidRPr="007E099D">
        <w:rPr>
          <w:rFonts w:ascii="Arial" w:hAnsi="Arial" w:cs="Arial"/>
          <w:sz w:val="24"/>
          <w:szCs w:val="24"/>
        </w:rPr>
        <w:t>así</w:t>
      </w:r>
      <w:r w:rsidRPr="007E099D">
        <w:rPr>
          <w:rFonts w:ascii="Arial" w:hAnsi="Arial" w:cs="Arial"/>
          <w:spacing w:val="-15"/>
          <w:sz w:val="24"/>
          <w:szCs w:val="24"/>
        </w:rPr>
        <w:t xml:space="preserve"> </w:t>
      </w:r>
      <w:r w:rsidRPr="007E099D">
        <w:rPr>
          <w:rFonts w:ascii="Arial" w:hAnsi="Arial" w:cs="Arial"/>
          <w:sz w:val="24"/>
          <w:szCs w:val="24"/>
        </w:rPr>
        <w:t>como los resultados y la utilización de los recursos, se presentan fielmente de acuerdo con el marco de información</w:t>
      </w:r>
      <w:r w:rsidRPr="007E099D">
        <w:rPr>
          <w:rFonts w:ascii="Arial" w:hAnsi="Arial" w:cs="Arial"/>
          <w:spacing w:val="-3"/>
          <w:sz w:val="24"/>
          <w:szCs w:val="24"/>
        </w:rPr>
        <w:t xml:space="preserve"> </w:t>
      </w:r>
      <w:r w:rsidRPr="007E099D">
        <w:rPr>
          <w:rFonts w:ascii="Arial" w:hAnsi="Arial" w:cs="Arial"/>
          <w:sz w:val="24"/>
          <w:szCs w:val="24"/>
        </w:rPr>
        <w:t>financiera.</w:t>
      </w:r>
    </w:p>
    <w:p w14:paraId="74E10C7E" w14:textId="77777777" w:rsidR="00D60BC3" w:rsidRPr="004A600D" w:rsidRDefault="00D60BC3" w:rsidP="007E099D">
      <w:pPr>
        <w:pStyle w:val="Textoindependiente"/>
        <w:spacing w:before="6" w:line="360" w:lineRule="auto"/>
        <w:ind w:left="850"/>
        <w:rPr>
          <w:sz w:val="16"/>
        </w:rPr>
      </w:pPr>
    </w:p>
    <w:p w14:paraId="78A939DA" w14:textId="77777777" w:rsidR="00D60BC3" w:rsidRPr="007E099D" w:rsidRDefault="00D60BC3" w:rsidP="00683FD0">
      <w:pPr>
        <w:pStyle w:val="Prrafodelista"/>
        <w:widowControl w:val="0"/>
        <w:numPr>
          <w:ilvl w:val="0"/>
          <w:numId w:val="6"/>
        </w:numPr>
        <w:tabs>
          <w:tab w:val="left" w:pos="1821"/>
        </w:tabs>
        <w:autoSpaceDE w:val="0"/>
        <w:autoSpaceDN w:val="0"/>
        <w:spacing w:after="0" w:line="360" w:lineRule="auto"/>
        <w:jc w:val="both"/>
        <w:rPr>
          <w:rFonts w:ascii="Arial" w:hAnsi="Arial" w:cs="Arial"/>
          <w:sz w:val="24"/>
          <w:szCs w:val="24"/>
        </w:rPr>
      </w:pPr>
      <w:r w:rsidRPr="007E099D">
        <w:rPr>
          <w:rFonts w:ascii="Arial" w:hAnsi="Arial" w:cs="Arial"/>
          <w:sz w:val="24"/>
          <w:szCs w:val="24"/>
        </w:rPr>
        <w:t>Las auditorías de cumplimiento buscan determinar en qué medida las entidades auditables han observado: las leyes, los reglamentos, las políticas, los códigos establecidos y otras disposiciones contractuales, y puede abarcar gran variedad de materias sujetas a</w:t>
      </w:r>
      <w:r w:rsidRPr="007E099D">
        <w:rPr>
          <w:rFonts w:ascii="Arial" w:hAnsi="Arial" w:cs="Arial"/>
          <w:spacing w:val="-1"/>
          <w:sz w:val="24"/>
          <w:szCs w:val="24"/>
        </w:rPr>
        <w:t xml:space="preserve"> </w:t>
      </w:r>
      <w:r w:rsidRPr="007E099D">
        <w:rPr>
          <w:rFonts w:ascii="Arial" w:hAnsi="Arial" w:cs="Arial"/>
          <w:sz w:val="24"/>
          <w:szCs w:val="24"/>
        </w:rPr>
        <w:t>fiscalización.</w:t>
      </w:r>
    </w:p>
    <w:p w14:paraId="0F1D589C" w14:textId="77777777" w:rsidR="00FD4225" w:rsidRPr="00C70285" w:rsidRDefault="007E099D" w:rsidP="00683FD0">
      <w:pPr>
        <w:pStyle w:val="Prrafodelista"/>
        <w:numPr>
          <w:ilvl w:val="0"/>
          <w:numId w:val="2"/>
        </w:numPr>
        <w:spacing w:before="240" w:after="0" w:line="276" w:lineRule="auto"/>
        <w:jc w:val="both"/>
        <w:outlineLvl w:val="2"/>
        <w:rPr>
          <w:rFonts w:ascii="Arial" w:hAnsi="Arial" w:cs="Arial"/>
          <w:b/>
          <w:sz w:val="24"/>
          <w:szCs w:val="24"/>
        </w:rPr>
      </w:pPr>
      <w:bookmarkStart w:id="17" w:name="_Toc158567478"/>
      <w:r>
        <w:rPr>
          <w:rFonts w:ascii="Arial" w:hAnsi="Arial" w:cs="Arial"/>
          <w:b/>
          <w:sz w:val="24"/>
          <w:szCs w:val="24"/>
        </w:rPr>
        <w:lastRenderedPageBreak/>
        <w:t xml:space="preserve">Auditoría de </w:t>
      </w:r>
      <w:r w:rsidR="00BF61C5">
        <w:rPr>
          <w:rFonts w:ascii="Arial" w:hAnsi="Arial" w:cs="Arial"/>
          <w:b/>
          <w:sz w:val="24"/>
          <w:szCs w:val="24"/>
        </w:rPr>
        <w:t xml:space="preserve">Cumplimiento de </w:t>
      </w:r>
      <w:r>
        <w:rPr>
          <w:rFonts w:ascii="Arial" w:hAnsi="Arial" w:cs="Arial"/>
          <w:b/>
          <w:sz w:val="24"/>
          <w:szCs w:val="24"/>
        </w:rPr>
        <w:t>Inversiones Fí</w:t>
      </w:r>
      <w:r w:rsidR="00FD4225" w:rsidRPr="00C70285">
        <w:rPr>
          <w:rFonts w:ascii="Arial" w:hAnsi="Arial" w:cs="Arial"/>
          <w:b/>
          <w:sz w:val="24"/>
          <w:szCs w:val="24"/>
        </w:rPr>
        <w:t>sicas</w:t>
      </w:r>
      <w:bookmarkEnd w:id="17"/>
      <w:r w:rsidR="00FD4225" w:rsidRPr="00C70285">
        <w:rPr>
          <w:rFonts w:ascii="Arial" w:hAnsi="Arial" w:cs="Arial"/>
          <w:b/>
          <w:sz w:val="24"/>
          <w:szCs w:val="24"/>
        </w:rPr>
        <w:t xml:space="preserve"> </w:t>
      </w:r>
    </w:p>
    <w:p w14:paraId="73DD0840" w14:textId="77777777" w:rsidR="00690184" w:rsidRDefault="00690184" w:rsidP="00690184">
      <w:pPr>
        <w:pStyle w:val="Textoindependiente"/>
        <w:spacing w:before="161" w:line="360" w:lineRule="auto"/>
        <w:ind w:left="283"/>
        <w:jc w:val="both"/>
      </w:pPr>
      <w:r w:rsidRPr="00F7194B">
        <w:t>Esta auditoría se enfoca en verificar que las obras públicas, conocidas o llamadas de inversión física cumplan con su objeto principal como se describen:</w:t>
      </w:r>
    </w:p>
    <w:p w14:paraId="01926635" w14:textId="77777777" w:rsidR="00A973D2" w:rsidRPr="00A973D2" w:rsidRDefault="00A973D2" w:rsidP="00690184">
      <w:pPr>
        <w:pStyle w:val="Textoindependiente"/>
        <w:spacing w:before="161" w:line="360" w:lineRule="auto"/>
        <w:ind w:left="283"/>
        <w:jc w:val="both"/>
        <w:rPr>
          <w:sz w:val="2"/>
          <w:szCs w:val="6"/>
        </w:rPr>
      </w:pPr>
    </w:p>
    <w:p w14:paraId="6867A28B" w14:textId="77777777" w:rsidR="00690184" w:rsidRPr="00F7194B" w:rsidRDefault="00690184" w:rsidP="00683FD0">
      <w:pPr>
        <w:pStyle w:val="Prrafodelista"/>
        <w:widowControl w:val="0"/>
        <w:numPr>
          <w:ilvl w:val="0"/>
          <w:numId w:val="5"/>
        </w:numPr>
        <w:tabs>
          <w:tab w:val="left" w:pos="2353"/>
        </w:tabs>
        <w:autoSpaceDE w:val="0"/>
        <w:autoSpaceDN w:val="0"/>
        <w:spacing w:after="0" w:line="360" w:lineRule="auto"/>
        <w:ind w:left="1068"/>
        <w:contextualSpacing w:val="0"/>
        <w:jc w:val="both"/>
        <w:rPr>
          <w:rFonts w:ascii="Arial" w:hAnsi="Arial" w:cs="Arial"/>
          <w:sz w:val="24"/>
          <w:szCs w:val="24"/>
        </w:rPr>
      </w:pPr>
      <w:r w:rsidRPr="00F7194B">
        <w:rPr>
          <w:rFonts w:ascii="Arial" w:hAnsi="Arial" w:cs="Arial"/>
          <w:sz w:val="24"/>
          <w:szCs w:val="24"/>
        </w:rPr>
        <w:t>Que todo bien mueble o inmueble, adquirido o construido, para conservación o mantenimiento, relacionado con la obra pública el cual fue desarrollado mediante erogaciones destinadas a dicho fin, se haya ejecutado conforme a las disposiciones legales vigentes;</w:t>
      </w:r>
    </w:p>
    <w:p w14:paraId="6AD39D8A" w14:textId="77777777" w:rsidR="00690184" w:rsidRPr="00A973D2" w:rsidRDefault="00690184" w:rsidP="007E099D">
      <w:pPr>
        <w:pStyle w:val="Prrafodelista"/>
        <w:widowControl w:val="0"/>
        <w:tabs>
          <w:tab w:val="left" w:pos="2353"/>
        </w:tabs>
        <w:autoSpaceDE w:val="0"/>
        <w:autoSpaceDN w:val="0"/>
        <w:spacing w:after="0" w:line="360" w:lineRule="auto"/>
        <w:ind w:left="839" w:hanging="425"/>
        <w:contextualSpacing w:val="0"/>
        <w:jc w:val="both"/>
        <w:rPr>
          <w:rFonts w:ascii="Arial" w:hAnsi="Arial" w:cs="Arial"/>
          <w:sz w:val="2"/>
          <w:szCs w:val="10"/>
        </w:rPr>
      </w:pPr>
    </w:p>
    <w:p w14:paraId="534FA3C7" w14:textId="77777777" w:rsidR="00690184" w:rsidRPr="00F7194B" w:rsidRDefault="00690184" w:rsidP="007E099D">
      <w:pPr>
        <w:pStyle w:val="Prrafodelista"/>
        <w:tabs>
          <w:tab w:val="left" w:pos="2353"/>
        </w:tabs>
        <w:spacing w:before="360" w:line="360" w:lineRule="auto"/>
        <w:ind w:left="839" w:hanging="425"/>
        <w:jc w:val="both"/>
        <w:rPr>
          <w:rFonts w:ascii="Arial" w:hAnsi="Arial" w:cs="Arial"/>
          <w:sz w:val="2"/>
          <w:szCs w:val="24"/>
        </w:rPr>
      </w:pPr>
    </w:p>
    <w:p w14:paraId="314AF1D2" w14:textId="77777777" w:rsidR="00690184" w:rsidRPr="00C13129" w:rsidRDefault="00690184" w:rsidP="00683FD0">
      <w:pPr>
        <w:pStyle w:val="Prrafodelista"/>
        <w:widowControl w:val="0"/>
        <w:numPr>
          <w:ilvl w:val="0"/>
          <w:numId w:val="5"/>
        </w:numPr>
        <w:tabs>
          <w:tab w:val="left" w:pos="2341"/>
        </w:tabs>
        <w:autoSpaceDE w:val="0"/>
        <w:autoSpaceDN w:val="0"/>
        <w:spacing w:before="163" w:after="0" w:line="360" w:lineRule="auto"/>
        <w:ind w:left="1068"/>
        <w:contextualSpacing w:val="0"/>
        <w:jc w:val="both"/>
        <w:rPr>
          <w:rFonts w:ascii="Arial" w:hAnsi="Arial" w:cs="Arial"/>
          <w:sz w:val="24"/>
          <w:szCs w:val="24"/>
        </w:rPr>
      </w:pPr>
      <w:r w:rsidRPr="00F7194B">
        <w:rPr>
          <w:rFonts w:ascii="Arial" w:hAnsi="Arial" w:cs="Arial"/>
          <w:sz w:val="24"/>
          <w:szCs w:val="24"/>
        </w:rPr>
        <w:t>Verificar que los recursos transferidos a las entidades fiscalizadas y los ingresos propios destinados a las partidas presupuestales de obra pública en todas sus modalidades: adquisiciones, arrendamientos, estudios, servicios y todo lo relacionado con las mismas, y que hayan sido ejercidas para el bien común a través de las entidades encargadas de cumplir con dicha enmienda, se hayan recibido y aplicado a los fines relacionados con las obras públicas, bienes adquiridos y servicios contratados relacionados con las mismas, se deberá observar si se logró el cumplimiento de los objetivos y metas de los programas aprobados.</w:t>
      </w:r>
    </w:p>
    <w:p w14:paraId="232BC7AD" w14:textId="77777777" w:rsidR="00F14898" w:rsidRPr="00A973D2" w:rsidRDefault="00F14898" w:rsidP="00F14898">
      <w:pPr>
        <w:rPr>
          <w:rFonts w:ascii="Arial" w:hAnsi="Arial" w:cs="Arial"/>
          <w:sz w:val="4"/>
          <w:szCs w:val="24"/>
        </w:rPr>
      </w:pPr>
    </w:p>
    <w:p w14:paraId="61980F23" w14:textId="77777777" w:rsidR="00FD4225" w:rsidRPr="00C70285" w:rsidRDefault="001F49A3" w:rsidP="00683FD0">
      <w:pPr>
        <w:pStyle w:val="Prrafodelista"/>
        <w:numPr>
          <w:ilvl w:val="0"/>
          <w:numId w:val="2"/>
        </w:numPr>
        <w:spacing w:before="240" w:after="0" w:line="276" w:lineRule="auto"/>
        <w:jc w:val="both"/>
        <w:outlineLvl w:val="2"/>
        <w:rPr>
          <w:rFonts w:ascii="Arial" w:hAnsi="Arial" w:cs="Arial"/>
          <w:b/>
          <w:sz w:val="24"/>
          <w:szCs w:val="24"/>
        </w:rPr>
      </w:pPr>
      <w:bookmarkStart w:id="18" w:name="_Toc158567479"/>
      <w:r>
        <w:rPr>
          <w:rFonts w:ascii="Arial" w:hAnsi="Arial" w:cs="Arial"/>
          <w:b/>
          <w:sz w:val="24"/>
          <w:szCs w:val="24"/>
        </w:rPr>
        <w:t>Auditoría de</w:t>
      </w:r>
      <w:r w:rsidR="00FD4225" w:rsidRPr="00C70285">
        <w:rPr>
          <w:rFonts w:ascii="Arial" w:hAnsi="Arial" w:cs="Arial"/>
          <w:b/>
          <w:sz w:val="24"/>
          <w:szCs w:val="24"/>
        </w:rPr>
        <w:t xml:space="preserve"> Desempeño</w:t>
      </w:r>
      <w:bookmarkEnd w:id="18"/>
      <w:r w:rsidR="00FD4225" w:rsidRPr="00C70285">
        <w:rPr>
          <w:rFonts w:ascii="Arial" w:hAnsi="Arial" w:cs="Arial"/>
          <w:b/>
          <w:sz w:val="24"/>
          <w:szCs w:val="24"/>
        </w:rPr>
        <w:t xml:space="preserve"> </w:t>
      </w:r>
    </w:p>
    <w:p w14:paraId="2189A302" w14:textId="77777777" w:rsidR="00971A31" w:rsidRPr="00F7194B" w:rsidRDefault="00971A31" w:rsidP="00971A31">
      <w:pPr>
        <w:pStyle w:val="Textoindependiente"/>
        <w:spacing w:before="200" w:line="360" w:lineRule="auto"/>
        <w:ind w:left="360"/>
        <w:jc w:val="both"/>
      </w:pPr>
      <w:r w:rsidRPr="00F7194B">
        <w:t>Se orienta a verificar el grado de cumplimiento de los objetivos contenidos en los programas gubernamentales, si éstos fueron ejecutados con eficacia, eficiencia y economía;</w:t>
      </w:r>
      <w:r w:rsidRPr="00F7194B">
        <w:rPr>
          <w:spacing w:val="-9"/>
        </w:rPr>
        <w:t xml:space="preserve"> </w:t>
      </w:r>
      <w:r w:rsidRPr="00F7194B">
        <w:t>así</w:t>
      </w:r>
      <w:r w:rsidRPr="00F7194B">
        <w:rPr>
          <w:spacing w:val="-10"/>
        </w:rPr>
        <w:t xml:space="preserve"> </w:t>
      </w:r>
      <w:r w:rsidRPr="00F7194B">
        <w:t>como</w:t>
      </w:r>
      <w:r w:rsidRPr="00F7194B">
        <w:rPr>
          <w:spacing w:val="-11"/>
        </w:rPr>
        <w:t xml:space="preserve"> </w:t>
      </w:r>
      <w:r w:rsidRPr="00F7194B">
        <w:t>verificar</w:t>
      </w:r>
      <w:r w:rsidRPr="00F7194B">
        <w:rPr>
          <w:spacing w:val="-9"/>
        </w:rPr>
        <w:t xml:space="preserve"> </w:t>
      </w:r>
      <w:r w:rsidRPr="00F7194B">
        <w:t>si</w:t>
      </w:r>
      <w:r w:rsidRPr="00F7194B">
        <w:rPr>
          <w:spacing w:val="-12"/>
        </w:rPr>
        <w:t xml:space="preserve"> </w:t>
      </w:r>
      <w:r w:rsidRPr="00F7194B">
        <w:t>se</w:t>
      </w:r>
      <w:r w:rsidRPr="00F7194B">
        <w:rPr>
          <w:spacing w:val="-11"/>
        </w:rPr>
        <w:t xml:space="preserve"> </w:t>
      </w:r>
      <w:r w:rsidRPr="00F7194B">
        <w:t>cumplieron</w:t>
      </w:r>
      <w:r w:rsidRPr="00F7194B">
        <w:rPr>
          <w:spacing w:val="-12"/>
        </w:rPr>
        <w:t xml:space="preserve"> </w:t>
      </w:r>
      <w:r w:rsidRPr="00F7194B">
        <w:t>las</w:t>
      </w:r>
      <w:r w:rsidRPr="00F7194B">
        <w:rPr>
          <w:spacing w:val="-9"/>
        </w:rPr>
        <w:t xml:space="preserve"> </w:t>
      </w:r>
      <w:r w:rsidRPr="00F7194B">
        <w:t>metas</w:t>
      </w:r>
      <w:r w:rsidRPr="00F7194B">
        <w:rPr>
          <w:spacing w:val="-10"/>
        </w:rPr>
        <w:t xml:space="preserve"> </w:t>
      </w:r>
      <w:r w:rsidRPr="00F7194B">
        <w:t>de</w:t>
      </w:r>
      <w:r w:rsidRPr="00F7194B">
        <w:rPr>
          <w:spacing w:val="-11"/>
        </w:rPr>
        <w:t xml:space="preserve"> </w:t>
      </w:r>
      <w:r w:rsidRPr="00F7194B">
        <w:t>los</w:t>
      </w:r>
      <w:r w:rsidRPr="00F7194B">
        <w:rPr>
          <w:spacing w:val="-9"/>
        </w:rPr>
        <w:t xml:space="preserve"> </w:t>
      </w:r>
      <w:r w:rsidRPr="00F7194B">
        <w:t>indicadores</w:t>
      </w:r>
      <w:r w:rsidRPr="00F7194B">
        <w:rPr>
          <w:spacing w:val="-6"/>
        </w:rPr>
        <w:t xml:space="preserve"> </w:t>
      </w:r>
      <w:r w:rsidRPr="00F7194B">
        <w:t>aprobados</w:t>
      </w:r>
      <w:r w:rsidRPr="00F7194B">
        <w:rPr>
          <w:spacing w:val="-10"/>
        </w:rPr>
        <w:t xml:space="preserve"> </w:t>
      </w:r>
      <w:r w:rsidRPr="00F7194B">
        <w:t xml:space="preserve">en el Presupuesto de Egresos y si dicho cumplimiento tiene relación con el Plan Estatal de Desarrollo y los </w:t>
      </w:r>
      <w:r w:rsidR="00A973D2">
        <w:t>P</w:t>
      </w:r>
      <w:r w:rsidRPr="00F7194B">
        <w:t>rogramas</w:t>
      </w:r>
      <w:r w:rsidRPr="00F7194B">
        <w:rPr>
          <w:spacing w:val="3"/>
        </w:rPr>
        <w:t xml:space="preserve"> </w:t>
      </w:r>
      <w:r w:rsidR="00A973D2">
        <w:rPr>
          <w:spacing w:val="3"/>
        </w:rPr>
        <w:t>S</w:t>
      </w:r>
      <w:r w:rsidRPr="00F7194B">
        <w:t>ectoriales.</w:t>
      </w:r>
    </w:p>
    <w:p w14:paraId="383F4FC8" w14:textId="77777777" w:rsidR="00971A31" w:rsidRPr="00A973D2" w:rsidRDefault="00971A31" w:rsidP="00971A31">
      <w:pPr>
        <w:pStyle w:val="Textoindependiente"/>
        <w:spacing w:line="360" w:lineRule="auto"/>
        <w:ind w:left="720"/>
        <w:rPr>
          <w:sz w:val="8"/>
        </w:rPr>
      </w:pPr>
    </w:p>
    <w:p w14:paraId="6FE46D24" w14:textId="77777777" w:rsidR="00971A31" w:rsidRPr="00F7194B" w:rsidRDefault="00971A31" w:rsidP="00683FD0">
      <w:pPr>
        <w:pStyle w:val="Textoindependiente"/>
        <w:numPr>
          <w:ilvl w:val="0"/>
          <w:numId w:val="26"/>
        </w:numPr>
        <w:spacing w:line="360" w:lineRule="auto"/>
        <w:jc w:val="both"/>
      </w:pPr>
      <w:r w:rsidRPr="00F7194B">
        <w:t>En el terreno de las Auditorías de Desempeño, la Planeación se presenta como un método a priori mediante el cual, se fijan o se proponen los temas y objetivos de las posibles auditorías, se determinan los medios para lograr cumplir con dichos objetivos, se aplican las técnicas de análisis y de síntesis para descubrir hallazgos; se elabora con rigor metodológico, la interpretación de resultados; se observa y propone acciones de mejora del quehacer gubernamental.</w:t>
      </w:r>
    </w:p>
    <w:p w14:paraId="293BF4D7" w14:textId="77777777" w:rsidR="002D4596" w:rsidRPr="00C70285" w:rsidRDefault="004A600D" w:rsidP="00683FD0">
      <w:pPr>
        <w:pStyle w:val="Ttulo2"/>
        <w:numPr>
          <w:ilvl w:val="0"/>
          <w:numId w:val="1"/>
        </w:numPr>
        <w:spacing w:before="240" w:line="276" w:lineRule="auto"/>
        <w:jc w:val="both"/>
        <w:rPr>
          <w:rFonts w:ascii="Arial" w:hAnsi="Arial" w:cs="Arial"/>
          <w:b/>
          <w:color w:val="auto"/>
          <w:sz w:val="24"/>
          <w:szCs w:val="24"/>
        </w:rPr>
      </w:pPr>
      <w:bookmarkStart w:id="19" w:name="_Toc158567480"/>
      <w:r w:rsidRPr="00C70285">
        <w:rPr>
          <w:rFonts w:ascii="Arial" w:hAnsi="Arial" w:cs="Arial"/>
          <w:b/>
          <w:color w:val="auto"/>
          <w:sz w:val="24"/>
          <w:szCs w:val="24"/>
        </w:rPr>
        <w:lastRenderedPageBreak/>
        <w:t>RESULTADOS DEL PROCESO DE FISCALIZACIÓN</w:t>
      </w:r>
      <w:bookmarkEnd w:id="19"/>
      <w:r w:rsidRPr="00C70285">
        <w:rPr>
          <w:rFonts w:ascii="Arial" w:hAnsi="Arial" w:cs="Arial"/>
          <w:b/>
          <w:color w:val="auto"/>
          <w:sz w:val="24"/>
          <w:szCs w:val="24"/>
        </w:rPr>
        <w:t xml:space="preserve"> </w:t>
      </w:r>
    </w:p>
    <w:p w14:paraId="7C2CB232" w14:textId="77777777" w:rsidR="002D4596" w:rsidRDefault="002D4596" w:rsidP="002D4596"/>
    <w:p w14:paraId="59BD1D0D" w14:textId="77777777" w:rsidR="002D4596" w:rsidRPr="00F7194B" w:rsidRDefault="002D4596" w:rsidP="002D4596">
      <w:pPr>
        <w:pStyle w:val="Textoindependiente"/>
        <w:spacing w:line="276" w:lineRule="auto"/>
        <w:jc w:val="both"/>
      </w:pPr>
      <w:r w:rsidRPr="00F7194B">
        <w:t>A continuación, se presenta la tabla que describe cada acción que deriva de una auditoría</w:t>
      </w:r>
      <w:r w:rsidRPr="00F7194B">
        <w:rPr>
          <w:spacing w:val="-13"/>
        </w:rPr>
        <w:t xml:space="preserve"> </w:t>
      </w:r>
      <w:r w:rsidRPr="00F7194B">
        <w:t>de</w:t>
      </w:r>
      <w:r w:rsidRPr="00F7194B">
        <w:rPr>
          <w:spacing w:val="-12"/>
        </w:rPr>
        <w:t xml:space="preserve"> </w:t>
      </w:r>
      <w:r w:rsidRPr="00F7194B">
        <w:t>conformidad</w:t>
      </w:r>
      <w:r w:rsidRPr="00F7194B">
        <w:rPr>
          <w:spacing w:val="-13"/>
        </w:rPr>
        <w:t xml:space="preserve"> </w:t>
      </w:r>
      <w:r w:rsidRPr="00F7194B">
        <w:t>con</w:t>
      </w:r>
      <w:r w:rsidRPr="00F7194B">
        <w:rPr>
          <w:spacing w:val="-12"/>
        </w:rPr>
        <w:t xml:space="preserve"> </w:t>
      </w:r>
      <w:r w:rsidRPr="00F7194B">
        <w:t>el</w:t>
      </w:r>
      <w:r w:rsidRPr="00F7194B">
        <w:rPr>
          <w:spacing w:val="-12"/>
        </w:rPr>
        <w:t xml:space="preserve"> </w:t>
      </w:r>
      <w:r w:rsidRPr="00F7194B">
        <w:t>marco</w:t>
      </w:r>
      <w:r w:rsidRPr="00F7194B">
        <w:rPr>
          <w:spacing w:val="-9"/>
        </w:rPr>
        <w:t xml:space="preserve"> </w:t>
      </w:r>
      <w:r w:rsidRPr="00F7194B">
        <w:t>legal</w:t>
      </w:r>
      <w:r w:rsidRPr="00F7194B">
        <w:rPr>
          <w:spacing w:val="-10"/>
        </w:rPr>
        <w:t xml:space="preserve"> </w:t>
      </w:r>
      <w:r w:rsidRPr="00F7194B">
        <w:t>vigente,</w:t>
      </w:r>
      <w:r w:rsidRPr="00F7194B">
        <w:rPr>
          <w:spacing w:val="-9"/>
        </w:rPr>
        <w:t xml:space="preserve"> </w:t>
      </w:r>
      <w:r w:rsidRPr="00F7194B">
        <w:t>para</w:t>
      </w:r>
      <w:r w:rsidRPr="00F7194B">
        <w:rPr>
          <w:spacing w:val="-13"/>
        </w:rPr>
        <w:t xml:space="preserve"> </w:t>
      </w:r>
      <w:r w:rsidRPr="00F7194B">
        <w:t>la</w:t>
      </w:r>
      <w:r w:rsidRPr="00F7194B">
        <w:rPr>
          <w:spacing w:val="-12"/>
        </w:rPr>
        <w:t xml:space="preserve"> </w:t>
      </w:r>
      <w:r w:rsidRPr="00F7194B">
        <w:t>fiscalización</w:t>
      </w:r>
      <w:r w:rsidRPr="00F7194B">
        <w:rPr>
          <w:spacing w:val="-12"/>
        </w:rPr>
        <w:t xml:space="preserve"> </w:t>
      </w:r>
      <w:r w:rsidRPr="00F7194B">
        <w:t>de</w:t>
      </w:r>
      <w:r w:rsidRPr="00F7194B">
        <w:rPr>
          <w:spacing w:val="-13"/>
        </w:rPr>
        <w:t xml:space="preserve"> </w:t>
      </w:r>
      <w:r w:rsidRPr="00F7194B">
        <w:t>la</w:t>
      </w:r>
      <w:r w:rsidRPr="00F7194B">
        <w:rPr>
          <w:spacing w:val="-12"/>
        </w:rPr>
        <w:t xml:space="preserve"> </w:t>
      </w:r>
      <w:r w:rsidRPr="00F7194B">
        <w:t>Cuenta Pública</w:t>
      </w:r>
      <w:r w:rsidRPr="00F7194B">
        <w:rPr>
          <w:spacing w:val="-1"/>
        </w:rPr>
        <w:t xml:space="preserve"> </w:t>
      </w:r>
      <w:r w:rsidRPr="00F7194B">
        <w:t>20</w:t>
      </w:r>
      <w:r>
        <w:t>2</w:t>
      </w:r>
      <w:r w:rsidR="001501B3">
        <w:t>2</w:t>
      </w:r>
      <w:r w:rsidRPr="00F7194B">
        <w:t>.</w:t>
      </w:r>
    </w:p>
    <w:p w14:paraId="47106359" w14:textId="77777777" w:rsidR="002D4596" w:rsidRDefault="002D4596" w:rsidP="002D4596"/>
    <w:p w14:paraId="5AC02F30" w14:textId="77777777" w:rsidR="00A63C51" w:rsidRDefault="004A600D" w:rsidP="004A600D">
      <w:pPr>
        <w:pStyle w:val="Ttulo4"/>
        <w:spacing w:before="230"/>
        <w:ind w:right="936"/>
        <w:jc w:val="both"/>
        <w:rPr>
          <w:rFonts w:ascii="Arial" w:hAnsi="Arial" w:cs="Arial"/>
          <w:b/>
          <w:color w:val="auto"/>
          <w:position w:val="8"/>
          <w:sz w:val="20"/>
          <w:szCs w:val="20"/>
        </w:rPr>
      </w:pPr>
      <w:r>
        <w:rPr>
          <w:rFonts w:ascii="Arial" w:hAnsi="Arial" w:cs="Arial"/>
          <w:b/>
          <w:color w:val="auto"/>
          <w:sz w:val="24"/>
          <w:szCs w:val="24"/>
        </w:rPr>
        <w:t xml:space="preserve">1. </w:t>
      </w:r>
      <w:r w:rsidR="00A63C51" w:rsidRPr="00F7194B">
        <w:rPr>
          <w:rFonts w:ascii="Arial" w:hAnsi="Arial" w:cs="Arial"/>
          <w:b/>
          <w:color w:val="auto"/>
          <w:sz w:val="24"/>
          <w:szCs w:val="24"/>
        </w:rPr>
        <w:t>Acciones que emite directamente la ASEQROO</w:t>
      </w:r>
      <w:r w:rsidR="00A63C51" w:rsidRPr="00F7194B">
        <w:rPr>
          <w:rFonts w:ascii="Arial" w:hAnsi="Arial" w:cs="Arial"/>
          <w:b/>
          <w:color w:val="auto"/>
          <w:position w:val="8"/>
          <w:sz w:val="20"/>
          <w:szCs w:val="20"/>
        </w:rPr>
        <w:t>1</w:t>
      </w:r>
    </w:p>
    <w:p w14:paraId="19DF26D2" w14:textId="77777777" w:rsidR="00393026" w:rsidRDefault="00393026" w:rsidP="00393026"/>
    <w:p w14:paraId="20E10CB9" w14:textId="77777777" w:rsidR="00393026" w:rsidRPr="00F7194B" w:rsidRDefault="00393026" w:rsidP="00393026">
      <w:pPr>
        <w:jc w:val="center"/>
        <w:rPr>
          <w:rFonts w:ascii="Arial" w:hAnsi="Arial" w:cs="Arial"/>
          <w:b/>
        </w:rPr>
      </w:pPr>
      <w:r w:rsidRPr="00F7194B">
        <w:rPr>
          <w:rFonts w:ascii="Arial" w:hAnsi="Arial" w:cs="Arial"/>
          <w:b/>
          <w:sz w:val="24"/>
        </w:rPr>
        <w:t>Pliego de</w:t>
      </w:r>
      <w:r w:rsidRPr="00F7194B">
        <w:rPr>
          <w:rFonts w:ascii="Arial" w:hAnsi="Arial" w:cs="Arial"/>
          <w:b/>
          <w:spacing w:val="-8"/>
          <w:sz w:val="24"/>
        </w:rPr>
        <w:t xml:space="preserve"> </w:t>
      </w:r>
      <w:r w:rsidRPr="00F7194B">
        <w:rPr>
          <w:rFonts w:ascii="Arial" w:hAnsi="Arial" w:cs="Arial"/>
          <w:b/>
          <w:sz w:val="24"/>
        </w:rPr>
        <w:t>Observaciones (Correctivo)</w:t>
      </w:r>
    </w:p>
    <w:p w14:paraId="74B1E527" w14:textId="77777777" w:rsidR="00393026" w:rsidRPr="00F7194B" w:rsidRDefault="00393026" w:rsidP="00393026">
      <w:pPr>
        <w:pStyle w:val="Textoindependiente"/>
        <w:spacing w:before="1"/>
        <w:rPr>
          <w:b/>
          <w:sz w:val="12"/>
        </w:rPr>
      </w:pPr>
    </w:p>
    <w:tbl>
      <w:tblPr>
        <w:tblStyle w:val="Tabladecuadrcula4-nfasis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left w:w="57" w:type="dxa"/>
        </w:tblCellMar>
        <w:tblLook w:val="01E0" w:firstRow="1" w:lastRow="1" w:firstColumn="1" w:lastColumn="1" w:noHBand="0" w:noVBand="0"/>
      </w:tblPr>
      <w:tblGrid>
        <w:gridCol w:w="2430"/>
        <w:gridCol w:w="6994"/>
      </w:tblGrid>
      <w:tr w:rsidR="00393026" w:rsidRPr="00F7194B" w14:paraId="0CAA7FE2" w14:textId="77777777" w:rsidTr="00DB6FEA">
        <w:trPr>
          <w:cnfStyle w:val="100000000000" w:firstRow="1" w:lastRow="0" w:firstColumn="0" w:lastColumn="0" w:oddVBand="0" w:evenVBand="0" w:oddHBand="0"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9424" w:type="dxa"/>
            <w:gridSpan w:val="2"/>
            <w:tcBorders>
              <w:top w:val="none" w:sz="0" w:space="0" w:color="auto"/>
              <w:left w:val="none" w:sz="0" w:space="0" w:color="auto"/>
              <w:bottom w:val="single" w:sz="4" w:space="0" w:color="auto"/>
              <w:right w:val="none" w:sz="0" w:space="0" w:color="auto"/>
            </w:tcBorders>
            <w:shd w:val="clear" w:color="auto" w:fill="F2F2F2" w:themeFill="background1" w:themeFillShade="F2"/>
          </w:tcPr>
          <w:p w14:paraId="67B1021A" w14:textId="77777777" w:rsidR="00393026" w:rsidRPr="00F7194B" w:rsidRDefault="00393026" w:rsidP="00DB6FEA">
            <w:pPr>
              <w:pStyle w:val="TableParagraph"/>
              <w:spacing w:before="37"/>
              <w:rPr>
                <w:b w:val="0"/>
                <w:color w:val="auto"/>
              </w:rPr>
            </w:pPr>
            <w:r w:rsidRPr="00F7194B">
              <w:rPr>
                <w:b w:val="0"/>
                <w:color w:val="auto"/>
              </w:rPr>
              <w:t>La ASEQROO determinará en cantidad líquida, los daños o perjuicios, o ambos, a la Hacienda Pública Estatal y Municipal.</w:t>
            </w:r>
          </w:p>
        </w:tc>
      </w:tr>
      <w:tr w:rsidR="00393026" w:rsidRPr="00F7194B" w14:paraId="49A933DE" w14:textId="77777777" w:rsidTr="00F34B64">
        <w:trPr>
          <w:cnfStyle w:val="000000100000" w:firstRow="0" w:lastRow="0" w:firstColumn="0" w:lastColumn="0" w:oddVBand="0" w:evenVBand="0" w:oddHBand="1" w:evenHBand="0" w:firstRowFirstColumn="0" w:firstRowLastColumn="0" w:lastRowFirstColumn="0" w:lastRowLastColumn="0"/>
          <w:trHeight w:val="879"/>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right w:val="single" w:sz="4" w:space="0" w:color="auto"/>
            </w:tcBorders>
            <w:shd w:val="clear" w:color="auto" w:fill="F2F2F2" w:themeFill="background1" w:themeFillShade="F2"/>
            <w:vAlign w:val="center"/>
          </w:tcPr>
          <w:p w14:paraId="03F8ABD1" w14:textId="77777777" w:rsidR="00393026" w:rsidRPr="00F7194B" w:rsidRDefault="00393026" w:rsidP="00DB6FEA">
            <w:pPr>
              <w:pStyle w:val="TableParagraph"/>
              <w:ind w:right="104"/>
              <w:jc w:val="right"/>
              <w:rPr>
                <w:lang w:eastAsia="es-ES" w:bidi="es-ES"/>
              </w:rPr>
            </w:pPr>
            <w:r w:rsidRPr="00F7194B">
              <w:rPr>
                <w:lang w:eastAsia="es-ES" w:bidi="es-ES"/>
              </w:rPr>
              <w:t>Criterios para Concluir con la Acción</w:t>
            </w:r>
          </w:p>
        </w:tc>
        <w:tc>
          <w:tcPr>
            <w:cnfStyle w:val="000100000000" w:firstRow="0" w:lastRow="0" w:firstColumn="0" w:lastColumn="1" w:oddVBand="0" w:evenVBand="0" w:oddHBand="0" w:evenHBand="0" w:firstRowFirstColumn="0" w:firstRowLastColumn="0" w:lastRowFirstColumn="0" w:lastRowLastColumn="0"/>
            <w:tcW w:w="6994" w:type="dxa"/>
            <w:tcBorders>
              <w:top w:val="single" w:sz="4" w:space="0" w:color="auto"/>
              <w:left w:val="single" w:sz="4" w:space="0" w:color="auto"/>
            </w:tcBorders>
            <w:shd w:val="clear" w:color="auto" w:fill="F2F2F2" w:themeFill="background1" w:themeFillShade="F2"/>
          </w:tcPr>
          <w:p w14:paraId="75E41291" w14:textId="77777777" w:rsidR="00393026" w:rsidRPr="00F7194B" w:rsidRDefault="00393026" w:rsidP="00DB6FEA">
            <w:pPr>
              <w:pStyle w:val="TableParagraph"/>
              <w:tabs>
                <w:tab w:val="left" w:pos="1509"/>
                <w:tab w:val="left" w:pos="1840"/>
                <w:tab w:val="left" w:pos="3547"/>
                <w:tab w:val="left" w:pos="4697"/>
                <w:tab w:val="left" w:pos="5037"/>
                <w:tab w:val="left" w:pos="5612"/>
                <w:tab w:val="left" w:pos="6004"/>
              </w:tabs>
              <w:spacing w:before="124"/>
              <w:rPr>
                <w:b w:val="0"/>
              </w:rPr>
            </w:pPr>
            <w:r w:rsidRPr="00F7194B">
              <w:rPr>
                <w:b w:val="0"/>
              </w:rPr>
              <w:t>Argumentos</w:t>
            </w:r>
            <w:r w:rsidRPr="00F7194B">
              <w:rPr>
                <w:b w:val="0"/>
              </w:rPr>
              <w:tab/>
              <w:t>y</w:t>
            </w:r>
            <w:r w:rsidRPr="00F7194B">
              <w:rPr>
                <w:b w:val="0"/>
              </w:rPr>
              <w:tab/>
              <w:t>documentación</w:t>
            </w:r>
            <w:r w:rsidRPr="00F7194B">
              <w:rPr>
                <w:b w:val="0"/>
              </w:rPr>
              <w:tab/>
              <w:t>suficiente</w:t>
            </w:r>
            <w:r w:rsidRPr="00F7194B">
              <w:rPr>
                <w:b w:val="0"/>
              </w:rPr>
              <w:tab/>
              <w:t>o</w:t>
            </w:r>
            <w:r w:rsidRPr="00F7194B">
              <w:rPr>
                <w:b w:val="0"/>
              </w:rPr>
              <w:tab/>
              <w:t>con</w:t>
            </w:r>
            <w:r w:rsidRPr="00F7194B">
              <w:rPr>
                <w:b w:val="0"/>
              </w:rPr>
              <w:tab/>
              <w:t>el</w:t>
            </w:r>
            <w:r w:rsidR="00F273A4">
              <w:rPr>
                <w:b w:val="0"/>
              </w:rPr>
              <w:t xml:space="preserve"> </w:t>
            </w:r>
            <w:r w:rsidRPr="00F7194B">
              <w:rPr>
                <w:b w:val="0"/>
                <w:spacing w:val="-3"/>
              </w:rPr>
              <w:t xml:space="preserve">reintegro </w:t>
            </w:r>
            <w:r w:rsidRPr="00F7194B">
              <w:rPr>
                <w:b w:val="0"/>
              </w:rPr>
              <w:t>correspondiente.</w:t>
            </w:r>
          </w:p>
        </w:tc>
      </w:tr>
      <w:tr w:rsidR="00393026" w:rsidRPr="00F7194B" w14:paraId="69133E1D" w14:textId="77777777" w:rsidTr="00F34B64">
        <w:trPr>
          <w:trHeight w:val="1129"/>
          <w:jc w:val="center"/>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auto"/>
            </w:tcBorders>
            <w:shd w:val="clear" w:color="auto" w:fill="F2F2F2" w:themeFill="background1" w:themeFillShade="F2"/>
            <w:vAlign w:val="center"/>
          </w:tcPr>
          <w:p w14:paraId="7B37BAC4" w14:textId="77777777" w:rsidR="00393026" w:rsidRPr="00F7194B" w:rsidRDefault="00393026" w:rsidP="00DB6FEA">
            <w:pPr>
              <w:pStyle w:val="TableParagraph"/>
              <w:ind w:right="104"/>
              <w:jc w:val="right"/>
              <w:rPr>
                <w:lang w:eastAsia="es-ES" w:bidi="es-ES"/>
              </w:rPr>
            </w:pPr>
            <w:r w:rsidRPr="00F7194B">
              <w:rPr>
                <w:lang w:eastAsia="es-ES" w:bidi="es-ES"/>
              </w:rPr>
              <w:t>Plazo de Notificación por parte de la ASEQROO</w:t>
            </w:r>
          </w:p>
        </w:tc>
        <w:tc>
          <w:tcPr>
            <w:cnfStyle w:val="000100000000" w:firstRow="0" w:lastRow="0" w:firstColumn="0" w:lastColumn="1" w:oddVBand="0" w:evenVBand="0" w:oddHBand="0" w:evenHBand="0" w:firstRowFirstColumn="0" w:firstRowLastColumn="0" w:lastRowFirstColumn="0" w:lastRowLastColumn="0"/>
            <w:tcW w:w="6994" w:type="dxa"/>
            <w:tcBorders>
              <w:left w:val="single" w:sz="4" w:space="0" w:color="auto"/>
            </w:tcBorders>
            <w:shd w:val="clear" w:color="auto" w:fill="F2F2F2" w:themeFill="background1" w:themeFillShade="F2"/>
            <w:vAlign w:val="center"/>
          </w:tcPr>
          <w:p w14:paraId="2404D95B" w14:textId="77777777" w:rsidR="00393026" w:rsidRPr="00F7194B" w:rsidRDefault="00393026" w:rsidP="00924E01">
            <w:pPr>
              <w:pStyle w:val="TableParagraph"/>
              <w:spacing w:line="242" w:lineRule="auto"/>
              <w:rPr>
                <w:b w:val="0"/>
              </w:rPr>
            </w:pPr>
            <w:r w:rsidRPr="00F7194B">
              <w:rPr>
                <w:b w:val="0"/>
              </w:rPr>
              <w:t>10 días hábiles a partir de la entrega del Inform</w:t>
            </w:r>
            <w:r w:rsidR="00924E01">
              <w:rPr>
                <w:b w:val="0"/>
              </w:rPr>
              <w:t xml:space="preserve">e Individual correspondiente a la Legislatura </w:t>
            </w:r>
            <w:r w:rsidRPr="00F7194B">
              <w:rPr>
                <w:b w:val="0"/>
              </w:rPr>
              <w:t>del Estado.</w:t>
            </w:r>
          </w:p>
        </w:tc>
      </w:tr>
      <w:tr w:rsidR="00393026" w:rsidRPr="00F7194B" w14:paraId="5D68CF8F" w14:textId="77777777" w:rsidTr="00F34B64">
        <w:trPr>
          <w:cnfStyle w:val="000000100000" w:firstRow="0" w:lastRow="0" w:firstColumn="0" w:lastColumn="0" w:oddVBand="0" w:evenVBand="0" w:oddHBand="1" w:evenHBand="0" w:firstRowFirstColumn="0" w:firstRowLastColumn="0" w:lastRowFirstColumn="0" w:lastRowLastColumn="0"/>
          <w:trHeight w:val="848"/>
          <w:jc w:val="center"/>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auto"/>
            </w:tcBorders>
            <w:shd w:val="clear" w:color="auto" w:fill="F2F2F2" w:themeFill="background1" w:themeFillShade="F2"/>
            <w:vAlign w:val="center"/>
          </w:tcPr>
          <w:p w14:paraId="2242D85F" w14:textId="77777777" w:rsidR="00393026" w:rsidRPr="00F7194B" w:rsidRDefault="00393026" w:rsidP="00DB6FEA">
            <w:pPr>
              <w:pStyle w:val="TableParagraph"/>
              <w:ind w:right="104"/>
              <w:jc w:val="right"/>
              <w:rPr>
                <w:lang w:eastAsia="es-ES" w:bidi="es-ES"/>
              </w:rPr>
            </w:pPr>
            <w:r w:rsidRPr="00F7194B">
              <w:rPr>
                <w:lang w:eastAsia="es-ES" w:bidi="es-ES"/>
              </w:rPr>
              <w:t>Plazo de Respuesta del Ente Auditado</w:t>
            </w:r>
          </w:p>
        </w:tc>
        <w:tc>
          <w:tcPr>
            <w:cnfStyle w:val="000100000000" w:firstRow="0" w:lastRow="0" w:firstColumn="0" w:lastColumn="1" w:oddVBand="0" w:evenVBand="0" w:oddHBand="0" w:evenHBand="0" w:firstRowFirstColumn="0" w:firstRowLastColumn="0" w:lastRowFirstColumn="0" w:lastRowLastColumn="0"/>
            <w:tcW w:w="6994" w:type="dxa"/>
            <w:tcBorders>
              <w:left w:val="single" w:sz="4" w:space="0" w:color="auto"/>
            </w:tcBorders>
            <w:shd w:val="clear" w:color="auto" w:fill="F2F2F2" w:themeFill="background1" w:themeFillShade="F2"/>
          </w:tcPr>
          <w:p w14:paraId="79737552" w14:textId="77777777" w:rsidR="00393026" w:rsidRPr="00F7194B" w:rsidRDefault="00393026" w:rsidP="00924E01">
            <w:pPr>
              <w:pStyle w:val="TableParagraph"/>
              <w:spacing w:before="151"/>
              <w:rPr>
                <w:b w:val="0"/>
              </w:rPr>
            </w:pPr>
            <w:r w:rsidRPr="00F7194B">
              <w:rPr>
                <w:b w:val="0"/>
              </w:rPr>
              <w:t xml:space="preserve">30 días hábiles, a partir de la recepción del </w:t>
            </w:r>
            <w:r w:rsidR="00924E01">
              <w:rPr>
                <w:b w:val="0"/>
              </w:rPr>
              <w:t>Informe Individual de Auditoría</w:t>
            </w:r>
            <w:r w:rsidRPr="00F7194B">
              <w:rPr>
                <w:b w:val="0"/>
              </w:rPr>
              <w:t>.</w:t>
            </w:r>
          </w:p>
        </w:tc>
      </w:tr>
      <w:tr w:rsidR="00393026" w:rsidRPr="00F7194B" w14:paraId="03745B73" w14:textId="77777777" w:rsidTr="00CF732A">
        <w:trPr>
          <w:trHeight w:val="988"/>
          <w:jc w:val="center"/>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auto"/>
            </w:tcBorders>
            <w:shd w:val="clear" w:color="auto" w:fill="F2F2F2" w:themeFill="background1" w:themeFillShade="F2"/>
            <w:vAlign w:val="center"/>
          </w:tcPr>
          <w:p w14:paraId="18EF9C0F" w14:textId="77777777" w:rsidR="00393026" w:rsidRPr="00F7194B" w:rsidRDefault="00393026" w:rsidP="00DB6FEA">
            <w:pPr>
              <w:pStyle w:val="TableParagraph"/>
              <w:ind w:right="104"/>
              <w:jc w:val="right"/>
              <w:rPr>
                <w:lang w:eastAsia="es-ES" w:bidi="es-ES"/>
              </w:rPr>
            </w:pPr>
            <w:r w:rsidRPr="00F7194B">
              <w:rPr>
                <w:lang w:eastAsia="es-ES" w:bidi="es-ES"/>
              </w:rPr>
              <w:t>Plazo para que la ASEQROO se</w:t>
            </w:r>
          </w:p>
          <w:p w14:paraId="3B42AFA2" w14:textId="77777777" w:rsidR="00393026" w:rsidRPr="00F7194B" w:rsidRDefault="00393026" w:rsidP="00DB6FEA">
            <w:pPr>
              <w:pStyle w:val="TableParagraph"/>
              <w:ind w:right="104"/>
              <w:jc w:val="right"/>
              <w:rPr>
                <w:lang w:eastAsia="es-ES" w:bidi="es-ES"/>
              </w:rPr>
            </w:pPr>
            <w:r w:rsidRPr="00F7194B">
              <w:rPr>
                <w:lang w:eastAsia="es-ES" w:bidi="es-ES"/>
              </w:rPr>
              <w:t>Pronuncie</w:t>
            </w:r>
          </w:p>
        </w:tc>
        <w:tc>
          <w:tcPr>
            <w:cnfStyle w:val="000100000000" w:firstRow="0" w:lastRow="0" w:firstColumn="0" w:lastColumn="1" w:oddVBand="0" w:evenVBand="0" w:oddHBand="0" w:evenHBand="0" w:firstRowFirstColumn="0" w:firstRowLastColumn="0" w:lastRowFirstColumn="0" w:lastRowLastColumn="0"/>
            <w:tcW w:w="6994" w:type="dxa"/>
            <w:tcBorders>
              <w:left w:val="single" w:sz="4" w:space="0" w:color="auto"/>
            </w:tcBorders>
            <w:shd w:val="clear" w:color="auto" w:fill="F2F2F2" w:themeFill="background1" w:themeFillShade="F2"/>
          </w:tcPr>
          <w:p w14:paraId="0858BEEF" w14:textId="77777777" w:rsidR="00393026" w:rsidRPr="00F7194B" w:rsidRDefault="00393026" w:rsidP="00DB6FEA">
            <w:pPr>
              <w:pStyle w:val="TableParagraph"/>
              <w:spacing w:before="1"/>
              <w:rPr>
                <w:b w:val="0"/>
              </w:rPr>
            </w:pPr>
          </w:p>
          <w:p w14:paraId="4FA18B93" w14:textId="77777777" w:rsidR="00393026" w:rsidRPr="00F7194B" w:rsidRDefault="00393026" w:rsidP="00DB6FEA">
            <w:pPr>
              <w:pStyle w:val="TableParagraph"/>
              <w:rPr>
                <w:b w:val="0"/>
              </w:rPr>
            </w:pPr>
            <w:r w:rsidRPr="00F7194B">
              <w:rPr>
                <w:b w:val="0"/>
              </w:rPr>
              <w:t>120 días hábiles a partir de la recepción de la respuesta</w:t>
            </w:r>
            <w:r w:rsidR="00CF732A">
              <w:rPr>
                <w:b w:val="0"/>
              </w:rPr>
              <w:t xml:space="preserve"> emitida por la entidad fiscalizable que corresponda</w:t>
            </w:r>
            <w:r w:rsidRPr="00F7194B">
              <w:rPr>
                <w:b w:val="0"/>
              </w:rPr>
              <w:t>.</w:t>
            </w:r>
          </w:p>
        </w:tc>
      </w:tr>
      <w:tr w:rsidR="00393026" w:rsidRPr="00F7194B" w14:paraId="1399FBB4" w14:textId="77777777" w:rsidTr="00DB6FEA">
        <w:trPr>
          <w:cnfStyle w:val="010000000000" w:firstRow="0" w:lastRow="1" w:firstColumn="0" w:lastColumn="0" w:oddVBand="0" w:evenVBand="0" w:oddHBand="0" w:evenHBand="0" w:firstRowFirstColumn="0" w:firstRowLastColumn="0" w:lastRowFirstColumn="0" w:lastRowLastColumn="0"/>
          <w:trHeight w:val="2276"/>
          <w:jc w:val="center"/>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right w:val="single" w:sz="4" w:space="0" w:color="auto"/>
            </w:tcBorders>
            <w:shd w:val="clear" w:color="auto" w:fill="F2F2F2" w:themeFill="background1" w:themeFillShade="F2"/>
            <w:vAlign w:val="center"/>
          </w:tcPr>
          <w:p w14:paraId="21E50479" w14:textId="77777777" w:rsidR="00393026" w:rsidRPr="00F7194B" w:rsidRDefault="00393026" w:rsidP="00DB6FEA">
            <w:pPr>
              <w:pStyle w:val="TableParagraph"/>
              <w:ind w:right="104"/>
              <w:jc w:val="right"/>
              <w:rPr>
                <w:lang w:eastAsia="es-ES" w:bidi="es-ES"/>
              </w:rPr>
            </w:pPr>
            <w:r w:rsidRPr="00F7194B">
              <w:rPr>
                <w:lang w:eastAsia="es-ES" w:bidi="es-ES"/>
              </w:rPr>
              <w:t>Consecuencia en</w:t>
            </w:r>
          </w:p>
          <w:p w14:paraId="69E96A8D" w14:textId="77777777" w:rsidR="00393026" w:rsidRPr="00F7194B" w:rsidRDefault="00393026" w:rsidP="00DB6FEA">
            <w:pPr>
              <w:pStyle w:val="TableParagraph"/>
              <w:ind w:right="104"/>
              <w:jc w:val="right"/>
              <w:rPr>
                <w:lang w:eastAsia="es-ES" w:bidi="es-ES"/>
              </w:rPr>
            </w:pPr>
            <w:r w:rsidRPr="00F7194B">
              <w:rPr>
                <w:lang w:eastAsia="es-ES" w:bidi="es-ES"/>
              </w:rPr>
              <w:t>caso de No Concluirse con la Acción</w:t>
            </w:r>
          </w:p>
        </w:tc>
        <w:tc>
          <w:tcPr>
            <w:cnfStyle w:val="000100000000" w:firstRow="0" w:lastRow="0" w:firstColumn="0" w:lastColumn="1" w:oddVBand="0" w:evenVBand="0" w:oddHBand="0" w:evenHBand="0" w:firstRowFirstColumn="0" w:firstRowLastColumn="0" w:lastRowFirstColumn="0" w:lastRowLastColumn="0"/>
            <w:tcW w:w="6994" w:type="dxa"/>
            <w:tcBorders>
              <w:top w:val="none" w:sz="0" w:space="0" w:color="auto"/>
              <w:left w:val="single" w:sz="4" w:space="0" w:color="auto"/>
            </w:tcBorders>
            <w:shd w:val="clear" w:color="auto" w:fill="F2F2F2" w:themeFill="background1" w:themeFillShade="F2"/>
          </w:tcPr>
          <w:p w14:paraId="3AA97FD6" w14:textId="77777777" w:rsidR="00393026" w:rsidRPr="00F7194B" w:rsidRDefault="00393026" w:rsidP="00DB6FEA">
            <w:pPr>
              <w:pStyle w:val="TableParagraph"/>
              <w:ind w:right="108"/>
              <w:jc w:val="both"/>
              <w:rPr>
                <w:b w:val="0"/>
              </w:rPr>
            </w:pPr>
            <w:r w:rsidRPr="00F7194B">
              <w:rPr>
                <w:b w:val="0"/>
              </w:rPr>
              <w:t>Se inicia una investigación por la presunta responsabilidad de falta administrativa. Se determina la existencia de faltas administrativas y se califican en graves o no graves. En caso de tratarse de faltas no graves, la ASEQROO dará vista a la Contraloría o al Órgano Interno de Control correspondiente; en caso de tratarse de faltas administrativas graves, procederá a for</w:t>
            </w:r>
            <w:r w:rsidR="00CF732A">
              <w:rPr>
                <w:b w:val="0"/>
              </w:rPr>
              <w:t>mular el Informe de P</w:t>
            </w:r>
            <w:r w:rsidRPr="00F7194B">
              <w:rPr>
                <w:b w:val="0"/>
              </w:rPr>
              <w:t>resunta Responsabilidad Administrativa y lo remitirá a la Autoridad Substanciadora para dar inicio al Procedimiento de Responsabilidad Administrativa.</w:t>
            </w:r>
          </w:p>
        </w:tc>
      </w:tr>
    </w:tbl>
    <w:p w14:paraId="1559DC65" w14:textId="77777777" w:rsidR="00393026" w:rsidRDefault="00393026" w:rsidP="00393026"/>
    <w:p w14:paraId="3368C46B" w14:textId="77777777" w:rsidR="00393026" w:rsidRDefault="00393026" w:rsidP="00393026"/>
    <w:p w14:paraId="5543F96A" w14:textId="77777777" w:rsidR="004A600D" w:rsidRDefault="004A600D" w:rsidP="00393026"/>
    <w:p w14:paraId="2BC4285B" w14:textId="77777777" w:rsidR="004A600D" w:rsidRDefault="004A600D" w:rsidP="00393026"/>
    <w:p w14:paraId="1F4D0486" w14:textId="77777777" w:rsidR="004A600D" w:rsidRDefault="004A600D" w:rsidP="00393026"/>
    <w:p w14:paraId="68B35DDF" w14:textId="77777777" w:rsidR="00A63C51" w:rsidRPr="00F7194B" w:rsidRDefault="00A63C51" w:rsidP="00A63C51">
      <w:pPr>
        <w:spacing w:before="240"/>
        <w:jc w:val="center"/>
        <w:rPr>
          <w:rFonts w:ascii="Arial" w:hAnsi="Arial" w:cs="Arial"/>
          <w:b/>
          <w:i/>
        </w:rPr>
      </w:pPr>
      <w:r w:rsidRPr="00F7194B">
        <w:rPr>
          <w:rFonts w:ascii="Arial" w:hAnsi="Arial" w:cs="Arial"/>
          <w:b/>
          <w:i/>
        </w:rPr>
        <w:lastRenderedPageBreak/>
        <w:t>Recomendación (preventivo)</w:t>
      </w:r>
    </w:p>
    <w:p w14:paraId="44252202" w14:textId="77777777" w:rsidR="00A63C51" w:rsidRPr="00F7194B" w:rsidRDefault="00A63C51" w:rsidP="00A63C51">
      <w:pPr>
        <w:pStyle w:val="Textoindependiente"/>
        <w:spacing w:before="5"/>
        <w:rPr>
          <w:b/>
          <w:sz w:val="12"/>
        </w:rPr>
      </w:pPr>
    </w:p>
    <w:tbl>
      <w:tblPr>
        <w:tblStyle w:val="Tabladecuadrcula4-nfasis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tblCellMar>
        <w:tblLook w:val="01E0" w:firstRow="1" w:lastRow="1" w:firstColumn="1" w:lastColumn="1" w:noHBand="0" w:noVBand="0"/>
      </w:tblPr>
      <w:tblGrid>
        <w:gridCol w:w="2552"/>
        <w:gridCol w:w="6872"/>
      </w:tblGrid>
      <w:tr w:rsidR="00A63C51" w:rsidRPr="00F7194B" w14:paraId="29C9A3A1" w14:textId="77777777" w:rsidTr="00DB6FEA">
        <w:trPr>
          <w:cnfStyle w:val="100000000000" w:firstRow="1" w:lastRow="0" w:firstColumn="0" w:lastColumn="0" w:oddVBand="0" w:evenVBand="0" w:oddHBand="0"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9424" w:type="dxa"/>
            <w:gridSpan w:val="2"/>
            <w:tcBorders>
              <w:top w:val="none" w:sz="0" w:space="0" w:color="auto"/>
              <w:left w:val="none" w:sz="0" w:space="0" w:color="auto"/>
              <w:bottom w:val="single" w:sz="4" w:space="0" w:color="auto"/>
              <w:right w:val="none" w:sz="0" w:space="0" w:color="auto"/>
            </w:tcBorders>
            <w:shd w:val="clear" w:color="auto" w:fill="F2F2F2"/>
          </w:tcPr>
          <w:p w14:paraId="5F967314" w14:textId="77777777" w:rsidR="00A63C51" w:rsidRPr="00F7194B" w:rsidRDefault="00A63C51" w:rsidP="00DB6FEA">
            <w:pPr>
              <w:pStyle w:val="TableParagraph"/>
              <w:spacing w:before="121"/>
              <w:rPr>
                <w:b w:val="0"/>
                <w:color w:val="auto"/>
              </w:rPr>
            </w:pPr>
            <w:r w:rsidRPr="00F7194B">
              <w:rPr>
                <w:b w:val="0"/>
                <w:color w:val="auto"/>
              </w:rPr>
              <w:t>Sugerencia para fortalecer los procesos administrativos y los sistemas de control.</w:t>
            </w:r>
          </w:p>
        </w:tc>
      </w:tr>
      <w:tr w:rsidR="00A63C51" w:rsidRPr="00F7194B" w14:paraId="01762DA9" w14:textId="77777777" w:rsidTr="004A600D">
        <w:trPr>
          <w:cnfStyle w:val="000000100000" w:firstRow="0" w:lastRow="0" w:firstColumn="0" w:lastColumn="0" w:oddVBand="0" w:evenVBand="0" w:oddHBand="1" w:evenHBand="0" w:firstRowFirstColumn="0" w:firstRowLastColumn="0" w:lastRowFirstColumn="0" w:lastRowLastColumn="0"/>
          <w:trHeight w:val="1049"/>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right w:val="single" w:sz="4" w:space="0" w:color="auto"/>
            </w:tcBorders>
            <w:shd w:val="clear" w:color="auto" w:fill="F2F2F2"/>
            <w:vAlign w:val="center"/>
          </w:tcPr>
          <w:p w14:paraId="37971767" w14:textId="77777777" w:rsidR="00A63C51" w:rsidRPr="00F7194B" w:rsidRDefault="00A63C51" w:rsidP="00DB6FEA">
            <w:pPr>
              <w:pStyle w:val="TableParagraph"/>
              <w:ind w:right="104"/>
              <w:jc w:val="right"/>
              <w:rPr>
                <w:lang w:eastAsia="es-ES" w:bidi="es-ES"/>
              </w:rPr>
            </w:pPr>
            <w:r w:rsidRPr="00F7194B">
              <w:rPr>
                <w:lang w:eastAsia="es-ES" w:bidi="es-ES"/>
              </w:rPr>
              <w:t>Criterios para Concluir con la Acción</w:t>
            </w:r>
          </w:p>
        </w:tc>
        <w:tc>
          <w:tcPr>
            <w:cnfStyle w:val="000100000000" w:firstRow="0" w:lastRow="0" w:firstColumn="0" w:lastColumn="1" w:oddVBand="0" w:evenVBand="0" w:oddHBand="0" w:evenHBand="0" w:firstRowFirstColumn="0" w:firstRowLastColumn="0" w:lastRowFirstColumn="0" w:lastRowLastColumn="0"/>
            <w:tcW w:w="6872" w:type="dxa"/>
            <w:tcBorders>
              <w:top w:val="single" w:sz="4" w:space="0" w:color="auto"/>
              <w:left w:val="single" w:sz="4" w:space="0" w:color="auto"/>
            </w:tcBorders>
            <w:shd w:val="clear" w:color="auto" w:fill="F2F2F2"/>
            <w:vAlign w:val="center"/>
          </w:tcPr>
          <w:p w14:paraId="3A69A1EF" w14:textId="77777777" w:rsidR="00A63C51" w:rsidRPr="00F7194B" w:rsidRDefault="00A63C51" w:rsidP="00DB6FEA">
            <w:pPr>
              <w:pStyle w:val="TableParagraph"/>
              <w:spacing w:before="1"/>
              <w:rPr>
                <w:b w:val="0"/>
              </w:rPr>
            </w:pPr>
            <w:r w:rsidRPr="00F7194B">
              <w:rPr>
                <w:b w:val="0"/>
              </w:rPr>
              <w:t>Respuesta de la entidad fiscalizada.</w:t>
            </w:r>
          </w:p>
        </w:tc>
      </w:tr>
      <w:tr w:rsidR="00A63C51" w:rsidRPr="00F7194B" w14:paraId="5D6FEDA4" w14:textId="77777777" w:rsidTr="004A600D">
        <w:trPr>
          <w:trHeight w:val="988"/>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shd w:val="clear" w:color="auto" w:fill="F2F2F2"/>
            <w:vAlign w:val="center"/>
          </w:tcPr>
          <w:p w14:paraId="2DC26C16" w14:textId="77777777" w:rsidR="00A63C51" w:rsidRPr="00F7194B" w:rsidRDefault="00A63C51" w:rsidP="00DB6FEA">
            <w:pPr>
              <w:pStyle w:val="TableParagraph"/>
              <w:ind w:right="104"/>
              <w:jc w:val="right"/>
              <w:rPr>
                <w:lang w:eastAsia="es-ES" w:bidi="es-ES"/>
              </w:rPr>
            </w:pPr>
            <w:r w:rsidRPr="00F7194B">
              <w:rPr>
                <w:lang w:eastAsia="es-ES" w:bidi="es-ES"/>
              </w:rPr>
              <w:t>Plazo de Notificación por parte de la ASEQROO</w:t>
            </w:r>
          </w:p>
        </w:tc>
        <w:tc>
          <w:tcPr>
            <w:cnfStyle w:val="000100000000" w:firstRow="0" w:lastRow="0" w:firstColumn="0" w:lastColumn="1" w:oddVBand="0" w:evenVBand="0" w:oddHBand="0" w:evenHBand="0" w:firstRowFirstColumn="0" w:firstRowLastColumn="0" w:lastRowFirstColumn="0" w:lastRowLastColumn="0"/>
            <w:tcW w:w="6872" w:type="dxa"/>
            <w:tcBorders>
              <w:left w:val="single" w:sz="4" w:space="0" w:color="auto"/>
            </w:tcBorders>
            <w:shd w:val="clear" w:color="auto" w:fill="F2F2F2"/>
            <w:vAlign w:val="center"/>
          </w:tcPr>
          <w:p w14:paraId="16B94A9C" w14:textId="77777777" w:rsidR="00A63C51" w:rsidRPr="00F7194B" w:rsidRDefault="00A63C51" w:rsidP="00CF732A">
            <w:pPr>
              <w:pStyle w:val="TableParagraph"/>
              <w:jc w:val="both"/>
              <w:rPr>
                <w:b w:val="0"/>
              </w:rPr>
            </w:pPr>
            <w:r w:rsidRPr="00F7194B">
              <w:rPr>
                <w:b w:val="0"/>
              </w:rPr>
              <w:t xml:space="preserve">10 días hábiles a partir de la entrega del Informe Individual correspondiente </w:t>
            </w:r>
            <w:r w:rsidR="00924E01">
              <w:rPr>
                <w:b w:val="0"/>
              </w:rPr>
              <w:t>a la Legislatura</w:t>
            </w:r>
            <w:r w:rsidRPr="00F7194B">
              <w:rPr>
                <w:b w:val="0"/>
              </w:rPr>
              <w:t xml:space="preserve"> del Estado.</w:t>
            </w:r>
          </w:p>
        </w:tc>
      </w:tr>
      <w:tr w:rsidR="00A63C51" w:rsidRPr="00F7194B" w14:paraId="14A89B44" w14:textId="77777777" w:rsidTr="004A600D">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shd w:val="clear" w:color="auto" w:fill="F2F2F2"/>
            <w:vAlign w:val="center"/>
          </w:tcPr>
          <w:p w14:paraId="29FCA028" w14:textId="77777777" w:rsidR="00A63C51" w:rsidRPr="00F7194B" w:rsidRDefault="00A63C51" w:rsidP="00DB6FEA">
            <w:pPr>
              <w:pStyle w:val="TableParagraph"/>
              <w:ind w:right="104"/>
              <w:jc w:val="right"/>
              <w:rPr>
                <w:lang w:eastAsia="es-ES" w:bidi="es-ES"/>
              </w:rPr>
            </w:pPr>
            <w:r w:rsidRPr="00F7194B">
              <w:rPr>
                <w:lang w:eastAsia="es-ES" w:bidi="es-ES"/>
              </w:rPr>
              <w:t>Plazo de Respuesta del Ente Auditado</w:t>
            </w:r>
          </w:p>
        </w:tc>
        <w:tc>
          <w:tcPr>
            <w:cnfStyle w:val="000100000000" w:firstRow="0" w:lastRow="0" w:firstColumn="0" w:lastColumn="1" w:oddVBand="0" w:evenVBand="0" w:oddHBand="0" w:evenHBand="0" w:firstRowFirstColumn="0" w:firstRowLastColumn="0" w:lastRowFirstColumn="0" w:lastRowLastColumn="0"/>
            <w:tcW w:w="6872" w:type="dxa"/>
            <w:tcBorders>
              <w:left w:val="single" w:sz="4" w:space="0" w:color="auto"/>
            </w:tcBorders>
            <w:shd w:val="clear" w:color="auto" w:fill="F2F2F2"/>
            <w:vAlign w:val="center"/>
          </w:tcPr>
          <w:p w14:paraId="5B98EC28" w14:textId="77777777" w:rsidR="00A63C51" w:rsidRPr="00F7194B" w:rsidRDefault="00A63C51" w:rsidP="00CF732A">
            <w:pPr>
              <w:pStyle w:val="TableParagraph"/>
              <w:jc w:val="both"/>
              <w:rPr>
                <w:b w:val="0"/>
              </w:rPr>
            </w:pPr>
            <w:r w:rsidRPr="00F7194B">
              <w:rPr>
                <w:b w:val="0"/>
              </w:rPr>
              <w:t xml:space="preserve">30 días hábiles, a partir de la recepción </w:t>
            </w:r>
            <w:r w:rsidR="00924E01">
              <w:rPr>
                <w:b w:val="0"/>
              </w:rPr>
              <w:t>del Informe Individual de Auditoría</w:t>
            </w:r>
            <w:r w:rsidR="00924E01" w:rsidRPr="00F7194B">
              <w:rPr>
                <w:b w:val="0"/>
              </w:rPr>
              <w:t>.</w:t>
            </w:r>
          </w:p>
        </w:tc>
      </w:tr>
      <w:tr w:rsidR="00A63C51" w:rsidRPr="00F7194B" w14:paraId="5F1C2C1C" w14:textId="77777777" w:rsidTr="00DB6FEA">
        <w:trPr>
          <w:trHeight w:val="848"/>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shd w:val="clear" w:color="auto" w:fill="F2F2F2"/>
            <w:vAlign w:val="center"/>
          </w:tcPr>
          <w:p w14:paraId="2359464A" w14:textId="77777777" w:rsidR="00A63C51" w:rsidRPr="00F7194B" w:rsidRDefault="00A63C51" w:rsidP="00DB6FEA">
            <w:pPr>
              <w:pStyle w:val="TableParagraph"/>
              <w:ind w:right="104"/>
              <w:jc w:val="right"/>
              <w:rPr>
                <w:lang w:eastAsia="es-ES" w:bidi="es-ES"/>
              </w:rPr>
            </w:pPr>
            <w:r w:rsidRPr="00F7194B">
              <w:rPr>
                <w:lang w:eastAsia="es-ES" w:bidi="es-ES"/>
              </w:rPr>
              <w:t>Plazo para que la ASEQROO se Pronuncie</w:t>
            </w:r>
          </w:p>
        </w:tc>
        <w:tc>
          <w:tcPr>
            <w:cnfStyle w:val="000100000000" w:firstRow="0" w:lastRow="0" w:firstColumn="0" w:lastColumn="1" w:oddVBand="0" w:evenVBand="0" w:oddHBand="0" w:evenHBand="0" w:firstRowFirstColumn="0" w:firstRowLastColumn="0" w:lastRowFirstColumn="0" w:lastRowLastColumn="0"/>
            <w:tcW w:w="6872" w:type="dxa"/>
            <w:tcBorders>
              <w:left w:val="single" w:sz="4" w:space="0" w:color="auto"/>
            </w:tcBorders>
            <w:shd w:val="clear" w:color="auto" w:fill="F2F2F2"/>
            <w:vAlign w:val="center"/>
          </w:tcPr>
          <w:p w14:paraId="32EA3C68" w14:textId="77777777" w:rsidR="00A63C51" w:rsidRPr="00F7194B" w:rsidRDefault="00A63C51" w:rsidP="00CF732A">
            <w:pPr>
              <w:pStyle w:val="TableParagraph"/>
              <w:jc w:val="both"/>
              <w:rPr>
                <w:b w:val="0"/>
              </w:rPr>
            </w:pPr>
            <w:r w:rsidRPr="00F7194B">
              <w:rPr>
                <w:b w:val="0"/>
              </w:rPr>
              <w:t>120 días hábiles a partir de la recepción de la respuesta</w:t>
            </w:r>
            <w:r w:rsidR="00CF732A">
              <w:rPr>
                <w:b w:val="0"/>
              </w:rPr>
              <w:t xml:space="preserve"> emitida por la entidad fiscalizable que corresponda</w:t>
            </w:r>
            <w:r w:rsidR="00CF732A" w:rsidRPr="00F7194B">
              <w:rPr>
                <w:b w:val="0"/>
              </w:rPr>
              <w:t>.</w:t>
            </w:r>
            <w:r w:rsidRPr="00F7194B">
              <w:rPr>
                <w:b w:val="0"/>
              </w:rPr>
              <w:t>.</w:t>
            </w:r>
          </w:p>
        </w:tc>
      </w:tr>
      <w:tr w:rsidR="00A63C51" w:rsidRPr="00F7194B" w14:paraId="2DA6C3BC" w14:textId="77777777" w:rsidTr="00DB6FEA">
        <w:trPr>
          <w:cnfStyle w:val="010000000000" w:firstRow="0" w:lastRow="1"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right w:val="single" w:sz="4" w:space="0" w:color="auto"/>
            </w:tcBorders>
            <w:shd w:val="clear" w:color="auto" w:fill="F2F2F2" w:themeFill="background1" w:themeFillShade="F2"/>
            <w:vAlign w:val="center"/>
          </w:tcPr>
          <w:p w14:paraId="56D50F34" w14:textId="77777777" w:rsidR="00A63C51" w:rsidRPr="00F7194B" w:rsidRDefault="00A63C51" w:rsidP="00DB6FEA">
            <w:pPr>
              <w:pStyle w:val="TableParagraph"/>
              <w:ind w:right="104"/>
              <w:jc w:val="right"/>
              <w:rPr>
                <w:lang w:eastAsia="es-ES" w:bidi="es-ES"/>
              </w:rPr>
            </w:pPr>
            <w:r w:rsidRPr="00F7194B">
              <w:rPr>
                <w:lang w:eastAsia="es-ES" w:bidi="es-ES"/>
              </w:rPr>
              <w:t>Consecuencia en caso de No Concluirse con la Acción</w:t>
            </w:r>
          </w:p>
        </w:tc>
        <w:tc>
          <w:tcPr>
            <w:cnfStyle w:val="000100000000" w:firstRow="0" w:lastRow="0" w:firstColumn="0" w:lastColumn="1" w:oddVBand="0" w:evenVBand="0" w:oddHBand="0" w:evenHBand="0" w:firstRowFirstColumn="0" w:firstRowLastColumn="0" w:lastRowFirstColumn="0" w:lastRowLastColumn="0"/>
            <w:tcW w:w="6872" w:type="dxa"/>
            <w:tcBorders>
              <w:top w:val="none" w:sz="0" w:space="0" w:color="auto"/>
              <w:left w:val="single" w:sz="4" w:space="0" w:color="auto"/>
            </w:tcBorders>
            <w:shd w:val="clear" w:color="auto" w:fill="F2F2F2" w:themeFill="background1" w:themeFillShade="F2"/>
            <w:vAlign w:val="center"/>
          </w:tcPr>
          <w:p w14:paraId="46B52059" w14:textId="77777777" w:rsidR="00A63C51" w:rsidRPr="00F7194B" w:rsidRDefault="00A63C51" w:rsidP="00CF732A">
            <w:pPr>
              <w:pStyle w:val="TableParagraph"/>
              <w:spacing w:before="121"/>
              <w:jc w:val="both"/>
              <w:rPr>
                <w:b w:val="0"/>
              </w:rPr>
            </w:pPr>
            <w:r w:rsidRPr="00F7194B">
              <w:rPr>
                <w:b w:val="0"/>
              </w:rPr>
              <w:t>La ASEQROO enviará al Congreso del Estado un reporte final detallando la información, documentación o consideraciones aportadas por las entidades fiscalizadas.</w:t>
            </w:r>
          </w:p>
        </w:tc>
      </w:tr>
    </w:tbl>
    <w:p w14:paraId="71AFCF1F" w14:textId="77777777" w:rsidR="00A63C51" w:rsidRPr="00F7194B" w:rsidRDefault="00A63C51" w:rsidP="00A63C51">
      <w:pPr>
        <w:pStyle w:val="Textoindependiente"/>
        <w:rPr>
          <w:b/>
          <w:sz w:val="20"/>
        </w:rPr>
      </w:pPr>
    </w:p>
    <w:p w14:paraId="00A9D193" w14:textId="77777777" w:rsidR="00A63C51" w:rsidRPr="00F7194B" w:rsidRDefault="00A63C51" w:rsidP="00A63C51">
      <w:pPr>
        <w:pStyle w:val="Textoindependiente"/>
        <w:rPr>
          <w:sz w:val="16"/>
          <w:szCs w:val="18"/>
        </w:rPr>
      </w:pPr>
      <w:r w:rsidRPr="00F7194B">
        <w:rPr>
          <w:noProof/>
          <w:lang w:val="es-MX" w:eastAsia="es-MX"/>
        </w:rPr>
        <mc:AlternateContent>
          <mc:Choice Requires="wps">
            <w:drawing>
              <wp:anchor distT="0" distB="0" distL="0" distR="0" simplePos="0" relativeHeight="251664384" behindDoc="1" locked="0" layoutInCell="1" allowOverlap="1" wp14:anchorId="6B1FDE21" wp14:editId="40997CB1">
                <wp:simplePos x="0" y="0"/>
                <wp:positionH relativeFrom="page">
                  <wp:posOffset>1082675</wp:posOffset>
                </wp:positionH>
                <wp:positionV relativeFrom="paragraph">
                  <wp:posOffset>205105</wp:posOffset>
                </wp:positionV>
                <wp:extent cx="1829435" cy="0"/>
                <wp:effectExtent l="0" t="0" r="0" b="0"/>
                <wp:wrapTopAndBottom/>
                <wp:docPr id="916"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A51F7C" id="Line 555"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25pt,16.15pt" to="229.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tfIA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" strokeweight=".8pt">
                <w10:wrap type="topAndBottom" anchorx="page"/>
              </v:line>
            </w:pict>
          </mc:Fallback>
        </mc:AlternateContent>
      </w:r>
      <w:r w:rsidRPr="00F7194B">
        <w:rPr>
          <w:position w:val="5"/>
          <w:sz w:val="16"/>
          <w:szCs w:val="18"/>
        </w:rPr>
        <w:t xml:space="preserve">1 </w:t>
      </w:r>
      <w:r w:rsidRPr="00F7194B">
        <w:rPr>
          <w:sz w:val="16"/>
          <w:szCs w:val="18"/>
        </w:rPr>
        <w:t xml:space="preserve">La ASEQROO puede imponer multas a quienes no atiendan sus requerimientos de información. </w:t>
      </w:r>
    </w:p>
    <w:p w14:paraId="0DD9AAE1" w14:textId="77777777" w:rsidR="00A63C51" w:rsidRDefault="00A63C51" w:rsidP="002D4596"/>
    <w:p w14:paraId="727D2F3C" w14:textId="77777777" w:rsidR="00F53B93" w:rsidRPr="00F7194B" w:rsidRDefault="00F53B93" w:rsidP="00F53B93">
      <w:pPr>
        <w:jc w:val="center"/>
        <w:rPr>
          <w:rFonts w:ascii="Arial" w:hAnsi="Arial" w:cs="Arial"/>
          <w:b/>
          <w:sz w:val="24"/>
        </w:rPr>
      </w:pPr>
      <w:r w:rsidRPr="00F7194B">
        <w:rPr>
          <w:rFonts w:ascii="Arial" w:hAnsi="Arial" w:cs="Arial"/>
          <w:b/>
          <w:sz w:val="24"/>
        </w:rPr>
        <w:t>Solicitud de</w:t>
      </w:r>
      <w:r w:rsidRPr="00F7194B">
        <w:rPr>
          <w:rFonts w:ascii="Arial" w:hAnsi="Arial" w:cs="Arial"/>
          <w:b/>
          <w:spacing w:val="-11"/>
          <w:sz w:val="24"/>
        </w:rPr>
        <w:t xml:space="preserve"> </w:t>
      </w:r>
      <w:r w:rsidRPr="00F7194B">
        <w:rPr>
          <w:rFonts w:ascii="Arial" w:hAnsi="Arial" w:cs="Arial"/>
          <w:b/>
          <w:sz w:val="24"/>
        </w:rPr>
        <w:t>Aclaración (Preventivo)</w:t>
      </w:r>
    </w:p>
    <w:p w14:paraId="478A10A9" w14:textId="77777777" w:rsidR="00F53B93" w:rsidRPr="00F7194B" w:rsidRDefault="00F53B93" w:rsidP="00F53B93">
      <w:pPr>
        <w:pStyle w:val="Textoindependiente"/>
        <w:rPr>
          <w:b/>
          <w:sz w:val="12"/>
        </w:rPr>
      </w:pPr>
    </w:p>
    <w:tbl>
      <w:tblPr>
        <w:tblStyle w:val="Tabladecuadrcula4-nfasis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left w:w="57" w:type="dxa"/>
        </w:tblCellMar>
        <w:tblLook w:val="01E0" w:firstRow="1" w:lastRow="1" w:firstColumn="1" w:lastColumn="1" w:noHBand="0" w:noVBand="0"/>
      </w:tblPr>
      <w:tblGrid>
        <w:gridCol w:w="2552"/>
        <w:gridCol w:w="6872"/>
      </w:tblGrid>
      <w:tr w:rsidR="00F53B93" w:rsidRPr="00F7194B" w14:paraId="2E90592C" w14:textId="77777777" w:rsidTr="00DB6FEA">
        <w:trPr>
          <w:cnfStyle w:val="100000000000" w:firstRow="1" w:lastRow="0" w:firstColumn="0" w:lastColumn="0" w:oddVBand="0" w:evenVBand="0" w:oddHBand="0"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9424" w:type="dxa"/>
            <w:gridSpan w:val="2"/>
            <w:tcBorders>
              <w:top w:val="none" w:sz="0" w:space="0" w:color="auto"/>
              <w:left w:val="none" w:sz="0" w:space="0" w:color="auto"/>
              <w:bottom w:val="single" w:sz="4" w:space="0" w:color="auto"/>
              <w:right w:val="none" w:sz="0" w:space="0" w:color="auto"/>
            </w:tcBorders>
            <w:shd w:val="clear" w:color="auto" w:fill="F2F2F2" w:themeFill="background1" w:themeFillShade="F2"/>
          </w:tcPr>
          <w:p w14:paraId="16AE0F5E" w14:textId="77777777" w:rsidR="00F53B93" w:rsidRPr="00F7194B" w:rsidRDefault="00F53B93" w:rsidP="00DB6FEA">
            <w:pPr>
              <w:pStyle w:val="TableParagraph"/>
              <w:spacing w:before="89"/>
              <w:rPr>
                <w:b w:val="0"/>
                <w:color w:val="auto"/>
              </w:rPr>
            </w:pPr>
            <w:r w:rsidRPr="00F7194B">
              <w:rPr>
                <w:b w:val="0"/>
                <w:color w:val="auto"/>
              </w:rPr>
              <w:t>La ASEQROO requerirá a las entidades fiscalizadas que presenten información adicional para atender las observaciones que se hayan realizado.</w:t>
            </w:r>
          </w:p>
        </w:tc>
      </w:tr>
      <w:tr w:rsidR="00F53B93" w:rsidRPr="00F7194B" w14:paraId="6DE074A6" w14:textId="77777777" w:rsidTr="00DB6FEA">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right w:val="single" w:sz="4" w:space="0" w:color="auto"/>
            </w:tcBorders>
            <w:shd w:val="clear" w:color="auto" w:fill="F2F2F2" w:themeFill="background1" w:themeFillShade="F2"/>
            <w:vAlign w:val="center"/>
          </w:tcPr>
          <w:p w14:paraId="72B9C685" w14:textId="77777777" w:rsidR="00F53B93" w:rsidRPr="00F7194B" w:rsidRDefault="00F53B93" w:rsidP="00DB6FEA">
            <w:pPr>
              <w:pStyle w:val="TableParagraph"/>
              <w:ind w:right="104"/>
              <w:jc w:val="right"/>
              <w:rPr>
                <w:lang w:eastAsia="es-ES" w:bidi="es-ES"/>
              </w:rPr>
            </w:pPr>
            <w:r w:rsidRPr="00F7194B">
              <w:rPr>
                <w:lang w:eastAsia="es-ES" w:bidi="es-ES"/>
              </w:rPr>
              <w:t>Criterios para Concluir con la Acción:</w:t>
            </w:r>
          </w:p>
        </w:tc>
        <w:tc>
          <w:tcPr>
            <w:cnfStyle w:val="000100000000" w:firstRow="0" w:lastRow="0" w:firstColumn="0" w:lastColumn="1" w:oddVBand="0" w:evenVBand="0" w:oddHBand="0" w:evenHBand="0" w:firstRowFirstColumn="0" w:firstRowLastColumn="0" w:lastRowFirstColumn="0" w:lastRowLastColumn="0"/>
            <w:tcW w:w="6872" w:type="dxa"/>
            <w:tcBorders>
              <w:top w:val="single" w:sz="4" w:space="0" w:color="auto"/>
              <w:left w:val="single" w:sz="4" w:space="0" w:color="auto"/>
            </w:tcBorders>
            <w:shd w:val="clear" w:color="auto" w:fill="F2F2F2" w:themeFill="background1" w:themeFillShade="F2"/>
          </w:tcPr>
          <w:p w14:paraId="5C01DED7" w14:textId="77777777" w:rsidR="00F53B93" w:rsidRPr="00F7194B" w:rsidRDefault="00F53B93" w:rsidP="00DB6FEA">
            <w:pPr>
              <w:pStyle w:val="TableParagraph"/>
              <w:spacing w:before="5"/>
              <w:rPr>
                <w:b w:val="0"/>
                <w:sz w:val="21"/>
              </w:rPr>
            </w:pPr>
          </w:p>
          <w:p w14:paraId="4ECEC821" w14:textId="77777777" w:rsidR="00F53B93" w:rsidRPr="00F7194B" w:rsidRDefault="00F53B93" w:rsidP="00DB6FEA">
            <w:pPr>
              <w:pStyle w:val="TableParagraph"/>
              <w:rPr>
                <w:b w:val="0"/>
              </w:rPr>
            </w:pPr>
            <w:r w:rsidRPr="00F7194B">
              <w:rPr>
                <w:b w:val="0"/>
              </w:rPr>
              <w:t>Respuesta y documentación suficiente y competente.</w:t>
            </w:r>
          </w:p>
        </w:tc>
      </w:tr>
      <w:tr w:rsidR="00F53B93" w:rsidRPr="00F7194B" w14:paraId="19001072" w14:textId="77777777" w:rsidTr="00DB6FEA">
        <w:trPr>
          <w:trHeight w:val="907"/>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shd w:val="clear" w:color="auto" w:fill="F2F2F2" w:themeFill="background1" w:themeFillShade="F2"/>
            <w:vAlign w:val="center"/>
          </w:tcPr>
          <w:p w14:paraId="56E7FC44" w14:textId="77777777" w:rsidR="00F53B93" w:rsidRPr="00F7194B" w:rsidRDefault="00F53B93" w:rsidP="00DB6FEA">
            <w:pPr>
              <w:pStyle w:val="TableParagraph"/>
              <w:ind w:right="104"/>
              <w:jc w:val="right"/>
              <w:rPr>
                <w:lang w:eastAsia="es-ES" w:bidi="es-ES"/>
              </w:rPr>
            </w:pPr>
            <w:r w:rsidRPr="00F7194B">
              <w:rPr>
                <w:lang w:eastAsia="es-ES" w:bidi="es-ES"/>
              </w:rPr>
              <w:t>Plazo de Notificación por parte de la</w:t>
            </w:r>
          </w:p>
          <w:p w14:paraId="1CC58F34" w14:textId="77777777" w:rsidR="00F53B93" w:rsidRPr="00F7194B" w:rsidRDefault="00F53B93" w:rsidP="00DB6FEA">
            <w:pPr>
              <w:pStyle w:val="TableParagraph"/>
              <w:spacing w:line="234" w:lineRule="exact"/>
              <w:ind w:right="104"/>
              <w:jc w:val="right"/>
              <w:rPr>
                <w:lang w:eastAsia="es-ES" w:bidi="es-ES"/>
              </w:rPr>
            </w:pPr>
            <w:r w:rsidRPr="00F7194B">
              <w:rPr>
                <w:lang w:eastAsia="es-ES" w:bidi="es-ES"/>
              </w:rPr>
              <w:t>ASEQROO:</w:t>
            </w:r>
          </w:p>
        </w:tc>
        <w:tc>
          <w:tcPr>
            <w:cnfStyle w:val="000100000000" w:firstRow="0" w:lastRow="0" w:firstColumn="0" w:lastColumn="1" w:oddVBand="0" w:evenVBand="0" w:oddHBand="0" w:evenHBand="0" w:firstRowFirstColumn="0" w:firstRowLastColumn="0" w:lastRowFirstColumn="0" w:lastRowLastColumn="0"/>
            <w:tcW w:w="6872" w:type="dxa"/>
            <w:tcBorders>
              <w:left w:val="single" w:sz="4" w:space="0" w:color="auto"/>
            </w:tcBorders>
            <w:shd w:val="clear" w:color="auto" w:fill="F2F2F2" w:themeFill="background1" w:themeFillShade="F2"/>
          </w:tcPr>
          <w:p w14:paraId="621370D7" w14:textId="77777777" w:rsidR="00F53B93" w:rsidRPr="00F7194B" w:rsidRDefault="00F53B93" w:rsidP="00CF732A">
            <w:pPr>
              <w:pStyle w:val="TableParagraph"/>
              <w:spacing w:before="8"/>
              <w:jc w:val="both"/>
              <w:rPr>
                <w:b w:val="0"/>
                <w:sz w:val="21"/>
              </w:rPr>
            </w:pPr>
          </w:p>
          <w:p w14:paraId="1EDCD5BA" w14:textId="77777777" w:rsidR="00F53B93" w:rsidRPr="00F7194B" w:rsidRDefault="00F53B93" w:rsidP="00CF732A">
            <w:pPr>
              <w:pStyle w:val="TableParagraph"/>
              <w:jc w:val="both"/>
              <w:rPr>
                <w:b w:val="0"/>
              </w:rPr>
            </w:pPr>
            <w:r w:rsidRPr="00F7194B">
              <w:rPr>
                <w:b w:val="0"/>
              </w:rPr>
              <w:t xml:space="preserve">10 días hábiles a partir de la entrega del Informe Individual correspondiente </w:t>
            </w:r>
            <w:r w:rsidR="00924E01">
              <w:rPr>
                <w:b w:val="0"/>
              </w:rPr>
              <w:t>a la Legislatura</w:t>
            </w:r>
            <w:r w:rsidRPr="00F7194B">
              <w:rPr>
                <w:b w:val="0"/>
              </w:rPr>
              <w:t xml:space="preserve"> del Estado.</w:t>
            </w:r>
          </w:p>
        </w:tc>
      </w:tr>
      <w:tr w:rsidR="00F53B93" w:rsidRPr="00F7194B" w14:paraId="61B51CAE" w14:textId="77777777" w:rsidTr="00DB6FEA">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shd w:val="clear" w:color="auto" w:fill="F2F2F2" w:themeFill="background1" w:themeFillShade="F2"/>
            <w:vAlign w:val="center"/>
          </w:tcPr>
          <w:p w14:paraId="3283B105" w14:textId="77777777" w:rsidR="00F53B93" w:rsidRPr="00F7194B" w:rsidRDefault="00F53B93" w:rsidP="00DB6FEA">
            <w:pPr>
              <w:pStyle w:val="TableParagraph"/>
              <w:ind w:right="104"/>
              <w:jc w:val="right"/>
              <w:rPr>
                <w:lang w:eastAsia="es-ES" w:bidi="es-ES"/>
              </w:rPr>
            </w:pPr>
            <w:r w:rsidRPr="00F7194B">
              <w:rPr>
                <w:lang w:eastAsia="es-ES" w:bidi="es-ES"/>
              </w:rPr>
              <w:t>Plazo de Respuesta del Ente Auditado:</w:t>
            </w:r>
          </w:p>
        </w:tc>
        <w:tc>
          <w:tcPr>
            <w:cnfStyle w:val="000100000000" w:firstRow="0" w:lastRow="0" w:firstColumn="0" w:lastColumn="1" w:oddVBand="0" w:evenVBand="0" w:oddHBand="0" w:evenHBand="0" w:firstRowFirstColumn="0" w:firstRowLastColumn="0" w:lastRowFirstColumn="0" w:lastRowLastColumn="0"/>
            <w:tcW w:w="6872" w:type="dxa"/>
            <w:tcBorders>
              <w:left w:val="single" w:sz="4" w:space="0" w:color="auto"/>
            </w:tcBorders>
            <w:shd w:val="clear" w:color="auto" w:fill="F2F2F2" w:themeFill="background1" w:themeFillShade="F2"/>
          </w:tcPr>
          <w:p w14:paraId="012ACADC" w14:textId="77777777" w:rsidR="00F53B93" w:rsidRPr="00F7194B" w:rsidRDefault="00F53B93" w:rsidP="00CF732A">
            <w:pPr>
              <w:pStyle w:val="TableParagraph"/>
              <w:spacing w:before="149"/>
              <w:jc w:val="both"/>
              <w:rPr>
                <w:b w:val="0"/>
              </w:rPr>
            </w:pPr>
            <w:r w:rsidRPr="00F7194B">
              <w:rPr>
                <w:b w:val="0"/>
              </w:rPr>
              <w:t xml:space="preserve">30 días hábiles, a partir de la recepción </w:t>
            </w:r>
            <w:r w:rsidR="00924E01">
              <w:rPr>
                <w:b w:val="0"/>
              </w:rPr>
              <w:t>del Informe Individual de Auditoría</w:t>
            </w:r>
            <w:r w:rsidR="00924E01" w:rsidRPr="00F7194B">
              <w:rPr>
                <w:b w:val="0"/>
              </w:rPr>
              <w:t>.</w:t>
            </w:r>
          </w:p>
        </w:tc>
      </w:tr>
      <w:tr w:rsidR="00F53B93" w:rsidRPr="00F7194B" w14:paraId="4FCA5827" w14:textId="77777777" w:rsidTr="00DB6FEA">
        <w:trPr>
          <w:trHeight w:val="794"/>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auto"/>
            </w:tcBorders>
            <w:shd w:val="clear" w:color="auto" w:fill="F2F2F2" w:themeFill="background1" w:themeFillShade="F2"/>
            <w:vAlign w:val="center"/>
          </w:tcPr>
          <w:p w14:paraId="7C1A3958" w14:textId="77777777" w:rsidR="00F53B93" w:rsidRPr="00F7194B" w:rsidRDefault="00F53B93" w:rsidP="00DB6FEA">
            <w:pPr>
              <w:pStyle w:val="TableParagraph"/>
              <w:ind w:right="104"/>
              <w:jc w:val="right"/>
              <w:rPr>
                <w:lang w:eastAsia="es-ES" w:bidi="es-ES"/>
              </w:rPr>
            </w:pPr>
            <w:r w:rsidRPr="00F7194B">
              <w:rPr>
                <w:lang w:eastAsia="es-ES" w:bidi="es-ES"/>
              </w:rPr>
              <w:t>Plazo para que la ASEQROO se</w:t>
            </w:r>
          </w:p>
          <w:p w14:paraId="1516CD1F" w14:textId="77777777" w:rsidR="00F53B93" w:rsidRPr="00F7194B" w:rsidRDefault="00F53B93" w:rsidP="00DB6FEA">
            <w:pPr>
              <w:pStyle w:val="TableParagraph"/>
              <w:spacing w:line="236" w:lineRule="exact"/>
              <w:ind w:right="104"/>
              <w:jc w:val="right"/>
              <w:rPr>
                <w:lang w:eastAsia="es-ES" w:bidi="es-ES"/>
              </w:rPr>
            </w:pPr>
            <w:r w:rsidRPr="00F7194B">
              <w:rPr>
                <w:lang w:eastAsia="es-ES" w:bidi="es-ES"/>
              </w:rPr>
              <w:t>Pronuncie:</w:t>
            </w:r>
          </w:p>
        </w:tc>
        <w:tc>
          <w:tcPr>
            <w:cnfStyle w:val="000100000000" w:firstRow="0" w:lastRow="0" w:firstColumn="0" w:lastColumn="1" w:oddVBand="0" w:evenVBand="0" w:oddHBand="0" w:evenHBand="0" w:firstRowFirstColumn="0" w:firstRowLastColumn="0" w:lastRowFirstColumn="0" w:lastRowLastColumn="0"/>
            <w:tcW w:w="6872" w:type="dxa"/>
            <w:tcBorders>
              <w:left w:val="single" w:sz="4" w:space="0" w:color="auto"/>
            </w:tcBorders>
            <w:shd w:val="clear" w:color="auto" w:fill="F2F2F2" w:themeFill="background1" w:themeFillShade="F2"/>
          </w:tcPr>
          <w:p w14:paraId="26C7E452" w14:textId="77777777" w:rsidR="00F53B93" w:rsidRPr="00F7194B" w:rsidRDefault="00F53B93" w:rsidP="00CF732A">
            <w:pPr>
              <w:pStyle w:val="TableParagraph"/>
              <w:spacing w:before="8"/>
              <w:jc w:val="both"/>
              <w:rPr>
                <w:b w:val="0"/>
                <w:sz w:val="21"/>
              </w:rPr>
            </w:pPr>
          </w:p>
          <w:p w14:paraId="5D8EF142" w14:textId="77777777" w:rsidR="00F53B93" w:rsidRPr="00F7194B" w:rsidRDefault="00F53B93" w:rsidP="00CF732A">
            <w:pPr>
              <w:pStyle w:val="TableParagraph"/>
              <w:jc w:val="both"/>
              <w:rPr>
                <w:b w:val="0"/>
              </w:rPr>
            </w:pPr>
            <w:r w:rsidRPr="00F7194B">
              <w:rPr>
                <w:b w:val="0"/>
              </w:rPr>
              <w:t>120 días hábiles a partir de la recepción de la respuesta</w:t>
            </w:r>
            <w:r w:rsidR="00CF732A">
              <w:rPr>
                <w:b w:val="0"/>
              </w:rPr>
              <w:t xml:space="preserve"> emitida por la entidad fiscalizable que corresponda</w:t>
            </w:r>
            <w:r w:rsidRPr="00F7194B">
              <w:rPr>
                <w:b w:val="0"/>
              </w:rPr>
              <w:t>.</w:t>
            </w:r>
          </w:p>
        </w:tc>
      </w:tr>
      <w:tr w:rsidR="00F53B93" w:rsidRPr="00F7194B" w14:paraId="0CBD39D8" w14:textId="77777777" w:rsidTr="00DB6FEA">
        <w:trPr>
          <w:cnfStyle w:val="010000000000" w:firstRow="0" w:lastRow="1"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right w:val="single" w:sz="4" w:space="0" w:color="auto"/>
            </w:tcBorders>
            <w:shd w:val="clear" w:color="auto" w:fill="F2F2F2" w:themeFill="background1" w:themeFillShade="F2"/>
            <w:vAlign w:val="center"/>
          </w:tcPr>
          <w:p w14:paraId="20A4AE94" w14:textId="77777777" w:rsidR="00F53B93" w:rsidRPr="00F7194B" w:rsidRDefault="00F53B93" w:rsidP="00DB6FEA">
            <w:pPr>
              <w:pStyle w:val="TableParagraph"/>
              <w:ind w:right="104"/>
              <w:jc w:val="right"/>
              <w:rPr>
                <w:lang w:eastAsia="es-ES" w:bidi="es-ES"/>
              </w:rPr>
            </w:pPr>
            <w:r w:rsidRPr="00F7194B">
              <w:rPr>
                <w:lang w:eastAsia="es-ES" w:bidi="es-ES"/>
              </w:rPr>
              <w:t>Consecuencia en</w:t>
            </w:r>
          </w:p>
          <w:p w14:paraId="68CA3882" w14:textId="77777777" w:rsidR="00F53B93" w:rsidRPr="00F7194B" w:rsidRDefault="00F53B93" w:rsidP="00DB6FEA">
            <w:pPr>
              <w:pStyle w:val="TableParagraph"/>
              <w:ind w:right="104"/>
              <w:jc w:val="right"/>
              <w:rPr>
                <w:lang w:eastAsia="es-ES" w:bidi="es-ES"/>
              </w:rPr>
            </w:pPr>
            <w:r w:rsidRPr="00F7194B">
              <w:rPr>
                <w:lang w:eastAsia="es-ES" w:bidi="es-ES"/>
              </w:rPr>
              <w:t>caso de No Concluirse con la Acción:</w:t>
            </w:r>
          </w:p>
        </w:tc>
        <w:tc>
          <w:tcPr>
            <w:cnfStyle w:val="000100000000" w:firstRow="0" w:lastRow="0" w:firstColumn="0" w:lastColumn="1" w:oddVBand="0" w:evenVBand="0" w:oddHBand="0" w:evenHBand="0" w:firstRowFirstColumn="0" w:firstRowLastColumn="0" w:lastRowFirstColumn="0" w:lastRowLastColumn="0"/>
            <w:tcW w:w="6872" w:type="dxa"/>
            <w:tcBorders>
              <w:top w:val="none" w:sz="0" w:space="0" w:color="auto"/>
              <w:left w:val="single" w:sz="4" w:space="0" w:color="auto"/>
            </w:tcBorders>
            <w:shd w:val="clear" w:color="auto" w:fill="F2F2F2" w:themeFill="background1" w:themeFillShade="F2"/>
          </w:tcPr>
          <w:p w14:paraId="30E6BDC7" w14:textId="77777777" w:rsidR="00F53B93" w:rsidRPr="00F7194B" w:rsidRDefault="00F53B93" w:rsidP="00DB6FEA">
            <w:pPr>
              <w:pStyle w:val="TableParagraph"/>
              <w:spacing w:before="5"/>
              <w:rPr>
                <w:b w:val="0"/>
                <w:sz w:val="32"/>
              </w:rPr>
            </w:pPr>
          </w:p>
          <w:p w14:paraId="1F0B3A03" w14:textId="77777777" w:rsidR="00F53B93" w:rsidRPr="00F7194B" w:rsidRDefault="00924E01" w:rsidP="00DB6FEA">
            <w:pPr>
              <w:pStyle w:val="TableParagraph"/>
              <w:rPr>
                <w:b w:val="0"/>
              </w:rPr>
            </w:pPr>
            <w:r>
              <w:rPr>
                <w:b w:val="0"/>
              </w:rPr>
              <w:t>Acción Superviniente (en su caso)</w:t>
            </w:r>
            <w:r w:rsidR="00F53B93" w:rsidRPr="00F7194B">
              <w:rPr>
                <w:b w:val="0"/>
              </w:rPr>
              <w:t>.</w:t>
            </w:r>
          </w:p>
        </w:tc>
      </w:tr>
    </w:tbl>
    <w:p w14:paraId="5260C226" w14:textId="77777777" w:rsidR="00F53B93" w:rsidRPr="00F7194B" w:rsidRDefault="004A600D" w:rsidP="004A600D">
      <w:pPr>
        <w:pStyle w:val="Ttulo4"/>
        <w:spacing w:before="92"/>
        <w:jc w:val="both"/>
        <w:rPr>
          <w:rFonts w:ascii="Arial" w:hAnsi="Arial" w:cs="Arial"/>
          <w:b/>
          <w:color w:val="auto"/>
          <w:sz w:val="24"/>
          <w:szCs w:val="24"/>
        </w:rPr>
      </w:pPr>
      <w:r>
        <w:rPr>
          <w:rFonts w:ascii="Arial" w:hAnsi="Arial" w:cs="Arial"/>
          <w:b/>
          <w:color w:val="auto"/>
          <w:sz w:val="24"/>
          <w:szCs w:val="24"/>
        </w:rPr>
        <w:lastRenderedPageBreak/>
        <w:t xml:space="preserve">2. </w:t>
      </w:r>
      <w:r w:rsidR="00F53B93" w:rsidRPr="00F7194B">
        <w:rPr>
          <w:rFonts w:ascii="Arial" w:hAnsi="Arial" w:cs="Arial"/>
          <w:b/>
          <w:color w:val="auto"/>
          <w:sz w:val="24"/>
          <w:szCs w:val="24"/>
        </w:rPr>
        <w:t>Acciones que promueve la ASEQROO ante otras instancias</w:t>
      </w:r>
    </w:p>
    <w:p w14:paraId="65050BDC" w14:textId="77777777" w:rsidR="00F53B93" w:rsidRPr="00F7194B" w:rsidRDefault="00F53B93" w:rsidP="00F53B93">
      <w:pPr>
        <w:pStyle w:val="Textoindependiente"/>
        <w:spacing w:before="8"/>
        <w:rPr>
          <w:b/>
          <w:sz w:val="28"/>
        </w:rPr>
      </w:pPr>
    </w:p>
    <w:p w14:paraId="0DA4F1E2" w14:textId="77777777" w:rsidR="00F53B93" w:rsidRDefault="00F53B93" w:rsidP="002D4596"/>
    <w:p w14:paraId="0BE0215A" w14:textId="77777777" w:rsidR="00F53B93" w:rsidRPr="00F7194B" w:rsidRDefault="00F53B93" w:rsidP="00F53B93">
      <w:pPr>
        <w:spacing w:before="169"/>
        <w:jc w:val="center"/>
        <w:rPr>
          <w:rFonts w:ascii="Arial" w:hAnsi="Arial" w:cs="Arial"/>
          <w:b/>
          <w:sz w:val="24"/>
          <w:szCs w:val="24"/>
        </w:rPr>
      </w:pPr>
      <w:r w:rsidRPr="00F7194B">
        <w:rPr>
          <w:rFonts w:ascii="Arial" w:hAnsi="Arial" w:cs="Arial"/>
          <w:b/>
          <w:sz w:val="24"/>
          <w:szCs w:val="24"/>
        </w:rPr>
        <w:t>Promoción de Responsabilidad Administrativa</w:t>
      </w:r>
      <w:r w:rsidRPr="00F7194B">
        <w:rPr>
          <w:rFonts w:ascii="Arial" w:hAnsi="Arial" w:cs="Arial"/>
          <w:b/>
          <w:spacing w:val="-32"/>
          <w:sz w:val="24"/>
          <w:szCs w:val="24"/>
        </w:rPr>
        <w:t xml:space="preserve"> </w:t>
      </w:r>
      <w:r w:rsidRPr="00F7194B">
        <w:rPr>
          <w:rFonts w:ascii="Arial" w:hAnsi="Arial" w:cs="Arial"/>
          <w:b/>
          <w:sz w:val="24"/>
          <w:szCs w:val="24"/>
        </w:rPr>
        <w:t>Sancionatoria (Correctivo)</w:t>
      </w:r>
    </w:p>
    <w:p w14:paraId="306C40A7" w14:textId="77777777" w:rsidR="00F53B93" w:rsidRPr="00F7194B" w:rsidRDefault="00F53B93" w:rsidP="00F53B93">
      <w:pPr>
        <w:pStyle w:val="Textoindependiente"/>
        <w:spacing w:before="8"/>
        <w:rPr>
          <w:b/>
          <w:sz w:val="12"/>
        </w:rPr>
      </w:pPr>
    </w:p>
    <w:tbl>
      <w:tblPr>
        <w:tblStyle w:val="Tabladecuadrcula4-nfasis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left w:w="57" w:type="dxa"/>
        </w:tblCellMar>
        <w:tblLook w:val="01E0" w:firstRow="1" w:lastRow="1" w:firstColumn="1" w:lastColumn="1" w:noHBand="0" w:noVBand="0"/>
      </w:tblPr>
      <w:tblGrid>
        <w:gridCol w:w="2430"/>
        <w:gridCol w:w="6994"/>
      </w:tblGrid>
      <w:tr w:rsidR="00F53B93" w:rsidRPr="00F7194B" w14:paraId="47750BFE" w14:textId="77777777" w:rsidTr="00DB6FEA">
        <w:trPr>
          <w:cnfStyle w:val="100000000000" w:firstRow="1" w:lastRow="0" w:firstColumn="0" w:lastColumn="0" w:oddVBand="0" w:evenVBand="0" w:oddHBand="0" w:evenHBand="0" w:firstRowFirstColumn="0" w:firstRowLastColumn="0" w:lastRowFirstColumn="0" w:lastRowLastColumn="0"/>
          <w:trHeight w:val="1335"/>
          <w:jc w:val="center"/>
        </w:trPr>
        <w:tc>
          <w:tcPr>
            <w:cnfStyle w:val="001000000000" w:firstRow="0" w:lastRow="0" w:firstColumn="1" w:lastColumn="0" w:oddVBand="0" w:evenVBand="0" w:oddHBand="0" w:evenHBand="0" w:firstRowFirstColumn="0" w:firstRowLastColumn="0" w:lastRowFirstColumn="0" w:lastRowLastColumn="0"/>
            <w:tcW w:w="9424" w:type="dxa"/>
            <w:gridSpan w:val="2"/>
            <w:tcBorders>
              <w:top w:val="none" w:sz="0" w:space="0" w:color="auto"/>
              <w:left w:val="none" w:sz="0" w:space="0" w:color="auto"/>
              <w:bottom w:val="single" w:sz="4" w:space="0" w:color="auto"/>
              <w:right w:val="none" w:sz="0" w:space="0" w:color="auto"/>
            </w:tcBorders>
            <w:shd w:val="clear" w:color="auto" w:fill="F2F2F2" w:themeFill="background1" w:themeFillShade="F2"/>
          </w:tcPr>
          <w:p w14:paraId="43F92108" w14:textId="77777777" w:rsidR="00F53B93" w:rsidRPr="00F7194B" w:rsidRDefault="00F53B93" w:rsidP="00DB6FEA">
            <w:pPr>
              <w:pStyle w:val="TableParagraph"/>
              <w:spacing w:before="2" w:line="276" w:lineRule="auto"/>
              <w:jc w:val="both"/>
              <w:rPr>
                <w:b w:val="0"/>
                <w:color w:val="auto"/>
              </w:rPr>
            </w:pPr>
            <w:r w:rsidRPr="00F7194B">
              <w:rPr>
                <w:b w:val="0"/>
                <w:color w:val="auto"/>
              </w:rPr>
              <w:t xml:space="preserve">La ASEQROO investiga las presuntas acciones u omisiones que pudieran implicar una responsabilidad administrativa, elaborando el Informe </w:t>
            </w:r>
            <w:r w:rsidRPr="00F7194B">
              <w:rPr>
                <w:b w:val="0"/>
                <w:color w:val="auto"/>
                <w:spacing w:val="4"/>
              </w:rPr>
              <w:t xml:space="preserve">de </w:t>
            </w:r>
            <w:r w:rsidRPr="00F7194B">
              <w:rPr>
                <w:b w:val="0"/>
                <w:color w:val="auto"/>
              </w:rPr>
              <w:t>Presunta Responsabilidad Administrativa,</w:t>
            </w:r>
            <w:r w:rsidRPr="00F7194B">
              <w:rPr>
                <w:b w:val="0"/>
                <w:color w:val="auto"/>
                <w:spacing w:val="-14"/>
              </w:rPr>
              <w:t xml:space="preserve"> </w:t>
            </w:r>
            <w:r w:rsidRPr="00F7194B">
              <w:rPr>
                <w:b w:val="0"/>
                <w:color w:val="auto"/>
              </w:rPr>
              <w:t>y</w:t>
            </w:r>
            <w:r w:rsidRPr="00F7194B">
              <w:rPr>
                <w:b w:val="0"/>
                <w:color w:val="auto"/>
                <w:spacing w:val="-11"/>
              </w:rPr>
              <w:t xml:space="preserve"> </w:t>
            </w:r>
            <w:r w:rsidRPr="00F7194B">
              <w:rPr>
                <w:b w:val="0"/>
                <w:color w:val="auto"/>
              </w:rPr>
              <w:t>substancia,</w:t>
            </w:r>
            <w:r w:rsidRPr="00F7194B">
              <w:rPr>
                <w:b w:val="0"/>
                <w:color w:val="auto"/>
                <w:spacing w:val="-14"/>
              </w:rPr>
              <w:t xml:space="preserve"> </w:t>
            </w:r>
            <w:r w:rsidRPr="00F7194B">
              <w:rPr>
                <w:b w:val="0"/>
                <w:color w:val="auto"/>
              </w:rPr>
              <w:t>hasta</w:t>
            </w:r>
            <w:r w:rsidRPr="00F7194B">
              <w:rPr>
                <w:b w:val="0"/>
                <w:color w:val="auto"/>
                <w:spacing w:val="-11"/>
              </w:rPr>
              <w:t xml:space="preserve"> </w:t>
            </w:r>
            <w:r w:rsidRPr="00F7194B">
              <w:rPr>
                <w:b w:val="0"/>
                <w:color w:val="auto"/>
              </w:rPr>
              <w:t>la</w:t>
            </w:r>
            <w:r w:rsidRPr="00F7194B">
              <w:rPr>
                <w:b w:val="0"/>
                <w:color w:val="auto"/>
                <w:spacing w:val="-11"/>
              </w:rPr>
              <w:t xml:space="preserve"> </w:t>
            </w:r>
            <w:r w:rsidRPr="00F7194B">
              <w:rPr>
                <w:b w:val="0"/>
                <w:color w:val="auto"/>
              </w:rPr>
              <w:t>audiencia</w:t>
            </w:r>
            <w:r w:rsidRPr="00F7194B">
              <w:rPr>
                <w:b w:val="0"/>
                <w:color w:val="auto"/>
                <w:spacing w:val="-11"/>
              </w:rPr>
              <w:t xml:space="preserve"> </w:t>
            </w:r>
            <w:r w:rsidRPr="00F7194B">
              <w:rPr>
                <w:b w:val="0"/>
                <w:color w:val="auto"/>
              </w:rPr>
              <w:t>inicial,</w:t>
            </w:r>
            <w:r w:rsidRPr="00F7194B">
              <w:rPr>
                <w:b w:val="0"/>
                <w:color w:val="auto"/>
                <w:spacing w:val="-13"/>
              </w:rPr>
              <w:t xml:space="preserve"> </w:t>
            </w:r>
            <w:r w:rsidRPr="00F7194B">
              <w:rPr>
                <w:b w:val="0"/>
                <w:color w:val="auto"/>
              </w:rPr>
              <w:t>aquellas</w:t>
            </w:r>
            <w:r w:rsidRPr="00F7194B">
              <w:rPr>
                <w:b w:val="0"/>
                <w:color w:val="auto"/>
                <w:spacing w:val="-11"/>
              </w:rPr>
              <w:t xml:space="preserve"> </w:t>
            </w:r>
            <w:r w:rsidRPr="00F7194B">
              <w:rPr>
                <w:b w:val="0"/>
                <w:color w:val="auto"/>
              </w:rPr>
              <w:t>que</w:t>
            </w:r>
            <w:r w:rsidRPr="00F7194B">
              <w:rPr>
                <w:b w:val="0"/>
                <w:color w:val="auto"/>
                <w:spacing w:val="-11"/>
              </w:rPr>
              <w:t xml:space="preserve"> </w:t>
            </w:r>
            <w:r w:rsidRPr="00F7194B">
              <w:rPr>
                <w:b w:val="0"/>
                <w:color w:val="auto"/>
              </w:rPr>
              <w:t>se</w:t>
            </w:r>
            <w:r w:rsidRPr="00F7194B">
              <w:rPr>
                <w:b w:val="0"/>
                <w:color w:val="auto"/>
                <w:spacing w:val="-11"/>
              </w:rPr>
              <w:t xml:space="preserve"> </w:t>
            </w:r>
            <w:r w:rsidRPr="00F7194B">
              <w:rPr>
                <w:b w:val="0"/>
                <w:color w:val="auto"/>
              </w:rPr>
              <w:t>encuentran</w:t>
            </w:r>
            <w:r w:rsidRPr="00F7194B">
              <w:rPr>
                <w:b w:val="0"/>
                <w:color w:val="auto"/>
                <w:spacing w:val="-11"/>
              </w:rPr>
              <w:t xml:space="preserve"> </w:t>
            </w:r>
            <w:r w:rsidRPr="00F7194B">
              <w:rPr>
                <w:b w:val="0"/>
                <w:color w:val="auto"/>
              </w:rPr>
              <w:t>clasificadas como graves en la</w:t>
            </w:r>
            <w:r w:rsidRPr="00F7194B">
              <w:rPr>
                <w:b w:val="0"/>
                <w:color w:val="auto"/>
                <w:spacing w:val="1"/>
              </w:rPr>
              <w:t xml:space="preserve"> </w:t>
            </w:r>
            <w:r w:rsidRPr="00F7194B">
              <w:rPr>
                <w:b w:val="0"/>
                <w:color w:val="auto"/>
              </w:rPr>
              <w:t>LGRA.</w:t>
            </w:r>
          </w:p>
        </w:tc>
      </w:tr>
      <w:tr w:rsidR="00F53B93" w:rsidRPr="00F7194B" w14:paraId="00F27FEB" w14:textId="77777777" w:rsidTr="00DB6FEA">
        <w:trPr>
          <w:cnfStyle w:val="010000000000" w:firstRow="0" w:lastRow="1" w:firstColumn="0" w:lastColumn="0" w:oddVBand="0" w:evenVBand="0" w:oddHBand="0" w:evenHBand="0" w:firstRowFirstColumn="0" w:firstRowLastColumn="0" w:lastRowFirstColumn="0" w:lastRowLastColumn="0"/>
          <w:trHeight w:val="2327"/>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right w:val="single" w:sz="4" w:space="0" w:color="auto"/>
            </w:tcBorders>
            <w:shd w:val="clear" w:color="auto" w:fill="F2F2F2" w:themeFill="background1" w:themeFillShade="F2"/>
          </w:tcPr>
          <w:p w14:paraId="7059F22D" w14:textId="77777777" w:rsidR="00F53B93" w:rsidRPr="00F7194B" w:rsidRDefault="00F53B93" w:rsidP="00DB6FEA">
            <w:pPr>
              <w:pStyle w:val="TableParagraph"/>
              <w:ind w:right="104"/>
              <w:jc w:val="right"/>
            </w:pPr>
            <w:r w:rsidRPr="00F7194B">
              <w:rPr>
                <w:lang w:eastAsia="es-ES" w:bidi="es-ES"/>
              </w:rPr>
              <w:t>Rol de la ASEQROO</w:t>
            </w:r>
          </w:p>
        </w:tc>
        <w:tc>
          <w:tcPr>
            <w:cnfStyle w:val="000100000000" w:firstRow="0" w:lastRow="0" w:firstColumn="0" w:lastColumn="1" w:oddVBand="0" w:evenVBand="0" w:oddHBand="0" w:evenHBand="0" w:firstRowFirstColumn="0" w:firstRowLastColumn="0" w:lastRowFirstColumn="0" w:lastRowLastColumn="0"/>
            <w:tcW w:w="6994" w:type="dxa"/>
            <w:tcBorders>
              <w:top w:val="single" w:sz="4" w:space="0" w:color="auto"/>
              <w:left w:val="single" w:sz="4" w:space="0" w:color="auto"/>
            </w:tcBorders>
            <w:shd w:val="clear" w:color="auto" w:fill="F2F2F2" w:themeFill="background1" w:themeFillShade="F2"/>
          </w:tcPr>
          <w:p w14:paraId="45AC9F8F" w14:textId="77777777" w:rsidR="00F53B93" w:rsidRPr="00F7194B" w:rsidRDefault="00F53B93" w:rsidP="00DB6FEA">
            <w:pPr>
              <w:pStyle w:val="TableParagraph"/>
              <w:spacing w:before="1" w:line="276" w:lineRule="auto"/>
              <w:jc w:val="both"/>
              <w:rPr>
                <w:b w:val="0"/>
              </w:rPr>
            </w:pPr>
            <w:r w:rsidRPr="00F7194B">
              <w:rPr>
                <w:b w:val="0"/>
              </w:rPr>
              <w:t>En caso de la existencia de faltas administrativas no graves, da vista a los Órganos Internos de Control, las Contralorías Municipales, la Secretaría de la Contraloría, etc.</w:t>
            </w:r>
          </w:p>
          <w:p w14:paraId="0A720A7E" w14:textId="77777777" w:rsidR="00F53B93" w:rsidRPr="00F7194B" w:rsidRDefault="00F53B93" w:rsidP="00DB6FEA">
            <w:pPr>
              <w:pStyle w:val="TableParagraph"/>
              <w:spacing w:before="3" w:line="276" w:lineRule="auto"/>
              <w:jc w:val="both"/>
              <w:rPr>
                <w:b w:val="0"/>
              </w:rPr>
            </w:pPr>
            <w:r w:rsidRPr="00F7194B">
              <w:rPr>
                <w:b w:val="0"/>
              </w:rPr>
              <w:t>En caso de la existencia de faltas administrativas graves, inicia el procedimiento de responsabilidades administrativas, substanciándolo hasta</w:t>
            </w:r>
            <w:r w:rsidRPr="00F7194B">
              <w:rPr>
                <w:b w:val="0"/>
                <w:spacing w:val="-9"/>
              </w:rPr>
              <w:t xml:space="preserve"> </w:t>
            </w:r>
            <w:r w:rsidRPr="00F7194B">
              <w:rPr>
                <w:b w:val="0"/>
              </w:rPr>
              <w:t>la</w:t>
            </w:r>
            <w:r w:rsidRPr="00F7194B">
              <w:rPr>
                <w:b w:val="0"/>
                <w:spacing w:val="-8"/>
              </w:rPr>
              <w:t xml:space="preserve"> </w:t>
            </w:r>
            <w:r w:rsidRPr="00F7194B">
              <w:rPr>
                <w:b w:val="0"/>
              </w:rPr>
              <w:t>audiencia</w:t>
            </w:r>
            <w:r w:rsidRPr="00F7194B">
              <w:rPr>
                <w:b w:val="0"/>
                <w:spacing w:val="-9"/>
              </w:rPr>
              <w:t xml:space="preserve"> </w:t>
            </w:r>
            <w:r w:rsidRPr="00F7194B">
              <w:rPr>
                <w:b w:val="0"/>
              </w:rPr>
              <w:t>inicial</w:t>
            </w:r>
            <w:r w:rsidRPr="00F7194B">
              <w:rPr>
                <w:b w:val="0"/>
                <w:spacing w:val="-10"/>
              </w:rPr>
              <w:t xml:space="preserve"> </w:t>
            </w:r>
            <w:r w:rsidRPr="00F7194B">
              <w:rPr>
                <w:b w:val="0"/>
              </w:rPr>
              <w:t>y</w:t>
            </w:r>
            <w:r w:rsidRPr="00F7194B">
              <w:rPr>
                <w:b w:val="0"/>
                <w:spacing w:val="-9"/>
              </w:rPr>
              <w:t xml:space="preserve"> </w:t>
            </w:r>
            <w:r w:rsidRPr="00F7194B">
              <w:rPr>
                <w:b w:val="0"/>
              </w:rPr>
              <w:t>posteriormente</w:t>
            </w:r>
            <w:r w:rsidRPr="00F7194B">
              <w:rPr>
                <w:b w:val="0"/>
                <w:spacing w:val="-12"/>
              </w:rPr>
              <w:t xml:space="preserve"> </w:t>
            </w:r>
            <w:r w:rsidRPr="00F7194B">
              <w:rPr>
                <w:b w:val="0"/>
              </w:rPr>
              <w:t>turna</w:t>
            </w:r>
            <w:r w:rsidRPr="00F7194B">
              <w:rPr>
                <w:b w:val="0"/>
                <w:spacing w:val="-8"/>
              </w:rPr>
              <w:t xml:space="preserve"> </w:t>
            </w:r>
            <w:r w:rsidRPr="00F7194B">
              <w:rPr>
                <w:b w:val="0"/>
              </w:rPr>
              <w:t>al</w:t>
            </w:r>
            <w:r w:rsidRPr="00F7194B">
              <w:rPr>
                <w:b w:val="0"/>
                <w:spacing w:val="-11"/>
              </w:rPr>
              <w:t xml:space="preserve"> </w:t>
            </w:r>
            <w:r w:rsidRPr="00F7194B">
              <w:rPr>
                <w:b w:val="0"/>
              </w:rPr>
              <w:t>Tribunal</w:t>
            </w:r>
            <w:r w:rsidRPr="00F7194B">
              <w:rPr>
                <w:b w:val="0"/>
                <w:spacing w:val="-10"/>
              </w:rPr>
              <w:t xml:space="preserve"> </w:t>
            </w:r>
            <w:r w:rsidRPr="00F7194B">
              <w:rPr>
                <w:b w:val="0"/>
              </w:rPr>
              <w:t>de</w:t>
            </w:r>
            <w:r w:rsidRPr="00F7194B">
              <w:rPr>
                <w:b w:val="0"/>
                <w:spacing w:val="-9"/>
              </w:rPr>
              <w:t xml:space="preserve"> </w:t>
            </w:r>
            <w:r w:rsidRPr="00F7194B">
              <w:rPr>
                <w:b w:val="0"/>
              </w:rPr>
              <w:t>Justicia Administrativa</w:t>
            </w:r>
            <w:r w:rsidRPr="00F7194B">
              <w:rPr>
                <w:b w:val="0"/>
                <w:spacing w:val="21"/>
              </w:rPr>
              <w:t xml:space="preserve"> </w:t>
            </w:r>
            <w:r w:rsidRPr="00F7194B">
              <w:rPr>
                <w:b w:val="0"/>
              </w:rPr>
              <w:t>del</w:t>
            </w:r>
            <w:r w:rsidRPr="00F7194B">
              <w:rPr>
                <w:b w:val="0"/>
                <w:spacing w:val="19"/>
              </w:rPr>
              <w:t xml:space="preserve"> </w:t>
            </w:r>
            <w:r w:rsidRPr="00F7194B">
              <w:rPr>
                <w:b w:val="0"/>
              </w:rPr>
              <w:t>Estado</w:t>
            </w:r>
            <w:r w:rsidRPr="00F7194B">
              <w:rPr>
                <w:b w:val="0"/>
                <w:spacing w:val="21"/>
              </w:rPr>
              <w:t xml:space="preserve"> </w:t>
            </w:r>
            <w:r w:rsidRPr="00F7194B">
              <w:rPr>
                <w:b w:val="0"/>
              </w:rPr>
              <w:t>de</w:t>
            </w:r>
            <w:r w:rsidRPr="00F7194B">
              <w:rPr>
                <w:b w:val="0"/>
                <w:spacing w:val="22"/>
              </w:rPr>
              <w:t xml:space="preserve"> </w:t>
            </w:r>
            <w:r w:rsidRPr="00F7194B">
              <w:rPr>
                <w:b w:val="0"/>
              </w:rPr>
              <w:t>Quintana</w:t>
            </w:r>
            <w:r w:rsidRPr="00F7194B">
              <w:rPr>
                <w:b w:val="0"/>
                <w:spacing w:val="21"/>
              </w:rPr>
              <w:t xml:space="preserve"> </w:t>
            </w:r>
            <w:r w:rsidRPr="00F7194B">
              <w:rPr>
                <w:b w:val="0"/>
              </w:rPr>
              <w:t>Roo,</w:t>
            </w:r>
            <w:r w:rsidRPr="00F7194B">
              <w:rPr>
                <w:b w:val="0"/>
                <w:spacing w:val="19"/>
              </w:rPr>
              <w:t xml:space="preserve"> </w:t>
            </w:r>
            <w:r w:rsidRPr="00F7194B">
              <w:rPr>
                <w:b w:val="0"/>
              </w:rPr>
              <w:t>el</w:t>
            </w:r>
            <w:r w:rsidRPr="00F7194B">
              <w:rPr>
                <w:b w:val="0"/>
                <w:spacing w:val="18"/>
              </w:rPr>
              <w:t xml:space="preserve"> </w:t>
            </w:r>
            <w:r w:rsidRPr="00F7194B">
              <w:rPr>
                <w:b w:val="0"/>
              </w:rPr>
              <w:t>Informe</w:t>
            </w:r>
            <w:r w:rsidRPr="00F7194B">
              <w:rPr>
                <w:b w:val="0"/>
                <w:spacing w:val="22"/>
              </w:rPr>
              <w:t xml:space="preserve"> </w:t>
            </w:r>
            <w:r w:rsidRPr="00F7194B">
              <w:rPr>
                <w:b w:val="0"/>
              </w:rPr>
              <w:t>de</w:t>
            </w:r>
            <w:r w:rsidRPr="00F7194B">
              <w:rPr>
                <w:b w:val="0"/>
                <w:spacing w:val="21"/>
              </w:rPr>
              <w:t xml:space="preserve"> </w:t>
            </w:r>
            <w:r w:rsidRPr="00F7194B">
              <w:rPr>
                <w:b w:val="0"/>
              </w:rPr>
              <w:t>Presunta</w:t>
            </w:r>
          </w:p>
          <w:p w14:paraId="54093992" w14:textId="77777777" w:rsidR="00F53B93" w:rsidRPr="00F7194B" w:rsidRDefault="00F53B93" w:rsidP="00DB6FEA">
            <w:pPr>
              <w:pStyle w:val="TableParagraph"/>
              <w:jc w:val="both"/>
            </w:pPr>
            <w:r w:rsidRPr="00F7194B">
              <w:rPr>
                <w:b w:val="0"/>
              </w:rPr>
              <w:t>Responsabilidad Administrativa, así como el expediente respectivo.</w:t>
            </w:r>
          </w:p>
        </w:tc>
      </w:tr>
    </w:tbl>
    <w:p w14:paraId="722200BB" w14:textId="77777777" w:rsidR="00F53B93" w:rsidRDefault="00F53B93" w:rsidP="002D4596"/>
    <w:p w14:paraId="1D830624" w14:textId="77777777" w:rsidR="00393026" w:rsidRDefault="00393026" w:rsidP="00393026"/>
    <w:p w14:paraId="468F4A00" w14:textId="77777777" w:rsidR="00393026" w:rsidRPr="00F7194B" w:rsidRDefault="00393026" w:rsidP="00393026">
      <w:pPr>
        <w:spacing w:before="173"/>
        <w:jc w:val="center"/>
        <w:rPr>
          <w:rFonts w:ascii="Arial" w:hAnsi="Arial" w:cs="Arial"/>
          <w:b/>
          <w:sz w:val="24"/>
          <w:szCs w:val="24"/>
        </w:rPr>
      </w:pPr>
      <w:r w:rsidRPr="00F7194B">
        <w:rPr>
          <w:rFonts w:ascii="Arial" w:hAnsi="Arial" w:cs="Arial"/>
          <w:b/>
          <w:sz w:val="24"/>
          <w:szCs w:val="24"/>
        </w:rPr>
        <w:t>Denuncia de</w:t>
      </w:r>
      <w:r w:rsidRPr="00F7194B">
        <w:rPr>
          <w:rFonts w:ascii="Arial" w:hAnsi="Arial" w:cs="Arial"/>
          <w:b/>
          <w:spacing w:val="-10"/>
          <w:sz w:val="24"/>
          <w:szCs w:val="24"/>
        </w:rPr>
        <w:t xml:space="preserve"> </w:t>
      </w:r>
      <w:r w:rsidRPr="00F7194B">
        <w:rPr>
          <w:rFonts w:ascii="Arial" w:hAnsi="Arial" w:cs="Arial"/>
          <w:b/>
          <w:sz w:val="24"/>
          <w:szCs w:val="24"/>
        </w:rPr>
        <w:t>Hecho (Correctivo)</w:t>
      </w:r>
    </w:p>
    <w:p w14:paraId="0216C150" w14:textId="77777777" w:rsidR="00393026" w:rsidRPr="00F7194B" w:rsidRDefault="00393026" w:rsidP="00393026">
      <w:pPr>
        <w:pStyle w:val="Textoindependiente"/>
        <w:spacing w:before="4" w:after="1"/>
        <w:jc w:val="center"/>
        <w:rPr>
          <w:b/>
          <w:sz w:val="12"/>
        </w:rPr>
      </w:pPr>
    </w:p>
    <w:tbl>
      <w:tblPr>
        <w:tblStyle w:val="Tabladecuadrcula4-nfasis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left w:w="57" w:type="dxa"/>
        </w:tblCellMar>
        <w:tblLook w:val="01E0" w:firstRow="1" w:lastRow="1" w:firstColumn="1" w:lastColumn="1" w:noHBand="0" w:noVBand="0"/>
      </w:tblPr>
      <w:tblGrid>
        <w:gridCol w:w="2430"/>
        <w:gridCol w:w="6994"/>
      </w:tblGrid>
      <w:tr w:rsidR="00393026" w:rsidRPr="00F7194B" w14:paraId="0CD8F5B5" w14:textId="77777777" w:rsidTr="00DB6FEA">
        <w:trPr>
          <w:cnfStyle w:val="100000000000" w:firstRow="1" w:lastRow="0" w:firstColumn="0" w:lastColumn="0" w:oddVBand="0" w:evenVBand="0" w:oddHBand="0"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9424" w:type="dxa"/>
            <w:gridSpan w:val="2"/>
            <w:tcBorders>
              <w:top w:val="none" w:sz="0" w:space="0" w:color="auto"/>
              <w:left w:val="none" w:sz="0" w:space="0" w:color="auto"/>
              <w:bottom w:val="single" w:sz="4" w:space="0" w:color="auto"/>
              <w:right w:val="none" w:sz="0" w:space="0" w:color="auto"/>
            </w:tcBorders>
            <w:shd w:val="clear" w:color="auto" w:fill="F2F2F2" w:themeFill="background1" w:themeFillShade="F2"/>
          </w:tcPr>
          <w:p w14:paraId="3E02CF56" w14:textId="77777777" w:rsidR="00393026" w:rsidRPr="00F7194B" w:rsidRDefault="00393026" w:rsidP="00DB6FEA">
            <w:pPr>
              <w:pStyle w:val="TableParagraph"/>
              <w:spacing w:before="2" w:line="276" w:lineRule="auto"/>
              <w:jc w:val="both"/>
              <w:rPr>
                <w:b w:val="0"/>
                <w:color w:val="auto"/>
              </w:rPr>
            </w:pPr>
            <w:r w:rsidRPr="00F7194B">
              <w:rPr>
                <w:b w:val="0"/>
                <w:color w:val="auto"/>
              </w:rPr>
              <w:t>Las denuncias penales de hechos presuntamente ilícitos, deberán presentarse cuando se cuente con los elementos que establezca la Ley.</w:t>
            </w:r>
          </w:p>
        </w:tc>
      </w:tr>
      <w:tr w:rsidR="00393026" w:rsidRPr="00F7194B" w14:paraId="2515CFBA" w14:textId="77777777" w:rsidTr="00DB6FEA">
        <w:trPr>
          <w:cnfStyle w:val="010000000000" w:firstRow="0" w:lastRow="1" w:firstColumn="0" w:lastColumn="0" w:oddVBand="0" w:evenVBand="0" w:oddHBand="0"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right w:val="single" w:sz="4" w:space="0" w:color="auto"/>
            </w:tcBorders>
            <w:shd w:val="clear" w:color="auto" w:fill="F2F2F2" w:themeFill="background1" w:themeFillShade="F2"/>
          </w:tcPr>
          <w:p w14:paraId="7A56D49A" w14:textId="77777777" w:rsidR="00393026" w:rsidRPr="00F7194B" w:rsidRDefault="00393026" w:rsidP="00DB6FEA">
            <w:pPr>
              <w:pStyle w:val="TableParagraph"/>
              <w:ind w:right="104"/>
              <w:jc w:val="right"/>
            </w:pPr>
            <w:r w:rsidRPr="00F7194B">
              <w:rPr>
                <w:lang w:eastAsia="es-ES" w:bidi="es-ES"/>
              </w:rPr>
              <w:t>Rol de la ASEQROO</w:t>
            </w:r>
          </w:p>
        </w:tc>
        <w:tc>
          <w:tcPr>
            <w:cnfStyle w:val="000100000000" w:firstRow="0" w:lastRow="0" w:firstColumn="0" w:lastColumn="1" w:oddVBand="0" w:evenVBand="0" w:oddHBand="0" w:evenHBand="0" w:firstRowFirstColumn="0" w:firstRowLastColumn="0" w:lastRowFirstColumn="0" w:lastRowLastColumn="0"/>
            <w:tcW w:w="6994" w:type="dxa"/>
            <w:tcBorders>
              <w:top w:val="single" w:sz="4" w:space="0" w:color="auto"/>
              <w:left w:val="single" w:sz="4" w:space="0" w:color="auto"/>
            </w:tcBorders>
            <w:shd w:val="clear" w:color="auto" w:fill="F2F2F2" w:themeFill="background1" w:themeFillShade="F2"/>
          </w:tcPr>
          <w:p w14:paraId="70270C75" w14:textId="77777777" w:rsidR="00393026" w:rsidRPr="00F7194B" w:rsidRDefault="00393026" w:rsidP="00CF732A">
            <w:pPr>
              <w:pStyle w:val="TableParagraph"/>
              <w:spacing w:line="250" w:lineRule="exact"/>
              <w:jc w:val="both"/>
              <w:rPr>
                <w:b w:val="0"/>
              </w:rPr>
            </w:pPr>
            <w:r w:rsidRPr="00F7194B">
              <w:rPr>
                <w:b w:val="0"/>
              </w:rPr>
              <w:t>Denunciante y coadyuvante del Ministerio Púbico perteneciente a la Fiscalía Especial Anticorrupción.</w:t>
            </w:r>
          </w:p>
        </w:tc>
      </w:tr>
    </w:tbl>
    <w:p w14:paraId="50CEE9B6" w14:textId="77777777" w:rsidR="00393026" w:rsidRDefault="00393026" w:rsidP="00393026"/>
    <w:p w14:paraId="2CE8CE79" w14:textId="77777777" w:rsidR="00393026" w:rsidRDefault="00393026" w:rsidP="002D4596"/>
    <w:p w14:paraId="7A45CC40" w14:textId="77777777" w:rsidR="00393026" w:rsidRPr="00F7194B" w:rsidRDefault="00393026" w:rsidP="00393026">
      <w:pPr>
        <w:jc w:val="center"/>
        <w:rPr>
          <w:rFonts w:ascii="Arial" w:hAnsi="Arial" w:cs="Arial"/>
          <w:b/>
        </w:rPr>
      </w:pPr>
      <w:r w:rsidRPr="00F7194B">
        <w:rPr>
          <w:rFonts w:ascii="Arial" w:hAnsi="Arial" w:cs="Arial"/>
          <w:b/>
        </w:rPr>
        <w:t>Promoción del Ejercicio de la Facultad de Comprobación</w:t>
      </w:r>
      <w:r w:rsidRPr="00F7194B">
        <w:rPr>
          <w:rFonts w:ascii="Arial" w:hAnsi="Arial" w:cs="Arial"/>
          <w:b/>
          <w:spacing w:val="-26"/>
        </w:rPr>
        <w:t xml:space="preserve"> </w:t>
      </w:r>
      <w:r w:rsidRPr="00F7194B">
        <w:rPr>
          <w:rFonts w:ascii="Arial" w:hAnsi="Arial" w:cs="Arial"/>
          <w:b/>
        </w:rPr>
        <w:t>Fiscal (Correctivo)</w:t>
      </w:r>
    </w:p>
    <w:p w14:paraId="62B99A59" w14:textId="77777777" w:rsidR="00393026" w:rsidRPr="00F7194B" w:rsidRDefault="00393026" w:rsidP="00393026">
      <w:pPr>
        <w:pStyle w:val="Textoindependiente"/>
        <w:spacing w:before="4"/>
        <w:rPr>
          <w:b/>
          <w:sz w:val="12"/>
        </w:rPr>
      </w:pPr>
    </w:p>
    <w:tbl>
      <w:tblPr>
        <w:tblStyle w:val="Tabladecuadrcula4-nfasis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CellMar>
          <w:left w:w="57" w:type="dxa"/>
        </w:tblCellMar>
        <w:tblLook w:val="01E0" w:firstRow="1" w:lastRow="1" w:firstColumn="1" w:lastColumn="1" w:noHBand="0" w:noVBand="0"/>
      </w:tblPr>
      <w:tblGrid>
        <w:gridCol w:w="2430"/>
        <w:gridCol w:w="6994"/>
      </w:tblGrid>
      <w:tr w:rsidR="00393026" w:rsidRPr="00F7194B" w14:paraId="4C868594" w14:textId="77777777" w:rsidTr="00DB6FEA">
        <w:trPr>
          <w:cnfStyle w:val="100000000000" w:firstRow="1" w:lastRow="0" w:firstColumn="0" w:lastColumn="0" w:oddVBand="0" w:evenVBand="0" w:oddHBand="0"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9424" w:type="dxa"/>
            <w:gridSpan w:val="2"/>
            <w:tcBorders>
              <w:top w:val="none" w:sz="0" w:space="0" w:color="auto"/>
              <w:left w:val="none" w:sz="0" w:space="0" w:color="auto"/>
              <w:bottom w:val="single" w:sz="4" w:space="0" w:color="auto"/>
              <w:right w:val="none" w:sz="0" w:space="0" w:color="auto"/>
            </w:tcBorders>
            <w:shd w:val="clear" w:color="auto" w:fill="F2F2F2" w:themeFill="background1" w:themeFillShade="F2"/>
          </w:tcPr>
          <w:p w14:paraId="05634624" w14:textId="77777777" w:rsidR="00393026" w:rsidRPr="00F7194B" w:rsidRDefault="00393026" w:rsidP="00DB6FEA">
            <w:pPr>
              <w:pStyle w:val="TableParagraph"/>
              <w:spacing w:before="54" w:line="276" w:lineRule="auto"/>
              <w:rPr>
                <w:b w:val="0"/>
                <w:color w:val="auto"/>
              </w:rPr>
            </w:pPr>
            <w:r w:rsidRPr="00F7194B">
              <w:rPr>
                <w:b w:val="0"/>
                <w:color w:val="auto"/>
              </w:rPr>
              <w:t>La ASEQROO informará a la autoridad competente sobre un posible incumplimiento de carácter fiscal detectado en el ejercicio de sus facultades de fiscalización.</w:t>
            </w:r>
          </w:p>
        </w:tc>
      </w:tr>
      <w:tr w:rsidR="00393026" w:rsidRPr="00F7194B" w14:paraId="5216B9BD" w14:textId="77777777" w:rsidTr="00DB6FEA">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right w:val="single" w:sz="4" w:space="0" w:color="auto"/>
            </w:tcBorders>
            <w:shd w:val="clear" w:color="auto" w:fill="F2F2F2" w:themeFill="background1" w:themeFillShade="F2"/>
            <w:vAlign w:val="center"/>
          </w:tcPr>
          <w:p w14:paraId="5FBF68F0" w14:textId="77777777" w:rsidR="00393026" w:rsidRPr="00F7194B" w:rsidRDefault="00393026" w:rsidP="00DB6FEA">
            <w:pPr>
              <w:pStyle w:val="TableParagraph"/>
              <w:ind w:right="104"/>
              <w:jc w:val="right"/>
            </w:pPr>
            <w:r w:rsidRPr="00F7194B">
              <w:rPr>
                <w:lang w:eastAsia="es-ES" w:bidi="es-ES"/>
              </w:rPr>
              <w:t>Rol de la ASEQROO</w:t>
            </w:r>
          </w:p>
        </w:tc>
        <w:tc>
          <w:tcPr>
            <w:cnfStyle w:val="000100000000" w:firstRow="0" w:lastRow="0" w:firstColumn="0" w:lastColumn="1" w:oddVBand="0" w:evenVBand="0" w:oddHBand="0" w:evenHBand="0" w:firstRowFirstColumn="0" w:firstRowLastColumn="0" w:lastRowFirstColumn="0" w:lastRowLastColumn="0"/>
            <w:tcW w:w="6994" w:type="dxa"/>
            <w:tcBorders>
              <w:top w:val="single" w:sz="4" w:space="0" w:color="auto"/>
              <w:left w:val="single" w:sz="4" w:space="0" w:color="auto"/>
            </w:tcBorders>
            <w:shd w:val="clear" w:color="auto" w:fill="F2F2F2" w:themeFill="background1" w:themeFillShade="F2"/>
            <w:vAlign w:val="center"/>
          </w:tcPr>
          <w:p w14:paraId="4D29A7C9" w14:textId="77777777" w:rsidR="00393026" w:rsidRPr="00F7194B" w:rsidRDefault="00393026" w:rsidP="00DB6FEA">
            <w:pPr>
              <w:pStyle w:val="TableParagraph"/>
              <w:spacing w:line="235" w:lineRule="exact"/>
              <w:rPr>
                <w:b w:val="0"/>
              </w:rPr>
            </w:pPr>
            <w:r w:rsidRPr="00F7194B">
              <w:rPr>
                <w:b w:val="0"/>
              </w:rPr>
              <w:t>Promovente ante el Servicio de Administración Tributaria</w:t>
            </w:r>
            <w:r w:rsidR="00CF732A">
              <w:rPr>
                <w:b w:val="0"/>
              </w:rPr>
              <w:t>.</w:t>
            </w:r>
          </w:p>
        </w:tc>
      </w:tr>
    </w:tbl>
    <w:p w14:paraId="4CE05AD5" w14:textId="77777777" w:rsidR="00393026" w:rsidRDefault="00393026" w:rsidP="00393026"/>
    <w:p w14:paraId="560968AE" w14:textId="77777777" w:rsidR="00F53B93" w:rsidRDefault="00F53B93" w:rsidP="002D4596"/>
    <w:p w14:paraId="4201CA1B" w14:textId="77777777" w:rsidR="004A600D" w:rsidRDefault="004A600D" w:rsidP="002D4596"/>
    <w:p w14:paraId="59B3410D" w14:textId="77777777" w:rsidR="004A600D" w:rsidRDefault="004A600D" w:rsidP="002D4596"/>
    <w:p w14:paraId="4CD3885B" w14:textId="77777777" w:rsidR="004A600D" w:rsidRPr="002D4596" w:rsidRDefault="004A600D" w:rsidP="002D4596"/>
    <w:p w14:paraId="6A22F5D4" w14:textId="77777777" w:rsidR="00D232C2" w:rsidRPr="004A600D" w:rsidRDefault="004A600D" w:rsidP="00683FD0">
      <w:pPr>
        <w:pStyle w:val="Ttulo2"/>
        <w:numPr>
          <w:ilvl w:val="0"/>
          <w:numId w:val="1"/>
        </w:numPr>
        <w:spacing w:before="240" w:line="276" w:lineRule="auto"/>
        <w:jc w:val="both"/>
        <w:rPr>
          <w:rFonts w:ascii="Arial" w:hAnsi="Arial" w:cs="Arial"/>
          <w:b/>
          <w:color w:val="auto"/>
          <w:sz w:val="24"/>
          <w:szCs w:val="24"/>
        </w:rPr>
      </w:pPr>
      <w:bookmarkStart w:id="20" w:name="_Toc158567481"/>
      <w:r w:rsidRPr="004A600D">
        <w:rPr>
          <w:rFonts w:ascii="Arial" w:hAnsi="Arial" w:cs="Arial"/>
          <w:b/>
          <w:color w:val="auto"/>
          <w:sz w:val="24"/>
          <w:szCs w:val="24"/>
        </w:rPr>
        <w:lastRenderedPageBreak/>
        <w:t>ESTADÍSTICAS SOBRE LOS RESULTADOS DE LA FISCALIZACIÓN DE LA CUENTA PÚBLICA 202</w:t>
      </w:r>
      <w:r w:rsidR="001501B3">
        <w:rPr>
          <w:rFonts w:ascii="Arial" w:hAnsi="Arial" w:cs="Arial"/>
          <w:b/>
          <w:color w:val="auto"/>
          <w:sz w:val="24"/>
          <w:szCs w:val="24"/>
        </w:rPr>
        <w:t>2</w:t>
      </w:r>
      <w:bookmarkEnd w:id="20"/>
    </w:p>
    <w:p w14:paraId="5A3DBFFF" w14:textId="77777777" w:rsidR="00D232C2" w:rsidRDefault="00D232C2" w:rsidP="00D232C2">
      <w:pPr>
        <w:rPr>
          <w:rFonts w:ascii="Arial" w:hAnsi="Arial" w:cs="Arial"/>
          <w:sz w:val="24"/>
          <w:szCs w:val="24"/>
        </w:rPr>
      </w:pPr>
    </w:p>
    <w:p w14:paraId="0DFB8EC1" w14:textId="77777777" w:rsidR="00672405" w:rsidRPr="00AB25A6" w:rsidRDefault="0002183C" w:rsidP="0002183C">
      <w:pPr>
        <w:spacing w:line="360" w:lineRule="auto"/>
        <w:jc w:val="both"/>
        <w:rPr>
          <w:rFonts w:ascii="Arial" w:hAnsi="Arial" w:cs="Arial"/>
          <w:sz w:val="14"/>
          <w:szCs w:val="24"/>
        </w:rPr>
      </w:pPr>
      <w:r>
        <w:rPr>
          <w:rFonts w:ascii="Arial" w:hAnsi="Arial" w:cs="Arial"/>
          <w:sz w:val="24"/>
          <w:szCs w:val="24"/>
        </w:rPr>
        <w:t>L</w:t>
      </w:r>
      <w:r w:rsidR="001501B3">
        <w:rPr>
          <w:rFonts w:ascii="Arial" w:hAnsi="Arial" w:cs="Arial"/>
          <w:sz w:val="24"/>
          <w:szCs w:val="24"/>
        </w:rPr>
        <w:t>a ASEQROO concluyó 24</w:t>
      </w:r>
      <w:r w:rsidR="001F49A3">
        <w:rPr>
          <w:rFonts w:ascii="Arial" w:hAnsi="Arial" w:cs="Arial"/>
          <w:sz w:val="24"/>
          <w:szCs w:val="24"/>
        </w:rPr>
        <w:t>7</w:t>
      </w:r>
      <w:r w:rsidR="00CF172E">
        <w:rPr>
          <w:rFonts w:ascii="Arial" w:hAnsi="Arial" w:cs="Arial"/>
          <w:sz w:val="24"/>
          <w:szCs w:val="24"/>
        </w:rPr>
        <w:t xml:space="preserve"> auditorías </w:t>
      </w:r>
      <w:r w:rsidR="00A729DD">
        <w:rPr>
          <w:rFonts w:ascii="Arial" w:hAnsi="Arial" w:cs="Arial"/>
          <w:sz w:val="24"/>
          <w:szCs w:val="24"/>
        </w:rPr>
        <w:t>que derivaron en</w:t>
      </w:r>
      <w:r w:rsidR="00CF172E">
        <w:rPr>
          <w:rFonts w:ascii="Arial" w:hAnsi="Arial" w:cs="Arial"/>
          <w:sz w:val="24"/>
          <w:szCs w:val="24"/>
        </w:rPr>
        <w:t xml:space="preserve"> </w:t>
      </w:r>
      <w:r w:rsidRPr="00F7194B">
        <w:rPr>
          <w:rFonts w:ascii="Arial" w:hAnsi="Arial" w:cs="Arial"/>
          <w:sz w:val="24"/>
          <w:szCs w:val="24"/>
        </w:rPr>
        <w:t>15</w:t>
      </w:r>
      <w:r w:rsidR="001501B3">
        <w:rPr>
          <w:rFonts w:ascii="Arial" w:hAnsi="Arial" w:cs="Arial"/>
          <w:sz w:val="24"/>
          <w:szCs w:val="24"/>
        </w:rPr>
        <w:t>3</w:t>
      </w:r>
      <w:r w:rsidRPr="00F7194B">
        <w:rPr>
          <w:rFonts w:ascii="Arial" w:hAnsi="Arial" w:cs="Arial"/>
          <w:sz w:val="24"/>
          <w:szCs w:val="24"/>
        </w:rPr>
        <w:t xml:space="preserve"> Informes Individuales</w:t>
      </w:r>
      <w:r w:rsidR="00CF172E">
        <w:rPr>
          <w:rFonts w:ascii="Arial" w:hAnsi="Arial" w:cs="Arial"/>
          <w:sz w:val="24"/>
          <w:szCs w:val="24"/>
        </w:rPr>
        <w:t xml:space="preserve"> entregados</w:t>
      </w:r>
      <w:r w:rsidRPr="00F7194B">
        <w:rPr>
          <w:rFonts w:ascii="Arial" w:hAnsi="Arial" w:cs="Arial"/>
          <w:sz w:val="24"/>
          <w:szCs w:val="24"/>
        </w:rPr>
        <w:t xml:space="preserve"> al Congreso del Estado a través de la Comisión de Hacienda, Presupuesto y Cuenta Pública, mismos que son resultado de la fiscalización a la gestión de los recursos públicos de 101 entidades fiscalizables.</w:t>
      </w:r>
    </w:p>
    <w:p w14:paraId="06A031EC" w14:textId="77777777" w:rsidR="00D67F0F" w:rsidRDefault="007505CA" w:rsidP="00D67F0F">
      <w:pPr>
        <w:keepNext/>
        <w:spacing w:line="360" w:lineRule="auto"/>
        <w:jc w:val="both"/>
      </w:pPr>
      <w:r>
        <w:rPr>
          <w:noProof/>
          <w:lang w:eastAsia="es-MX"/>
        </w:rPr>
        <w:drawing>
          <wp:inline distT="0" distB="0" distL="0" distR="0" wp14:anchorId="5B5170EF" wp14:editId="5E666A79">
            <wp:extent cx="5612130" cy="4008120"/>
            <wp:effectExtent l="0" t="0" r="7620" b="1143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A7D9DD" w14:textId="77777777" w:rsidR="00672405" w:rsidRPr="00F24C0C" w:rsidRDefault="00D67F0F" w:rsidP="00D67F0F">
      <w:pPr>
        <w:pStyle w:val="Descripcin"/>
        <w:jc w:val="center"/>
        <w:rPr>
          <w:rFonts w:ascii="Arial" w:hAnsi="Arial" w:cs="Arial"/>
          <w:color w:val="auto"/>
          <w:sz w:val="24"/>
          <w:szCs w:val="24"/>
        </w:rPr>
      </w:pPr>
      <w:r w:rsidRPr="00F24C0C">
        <w:rPr>
          <w:rFonts w:ascii="Arial" w:hAnsi="Arial" w:cs="Arial"/>
          <w:b/>
          <w:color w:val="auto"/>
        </w:rPr>
        <w:t>Gráfica N° 5</w:t>
      </w:r>
      <w:r w:rsidRPr="00F24C0C">
        <w:rPr>
          <w:rFonts w:ascii="Arial" w:hAnsi="Arial" w:cs="Arial"/>
          <w:color w:val="auto"/>
        </w:rPr>
        <w:t>: Elaboración propia.</w:t>
      </w:r>
    </w:p>
    <w:tbl>
      <w:tblPr>
        <w:tblStyle w:val="Tabladecuadrcula4-nfasis3"/>
        <w:tblW w:w="6072" w:type="dxa"/>
        <w:jc w:val="center"/>
        <w:tblLook w:val="04A0" w:firstRow="1" w:lastRow="0" w:firstColumn="1" w:lastColumn="0" w:noHBand="0" w:noVBand="1"/>
      </w:tblPr>
      <w:tblGrid>
        <w:gridCol w:w="3402"/>
        <w:gridCol w:w="1205"/>
        <w:gridCol w:w="1465"/>
      </w:tblGrid>
      <w:tr w:rsidR="00146CED" w:rsidRPr="00146CED" w14:paraId="0F17A763" w14:textId="77777777" w:rsidTr="00D67F0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245DD6CB" w14:textId="77777777" w:rsidR="00AB25A6" w:rsidRPr="00857DDD" w:rsidRDefault="00146CED" w:rsidP="00857DDD">
            <w:pPr>
              <w:jc w:val="center"/>
              <w:rPr>
                <w:rFonts w:ascii="Arial" w:eastAsia="Times New Roman" w:hAnsi="Arial" w:cs="Arial"/>
                <w:sz w:val="20"/>
                <w:szCs w:val="20"/>
                <w:lang w:eastAsia="es-MX"/>
              </w:rPr>
            </w:pPr>
            <w:r w:rsidRPr="00857DDD">
              <w:rPr>
                <w:rFonts w:ascii="Arial" w:eastAsia="Times New Roman" w:hAnsi="Arial" w:cs="Arial"/>
                <w:sz w:val="20"/>
                <w:szCs w:val="20"/>
                <w:lang w:eastAsia="es-MX"/>
              </w:rPr>
              <w:t>Tipos de auditoría</w:t>
            </w:r>
          </w:p>
        </w:tc>
        <w:tc>
          <w:tcPr>
            <w:tcW w:w="1205" w:type="dxa"/>
            <w:noWrap/>
            <w:vAlign w:val="center"/>
            <w:hideMark/>
          </w:tcPr>
          <w:p w14:paraId="3F05E59D" w14:textId="77777777" w:rsidR="00AB25A6" w:rsidRPr="00857DDD" w:rsidRDefault="00AB25A6" w:rsidP="00857DD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MX"/>
              </w:rPr>
            </w:pPr>
            <w:r w:rsidRPr="00857DDD">
              <w:rPr>
                <w:rFonts w:ascii="Arial" w:eastAsia="Times New Roman" w:hAnsi="Arial" w:cs="Arial"/>
                <w:bCs w:val="0"/>
                <w:sz w:val="20"/>
                <w:szCs w:val="20"/>
                <w:lang w:eastAsia="es-MX"/>
              </w:rPr>
              <w:t>Auditorías</w:t>
            </w:r>
          </w:p>
        </w:tc>
        <w:tc>
          <w:tcPr>
            <w:tcW w:w="1465" w:type="dxa"/>
            <w:noWrap/>
            <w:vAlign w:val="center"/>
            <w:hideMark/>
          </w:tcPr>
          <w:p w14:paraId="604696E5" w14:textId="77777777" w:rsidR="00AB25A6" w:rsidRPr="00857DDD" w:rsidRDefault="00AB25A6" w:rsidP="00857DD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MX"/>
              </w:rPr>
            </w:pPr>
            <w:r w:rsidRPr="00857DDD">
              <w:rPr>
                <w:rFonts w:ascii="Arial" w:eastAsia="Times New Roman" w:hAnsi="Arial" w:cs="Arial"/>
                <w:bCs w:val="0"/>
                <w:sz w:val="20"/>
                <w:szCs w:val="20"/>
                <w:lang w:eastAsia="es-MX"/>
              </w:rPr>
              <w:t>Informes</w:t>
            </w:r>
          </w:p>
        </w:tc>
      </w:tr>
      <w:tr w:rsidR="00146CED" w:rsidRPr="00146CED" w14:paraId="4AD50443" w14:textId="77777777" w:rsidTr="00D67F0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197D2C6D" w14:textId="77777777" w:rsidR="00AB25A6" w:rsidRPr="00857DDD" w:rsidRDefault="00AB25A6" w:rsidP="00857DDD">
            <w:pPr>
              <w:rPr>
                <w:rFonts w:ascii="Arial" w:eastAsia="Times New Roman" w:hAnsi="Arial" w:cs="Arial"/>
                <w:sz w:val="20"/>
                <w:szCs w:val="20"/>
                <w:lang w:eastAsia="es-MX"/>
              </w:rPr>
            </w:pPr>
            <w:r w:rsidRPr="00857DDD">
              <w:rPr>
                <w:rFonts w:ascii="Arial" w:eastAsia="Times New Roman" w:hAnsi="Arial" w:cs="Arial"/>
                <w:sz w:val="20"/>
                <w:szCs w:val="20"/>
                <w:lang w:eastAsia="es-MX"/>
              </w:rPr>
              <w:t>Cumplimiento Financiero</w:t>
            </w:r>
          </w:p>
        </w:tc>
        <w:tc>
          <w:tcPr>
            <w:tcW w:w="1205" w:type="dxa"/>
            <w:noWrap/>
            <w:vAlign w:val="center"/>
            <w:hideMark/>
          </w:tcPr>
          <w:p w14:paraId="721E128F" w14:textId="77777777" w:rsidR="00AB25A6" w:rsidRPr="00146CED" w:rsidRDefault="00AB25A6" w:rsidP="00857D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46CED">
              <w:rPr>
                <w:rFonts w:ascii="Arial" w:eastAsia="Times New Roman" w:hAnsi="Arial" w:cs="Arial"/>
                <w:sz w:val="20"/>
                <w:szCs w:val="20"/>
                <w:lang w:eastAsia="es-MX"/>
              </w:rPr>
              <w:t>16</w:t>
            </w:r>
            <w:r w:rsidR="008271F4">
              <w:rPr>
                <w:rFonts w:ascii="Arial" w:eastAsia="Times New Roman" w:hAnsi="Arial" w:cs="Arial"/>
                <w:sz w:val="20"/>
                <w:szCs w:val="20"/>
                <w:lang w:eastAsia="es-MX"/>
              </w:rPr>
              <w:t>4</w:t>
            </w:r>
          </w:p>
        </w:tc>
        <w:tc>
          <w:tcPr>
            <w:tcW w:w="1465" w:type="dxa"/>
            <w:noWrap/>
            <w:vAlign w:val="center"/>
            <w:hideMark/>
          </w:tcPr>
          <w:p w14:paraId="06BAE44D" w14:textId="77777777" w:rsidR="00AB25A6" w:rsidRPr="00146CED" w:rsidRDefault="00AB25A6" w:rsidP="00857D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46CED">
              <w:rPr>
                <w:rFonts w:ascii="Arial" w:eastAsia="Times New Roman" w:hAnsi="Arial" w:cs="Arial"/>
                <w:sz w:val="20"/>
                <w:szCs w:val="20"/>
                <w:lang w:eastAsia="es-MX"/>
              </w:rPr>
              <w:t>101</w:t>
            </w:r>
          </w:p>
        </w:tc>
      </w:tr>
      <w:tr w:rsidR="00146CED" w:rsidRPr="00146CED" w14:paraId="1398C1A5" w14:textId="77777777" w:rsidTr="00D67F0F">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69115135" w14:textId="77777777" w:rsidR="00AB25A6" w:rsidRPr="00857DDD" w:rsidRDefault="00AB25A6" w:rsidP="00857DDD">
            <w:pPr>
              <w:rPr>
                <w:rFonts w:ascii="Arial" w:eastAsia="Times New Roman" w:hAnsi="Arial" w:cs="Arial"/>
                <w:sz w:val="20"/>
                <w:szCs w:val="20"/>
                <w:lang w:eastAsia="es-MX"/>
              </w:rPr>
            </w:pPr>
            <w:r w:rsidRPr="00857DDD">
              <w:rPr>
                <w:rFonts w:ascii="Arial" w:eastAsia="Times New Roman" w:hAnsi="Arial" w:cs="Arial"/>
                <w:sz w:val="20"/>
                <w:szCs w:val="20"/>
                <w:lang w:eastAsia="es-MX"/>
              </w:rPr>
              <w:t>Materia al Desempeño</w:t>
            </w:r>
          </w:p>
        </w:tc>
        <w:tc>
          <w:tcPr>
            <w:tcW w:w="1205" w:type="dxa"/>
            <w:noWrap/>
            <w:vAlign w:val="center"/>
            <w:hideMark/>
          </w:tcPr>
          <w:p w14:paraId="58655A69" w14:textId="77777777" w:rsidR="00AB25A6" w:rsidRPr="00146CED" w:rsidRDefault="00AB25A6" w:rsidP="00857D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146CED">
              <w:rPr>
                <w:rFonts w:ascii="Arial" w:eastAsia="Times New Roman" w:hAnsi="Arial" w:cs="Arial"/>
                <w:sz w:val="20"/>
                <w:szCs w:val="20"/>
                <w:lang w:eastAsia="es-MX"/>
              </w:rPr>
              <w:t>39</w:t>
            </w:r>
          </w:p>
        </w:tc>
        <w:tc>
          <w:tcPr>
            <w:tcW w:w="1465" w:type="dxa"/>
            <w:noWrap/>
            <w:vAlign w:val="center"/>
            <w:hideMark/>
          </w:tcPr>
          <w:p w14:paraId="434A4729" w14:textId="77777777" w:rsidR="00AB25A6" w:rsidRPr="00146CED" w:rsidRDefault="00AB25A6" w:rsidP="00857D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146CED">
              <w:rPr>
                <w:rFonts w:ascii="Arial" w:eastAsia="Times New Roman" w:hAnsi="Arial" w:cs="Arial"/>
                <w:sz w:val="20"/>
                <w:szCs w:val="20"/>
                <w:lang w:eastAsia="es-MX"/>
              </w:rPr>
              <w:t>3</w:t>
            </w:r>
            <w:r w:rsidR="008271F4">
              <w:rPr>
                <w:rFonts w:ascii="Arial" w:eastAsia="Times New Roman" w:hAnsi="Arial" w:cs="Arial"/>
                <w:sz w:val="20"/>
                <w:szCs w:val="20"/>
                <w:lang w:eastAsia="es-MX"/>
              </w:rPr>
              <w:t>1</w:t>
            </w:r>
          </w:p>
        </w:tc>
      </w:tr>
      <w:tr w:rsidR="00146CED" w:rsidRPr="00146CED" w14:paraId="02E0C956" w14:textId="77777777" w:rsidTr="00D67F0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664990EF" w14:textId="77777777" w:rsidR="00AB25A6" w:rsidRPr="00857DDD" w:rsidRDefault="00AB25A6" w:rsidP="00857DDD">
            <w:pPr>
              <w:rPr>
                <w:rFonts w:ascii="Arial" w:eastAsia="Times New Roman" w:hAnsi="Arial" w:cs="Arial"/>
                <w:sz w:val="20"/>
                <w:szCs w:val="20"/>
                <w:lang w:eastAsia="es-MX"/>
              </w:rPr>
            </w:pPr>
            <w:r w:rsidRPr="00857DDD">
              <w:rPr>
                <w:rFonts w:ascii="Arial" w:eastAsia="Times New Roman" w:hAnsi="Arial" w:cs="Arial"/>
                <w:sz w:val="20"/>
                <w:szCs w:val="20"/>
                <w:lang w:eastAsia="es-MX"/>
              </w:rPr>
              <w:t>Inversiones Física</w:t>
            </w:r>
            <w:r w:rsidR="007505CA">
              <w:rPr>
                <w:rFonts w:ascii="Arial" w:eastAsia="Times New Roman" w:hAnsi="Arial" w:cs="Arial"/>
                <w:sz w:val="20"/>
                <w:szCs w:val="20"/>
                <w:lang w:eastAsia="es-MX"/>
              </w:rPr>
              <w:t>s</w:t>
            </w:r>
            <w:r w:rsidRPr="00857DDD">
              <w:rPr>
                <w:rFonts w:ascii="Arial" w:eastAsia="Times New Roman" w:hAnsi="Arial" w:cs="Arial"/>
                <w:sz w:val="20"/>
                <w:szCs w:val="20"/>
                <w:lang w:eastAsia="es-MX"/>
              </w:rPr>
              <w:t xml:space="preserve"> u Obra Pública</w:t>
            </w:r>
          </w:p>
        </w:tc>
        <w:tc>
          <w:tcPr>
            <w:tcW w:w="1205" w:type="dxa"/>
            <w:noWrap/>
            <w:vAlign w:val="center"/>
            <w:hideMark/>
          </w:tcPr>
          <w:p w14:paraId="2F4A114B" w14:textId="77777777" w:rsidR="00AB25A6" w:rsidRPr="00146CED" w:rsidRDefault="00AB25A6" w:rsidP="00857D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46CED">
              <w:rPr>
                <w:rFonts w:ascii="Arial" w:eastAsia="Times New Roman" w:hAnsi="Arial" w:cs="Arial"/>
                <w:sz w:val="20"/>
                <w:szCs w:val="20"/>
                <w:lang w:eastAsia="es-MX"/>
              </w:rPr>
              <w:t>4</w:t>
            </w:r>
            <w:r w:rsidR="008271F4">
              <w:rPr>
                <w:rFonts w:ascii="Arial" w:eastAsia="Times New Roman" w:hAnsi="Arial" w:cs="Arial"/>
                <w:sz w:val="20"/>
                <w:szCs w:val="20"/>
                <w:lang w:eastAsia="es-MX"/>
              </w:rPr>
              <w:t>4</w:t>
            </w:r>
          </w:p>
        </w:tc>
        <w:tc>
          <w:tcPr>
            <w:tcW w:w="1465" w:type="dxa"/>
            <w:noWrap/>
            <w:vAlign w:val="center"/>
            <w:hideMark/>
          </w:tcPr>
          <w:p w14:paraId="47863660" w14:textId="77777777" w:rsidR="00AB25A6" w:rsidRPr="00146CED" w:rsidRDefault="00AB25A6" w:rsidP="00857D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46CED">
              <w:rPr>
                <w:rFonts w:ascii="Arial" w:eastAsia="Times New Roman" w:hAnsi="Arial" w:cs="Arial"/>
                <w:sz w:val="20"/>
                <w:szCs w:val="20"/>
                <w:lang w:eastAsia="es-MX"/>
              </w:rPr>
              <w:t>2</w:t>
            </w:r>
            <w:r w:rsidR="008271F4">
              <w:rPr>
                <w:rFonts w:ascii="Arial" w:eastAsia="Times New Roman" w:hAnsi="Arial" w:cs="Arial"/>
                <w:sz w:val="20"/>
                <w:szCs w:val="20"/>
                <w:lang w:eastAsia="es-MX"/>
              </w:rPr>
              <w:t>1</w:t>
            </w:r>
          </w:p>
        </w:tc>
      </w:tr>
      <w:tr w:rsidR="00146CED" w:rsidRPr="00146CED" w14:paraId="4DF56DDA" w14:textId="77777777" w:rsidTr="00D67F0F">
        <w:trPr>
          <w:trHeight w:val="454"/>
          <w:jc w:val="center"/>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04988E29" w14:textId="77777777" w:rsidR="00AB25A6" w:rsidRPr="00857DDD" w:rsidRDefault="00146CED" w:rsidP="00857DDD">
            <w:pPr>
              <w:rPr>
                <w:rFonts w:ascii="Arial" w:eastAsia="Times New Roman" w:hAnsi="Arial" w:cs="Arial"/>
                <w:sz w:val="20"/>
                <w:szCs w:val="20"/>
                <w:lang w:eastAsia="es-MX"/>
              </w:rPr>
            </w:pPr>
            <w:r w:rsidRPr="00857DDD">
              <w:rPr>
                <w:rFonts w:ascii="Arial" w:eastAsia="Times New Roman" w:hAnsi="Arial" w:cs="Arial"/>
                <w:sz w:val="20"/>
                <w:szCs w:val="20"/>
                <w:lang w:eastAsia="es-MX"/>
              </w:rPr>
              <w:t>Totales</w:t>
            </w:r>
          </w:p>
        </w:tc>
        <w:tc>
          <w:tcPr>
            <w:tcW w:w="1205" w:type="dxa"/>
            <w:noWrap/>
            <w:vAlign w:val="center"/>
            <w:hideMark/>
          </w:tcPr>
          <w:p w14:paraId="6B926AEC" w14:textId="77777777" w:rsidR="00AB25A6" w:rsidRPr="00146CED" w:rsidRDefault="00AB25A6" w:rsidP="00857D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es-MX"/>
              </w:rPr>
            </w:pPr>
            <w:r w:rsidRPr="00146CED">
              <w:rPr>
                <w:rFonts w:ascii="Arial" w:eastAsia="Times New Roman" w:hAnsi="Arial" w:cs="Arial"/>
                <w:b/>
                <w:sz w:val="20"/>
                <w:szCs w:val="20"/>
                <w:lang w:eastAsia="es-MX"/>
              </w:rPr>
              <w:t>24</w:t>
            </w:r>
            <w:r w:rsidR="008271F4">
              <w:rPr>
                <w:rFonts w:ascii="Arial" w:eastAsia="Times New Roman" w:hAnsi="Arial" w:cs="Arial"/>
                <w:b/>
                <w:sz w:val="20"/>
                <w:szCs w:val="20"/>
                <w:lang w:eastAsia="es-MX"/>
              </w:rPr>
              <w:t>7</w:t>
            </w:r>
          </w:p>
        </w:tc>
        <w:tc>
          <w:tcPr>
            <w:tcW w:w="1465" w:type="dxa"/>
            <w:noWrap/>
            <w:vAlign w:val="center"/>
            <w:hideMark/>
          </w:tcPr>
          <w:p w14:paraId="6B1CE120" w14:textId="77777777" w:rsidR="00AB25A6" w:rsidRPr="00146CED" w:rsidRDefault="00AB25A6" w:rsidP="00857D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es-MX"/>
              </w:rPr>
            </w:pPr>
            <w:r w:rsidRPr="00146CED">
              <w:rPr>
                <w:rFonts w:ascii="Arial" w:eastAsia="Times New Roman" w:hAnsi="Arial" w:cs="Arial"/>
                <w:b/>
                <w:sz w:val="20"/>
                <w:szCs w:val="20"/>
                <w:lang w:eastAsia="es-MX"/>
              </w:rPr>
              <w:t>15</w:t>
            </w:r>
            <w:r w:rsidR="008271F4">
              <w:rPr>
                <w:rFonts w:ascii="Arial" w:eastAsia="Times New Roman" w:hAnsi="Arial" w:cs="Arial"/>
                <w:b/>
                <w:sz w:val="20"/>
                <w:szCs w:val="20"/>
                <w:lang w:eastAsia="es-MX"/>
              </w:rPr>
              <w:t>3</w:t>
            </w:r>
          </w:p>
        </w:tc>
      </w:tr>
    </w:tbl>
    <w:p w14:paraId="5B842D51" w14:textId="77777777" w:rsidR="00D67F0F" w:rsidRPr="00F24C0C" w:rsidRDefault="00D67F0F" w:rsidP="00D67F0F">
      <w:pPr>
        <w:pStyle w:val="Descripcin"/>
        <w:spacing w:before="240"/>
        <w:jc w:val="center"/>
        <w:rPr>
          <w:rFonts w:ascii="Arial" w:hAnsi="Arial" w:cs="Arial"/>
          <w:color w:val="auto"/>
          <w:sz w:val="24"/>
          <w:szCs w:val="24"/>
        </w:rPr>
      </w:pPr>
      <w:r w:rsidRPr="00F24C0C">
        <w:rPr>
          <w:rFonts w:ascii="Arial" w:hAnsi="Arial" w:cs="Arial"/>
          <w:b/>
          <w:color w:val="auto"/>
        </w:rPr>
        <w:t xml:space="preserve">Tabla N° </w:t>
      </w:r>
      <w:r w:rsidR="00F24C0C" w:rsidRPr="00F24C0C">
        <w:rPr>
          <w:rFonts w:ascii="Arial" w:hAnsi="Arial" w:cs="Arial"/>
          <w:b/>
          <w:color w:val="auto"/>
        </w:rPr>
        <w:t>8</w:t>
      </w:r>
      <w:r w:rsidRPr="00F24C0C">
        <w:rPr>
          <w:rFonts w:ascii="Arial" w:hAnsi="Arial" w:cs="Arial"/>
          <w:color w:val="auto"/>
        </w:rPr>
        <w:t>: Elaboración propia.</w:t>
      </w:r>
    </w:p>
    <w:p w14:paraId="78CB768E" w14:textId="77777777" w:rsidR="00194335" w:rsidRPr="00194335" w:rsidRDefault="001F38BB" w:rsidP="001F38BB">
      <w:pPr>
        <w:jc w:val="center"/>
        <w:rPr>
          <w:rFonts w:ascii="Arial" w:hAnsi="Arial" w:cs="Arial"/>
          <w:b/>
          <w:sz w:val="8"/>
          <w:szCs w:val="8"/>
        </w:rPr>
      </w:pPr>
      <w:r w:rsidRPr="00646522">
        <w:rPr>
          <w:noProof/>
          <w:lang w:eastAsia="es-MX"/>
        </w:rPr>
        <w:lastRenderedPageBreak/>
        <mc:AlternateContent>
          <mc:Choice Requires="wps">
            <w:drawing>
              <wp:anchor distT="0" distB="0" distL="114300" distR="114300" simplePos="0" relativeHeight="251676672" behindDoc="0" locked="0" layoutInCell="1" allowOverlap="1" wp14:anchorId="1A0F8225" wp14:editId="60008547">
                <wp:simplePos x="0" y="0"/>
                <wp:positionH relativeFrom="margin">
                  <wp:align>center</wp:align>
                </wp:positionH>
                <wp:positionV relativeFrom="paragraph">
                  <wp:posOffset>3794760</wp:posOffset>
                </wp:positionV>
                <wp:extent cx="1272540" cy="294647"/>
                <wp:effectExtent l="0" t="0" r="0" b="0"/>
                <wp:wrapNone/>
                <wp:docPr id="61" name="CuadroTexto 4"/>
                <wp:cNvGraphicFramePr/>
                <a:graphic xmlns:a="http://schemas.openxmlformats.org/drawingml/2006/main">
                  <a:graphicData uri="http://schemas.microsoft.com/office/word/2010/wordprocessingShape">
                    <wps:wsp>
                      <wps:cNvSpPr txBox="1"/>
                      <wps:spPr>
                        <a:xfrm>
                          <a:off x="0" y="0"/>
                          <a:ext cx="1272540" cy="29464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AE3DF9" w14:textId="77777777" w:rsidR="00D33739" w:rsidRDefault="00D33739" w:rsidP="00646522">
                            <w:pPr>
                              <w:pStyle w:val="NormalWeb"/>
                              <w:spacing w:after="0"/>
                            </w:pPr>
                            <w:r>
                              <w:rPr>
                                <w:rFonts w:ascii="Arial" w:hAnsi="Arial" w:cs="Arial"/>
                                <w:b/>
                                <w:bCs/>
                                <w:color w:val="000000" w:themeColor="dark1"/>
                                <w:sz w:val="18"/>
                                <w:szCs w:val="18"/>
                              </w:rPr>
                              <w:t>Egresos</w:t>
                            </w:r>
                          </w:p>
                        </w:txbxContent>
                      </wps:txbx>
                      <wps:bodyPr wrap="square" rtlCol="0" anchor="t"/>
                    </wps:wsp>
                  </a:graphicData>
                </a:graphic>
                <wp14:sizeRelH relativeFrom="margin">
                  <wp14:pctWidth>0</wp14:pctWidth>
                </wp14:sizeRelH>
              </wp:anchor>
            </w:drawing>
          </mc:Choice>
          <mc:Fallback>
            <w:pict>
              <v:shape w14:anchorId="1A0F8225" id="CuadroTexto 4" o:spid="_x0000_s1028" type="#_x0000_t202" style="position:absolute;left:0;text-align:left;margin-left:0;margin-top:298.8pt;width:100.2pt;height:23.2pt;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" filled="f" stroked="f">
                <v:textbox>
                  <w:txbxContent>
                    <w:p w14:paraId="51AE3DF9" w14:textId="77777777" w:rsidR="00D33739" w:rsidRDefault="00D33739" w:rsidP="00646522">
                      <w:pPr>
                        <w:pStyle w:val="NormalWeb"/>
                        <w:spacing w:after="0"/>
                      </w:pPr>
                      <w:r>
                        <w:rPr>
                          <w:rFonts w:ascii="Arial" w:hAnsi="Arial" w:cs="Arial"/>
                          <w:b/>
                          <w:bCs/>
                          <w:color w:val="000000" w:themeColor="dark1"/>
                          <w:sz w:val="18"/>
                          <w:szCs w:val="18"/>
                        </w:rPr>
                        <w:t>Egresos</w:t>
                      </w:r>
                    </w:p>
                  </w:txbxContent>
                </v:textbox>
                <w10:wrap anchorx="margin"/>
              </v:shape>
            </w:pict>
          </mc:Fallback>
        </mc:AlternateContent>
      </w:r>
      <w:r w:rsidRPr="00646522">
        <w:rPr>
          <w:noProof/>
          <w:lang w:eastAsia="es-MX"/>
        </w:rPr>
        <mc:AlternateContent>
          <mc:Choice Requires="wps">
            <w:drawing>
              <wp:anchor distT="0" distB="0" distL="114300" distR="114300" simplePos="0" relativeHeight="251674624" behindDoc="0" locked="0" layoutInCell="1" allowOverlap="1" wp14:anchorId="0F05EBB5" wp14:editId="71303C58">
                <wp:simplePos x="0" y="0"/>
                <wp:positionH relativeFrom="column">
                  <wp:posOffset>1289685</wp:posOffset>
                </wp:positionH>
                <wp:positionV relativeFrom="paragraph">
                  <wp:posOffset>1203960</wp:posOffset>
                </wp:positionV>
                <wp:extent cx="1272540" cy="294647"/>
                <wp:effectExtent l="0" t="0" r="0" b="0"/>
                <wp:wrapNone/>
                <wp:docPr id="60" name="CuadroTexto 4"/>
                <wp:cNvGraphicFramePr/>
                <a:graphic xmlns:a="http://schemas.openxmlformats.org/drawingml/2006/main">
                  <a:graphicData uri="http://schemas.microsoft.com/office/word/2010/wordprocessingShape">
                    <wps:wsp>
                      <wps:cNvSpPr txBox="1"/>
                      <wps:spPr>
                        <a:xfrm>
                          <a:off x="0" y="0"/>
                          <a:ext cx="1272540" cy="29464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73ED274" w14:textId="77777777" w:rsidR="00D33739" w:rsidRDefault="00D33739" w:rsidP="00646522">
                            <w:pPr>
                              <w:pStyle w:val="NormalWeb"/>
                              <w:spacing w:after="0"/>
                            </w:pPr>
                            <w:r>
                              <w:rPr>
                                <w:rFonts w:ascii="Arial" w:hAnsi="Arial" w:cs="Arial"/>
                                <w:b/>
                                <w:bCs/>
                                <w:color w:val="000000" w:themeColor="dark1"/>
                                <w:sz w:val="18"/>
                                <w:szCs w:val="18"/>
                              </w:rPr>
                              <w:t>Ingresos - Egresos</w:t>
                            </w:r>
                          </w:p>
                        </w:txbxContent>
                      </wps:txbx>
                      <wps:bodyPr wrap="square" rtlCol="0" anchor="t"/>
                    </wps:wsp>
                  </a:graphicData>
                </a:graphic>
                <wp14:sizeRelH relativeFrom="margin">
                  <wp14:pctWidth>0</wp14:pctWidth>
                </wp14:sizeRelH>
              </wp:anchor>
            </w:drawing>
          </mc:Choice>
          <mc:Fallback>
            <w:pict>
              <v:shape w14:anchorId="0F05EBB5" id="_x0000_s1029" type="#_x0000_t202" style="position:absolute;left:0;text-align:left;margin-left:101.55pt;margin-top:94.8pt;width:100.2pt;height:23.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" filled="f" stroked="f">
                <v:textbox>
                  <w:txbxContent>
                    <w:p w14:paraId="373ED274" w14:textId="77777777" w:rsidR="00D33739" w:rsidRDefault="00D33739" w:rsidP="00646522">
                      <w:pPr>
                        <w:pStyle w:val="NormalWeb"/>
                        <w:spacing w:after="0"/>
                      </w:pPr>
                      <w:r>
                        <w:rPr>
                          <w:rFonts w:ascii="Arial" w:hAnsi="Arial" w:cs="Arial"/>
                          <w:b/>
                          <w:bCs/>
                          <w:color w:val="000000" w:themeColor="dark1"/>
                          <w:sz w:val="18"/>
                          <w:szCs w:val="18"/>
                        </w:rPr>
                        <w:t>Ingresos - Egresos</w:t>
                      </w:r>
                    </w:p>
                  </w:txbxContent>
                </v:textbox>
              </v:shape>
            </w:pict>
          </mc:Fallback>
        </mc:AlternateContent>
      </w:r>
      <w:r w:rsidR="00646522">
        <w:rPr>
          <w:noProof/>
          <w:lang w:eastAsia="es-MX"/>
        </w:rPr>
        <w:drawing>
          <wp:inline distT="0" distB="0" distL="0" distR="0" wp14:anchorId="6287E1A5" wp14:editId="11E86384">
            <wp:extent cx="4960620" cy="4354830"/>
            <wp:effectExtent l="0" t="0" r="11430" b="762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9028A3" w14:textId="77777777" w:rsidR="00D67F0F" w:rsidRPr="00F24C0C" w:rsidRDefault="00D67F0F" w:rsidP="00D67F0F">
      <w:pPr>
        <w:pStyle w:val="Descripcin"/>
        <w:jc w:val="center"/>
        <w:rPr>
          <w:rFonts w:ascii="Arial" w:hAnsi="Arial" w:cs="Arial"/>
          <w:color w:val="auto"/>
          <w:sz w:val="24"/>
          <w:szCs w:val="24"/>
        </w:rPr>
      </w:pPr>
      <w:r w:rsidRPr="00F24C0C">
        <w:rPr>
          <w:rFonts w:ascii="Arial" w:hAnsi="Arial" w:cs="Arial"/>
          <w:b/>
          <w:color w:val="auto"/>
        </w:rPr>
        <w:t>Gráfica N° 6</w:t>
      </w:r>
      <w:r w:rsidRPr="00F24C0C">
        <w:rPr>
          <w:rFonts w:ascii="Arial" w:hAnsi="Arial" w:cs="Arial"/>
          <w:color w:val="auto"/>
        </w:rPr>
        <w:t>: Elaboración propia.</w:t>
      </w:r>
    </w:p>
    <w:p w14:paraId="2573C338" w14:textId="77777777" w:rsidR="00EA7232" w:rsidRDefault="00EA7232" w:rsidP="00194335">
      <w:pPr>
        <w:jc w:val="center"/>
        <w:rPr>
          <w:rFonts w:ascii="Arial" w:hAnsi="Arial" w:cs="Arial"/>
          <w:b/>
          <w:sz w:val="24"/>
          <w:szCs w:val="24"/>
        </w:rPr>
      </w:pPr>
    </w:p>
    <w:tbl>
      <w:tblPr>
        <w:tblStyle w:val="Tabladelista4-nfasis3"/>
        <w:tblW w:w="0" w:type="auto"/>
        <w:jc w:val="center"/>
        <w:tblLook w:val="04A0" w:firstRow="1" w:lastRow="0" w:firstColumn="1" w:lastColumn="0" w:noHBand="0" w:noVBand="1"/>
      </w:tblPr>
      <w:tblGrid>
        <w:gridCol w:w="2547"/>
        <w:gridCol w:w="2410"/>
      </w:tblGrid>
      <w:tr w:rsidR="00194335" w14:paraId="6F9C1A23" w14:textId="77777777" w:rsidTr="00EA7232">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6514F230" w14:textId="77777777" w:rsidR="00194335" w:rsidRPr="00F020A7" w:rsidRDefault="00A76758" w:rsidP="00A76758">
            <w:pPr>
              <w:jc w:val="center"/>
              <w:rPr>
                <w:rFonts w:ascii="Arial" w:hAnsi="Arial" w:cs="Arial"/>
                <w:sz w:val="24"/>
                <w:szCs w:val="24"/>
              </w:rPr>
            </w:pPr>
            <w:r w:rsidRPr="00F020A7">
              <w:rPr>
                <w:rFonts w:ascii="Arial" w:eastAsia="Times New Roman" w:hAnsi="Arial" w:cs="Arial"/>
                <w:bCs w:val="0"/>
                <w:sz w:val="24"/>
                <w:lang w:eastAsia="es-MX"/>
              </w:rPr>
              <w:t>Auditorías de C</w:t>
            </w:r>
            <w:r w:rsidR="00194335" w:rsidRPr="00F020A7">
              <w:rPr>
                <w:rFonts w:ascii="Arial" w:eastAsia="Times New Roman" w:hAnsi="Arial" w:cs="Arial"/>
                <w:bCs w:val="0"/>
                <w:sz w:val="24"/>
                <w:lang w:eastAsia="es-MX"/>
              </w:rPr>
              <w:t>umplimiento Financiero</w:t>
            </w:r>
          </w:p>
        </w:tc>
      </w:tr>
      <w:tr w:rsidR="00194335" w14:paraId="300D617E" w14:textId="77777777" w:rsidTr="00EA723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2A3B6D6" w14:textId="77777777" w:rsidR="00194335" w:rsidRPr="00EF02A8" w:rsidRDefault="00194335" w:rsidP="00A76758">
            <w:pPr>
              <w:jc w:val="center"/>
              <w:rPr>
                <w:rFonts w:ascii="Arial" w:eastAsia="Times New Roman" w:hAnsi="Arial" w:cs="Arial"/>
                <w:bCs w:val="0"/>
                <w:lang w:eastAsia="es-MX"/>
              </w:rPr>
            </w:pPr>
            <w:r w:rsidRPr="00EF02A8">
              <w:rPr>
                <w:rFonts w:ascii="Arial" w:eastAsia="Times New Roman" w:hAnsi="Arial" w:cs="Arial"/>
                <w:bCs w:val="0"/>
                <w:lang w:eastAsia="es-MX"/>
              </w:rPr>
              <w:t>Tipo</w:t>
            </w:r>
          </w:p>
        </w:tc>
        <w:tc>
          <w:tcPr>
            <w:tcW w:w="2410" w:type="dxa"/>
            <w:vAlign w:val="center"/>
          </w:tcPr>
          <w:p w14:paraId="6DAA0EF9" w14:textId="77777777" w:rsidR="00194335" w:rsidRPr="00EF02A8" w:rsidRDefault="00194335" w:rsidP="00A767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lang w:eastAsia="es-MX"/>
              </w:rPr>
            </w:pPr>
            <w:r w:rsidRPr="00EF02A8">
              <w:rPr>
                <w:rFonts w:ascii="Arial" w:eastAsia="Times New Roman" w:hAnsi="Arial" w:cs="Arial"/>
                <w:b/>
                <w:bCs/>
                <w:lang w:eastAsia="es-MX"/>
              </w:rPr>
              <w:t>N°</w:t>
            </w:r>
          </w:p>
        </w:tc>
      </w:tr>
      <w:tr w:rsidR="00194335" w14:paraId="40EA7AB1" w14:textId="77777777" w:rsidTr="00EA7232">
        <w:trPr>
          <w:trHeight w:val="51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C61DC25" w14:textId="77777777" w:rsidR="00194335" w:rsidRPr="00EF02A8" w:rsidRDefault="00194335" w:rsidP="00A76758">
            <w:pPr>
              <w:rPr>
                <w:rFonts w:ascii="Arial" w:eastAsia="Times New Roman" w:hAnsi="Arial" w:cs="Arial"/>
                <w:lang w:eastAsia="es-MX"/>
              </w:rPr>
            </w:pPr>
            <w:r w:rsidRPr="00EF02A8">
              <w:rPr>
                <w:rFonts w:ascii="Arial" w:eastAsia="Times New Roman" w:hAnsi="Arial" w:cs="Arial"/>
                <w:lang w:eastAsia="es-MX"/>
              </w:rPr>
              <w:t>Ingresos</w:t>
            </w:r>
          </w:p>
        </w:tc>
        <w:tc>
          <w:tcPr>
            <w:tcW w:w="2410" w:type="dxa"/>
            <w:vAlign w:val="center"/>
          </w:tcPr>
          <w:p w14:paraId="214721DA" w14:textId="77777777" w:rsidR="00194335" w:rsidRPr="00EF02A8" w:rsidRDefault="00EC50F2" w:rsidP="00A767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Pr>
                <w:rFonts w:ascii="Arial" w:eastAsia="Times New Roman" w:hAnsi="Arial" w:cs="Arial"/>
                <w:lang w:eastAsia="es-MX"/>
              </w:rPr>
              <w:t>56</w:t>
            </w:r>
          </w:p>
        </w:tc>
      </w:tr>
      <w:tr w:rsidR="00194335" w14:paraId="268D19FB" w14:textId="77777777" w:rsidTr="00EA723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71B19D" w14:textId="77777777" w:rsidR="00194335" w:rsidRPr="00EF02A8" w:rsidRDefault="00194335" w:rsidP="00A76758">
            <w:pPr>
              <w:rPr>
                <w:rFonts w:ascii="Arial" w:eastAsia="Times New Roman" w:hAnsi="Arial" w:cs="Arial"/>
                <w:lang w:eastAsia="es-MX"/>
              </w:rPr>
            </w:pPr>
            <w:r w:rsidRPr="00EF02A8">
              <w:rPr>
                <w:rFonts w:ascii="Arial" w:eastAsia="Times New Roman" w:hAnsi="Arial" w:cs="Arial"/>
                <w:lang w:eastAsia="es-MX"/>
              </w:rPr>
              <w:t>Egresos</w:t>
            </w:r>
          </w:p>
        </w:tc>
        <w:tc>
          <w:tcPr>
            <w:tcW w:w="2410" w:type="dxa"/>
            <w:vAlign w:val="center"/>
          </w:tcPr>
          <w:p w14:paraId="6AB7C1A7" w14:textId="77777777" w:rsidR="00194335" w:rsidRPr="00EF02A8" w:rsidRDefault="00194335" w:rsidP="00A767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EF02A8">
              <w:rPr>
                <w:rFonts w:ascii="Arial" w:eastAsia="Times New Roman" w:hAnsi="Arial" w:cs="Arial"/>
                <w:lang w:eastAsia="es-MX"/>
              </w:rPr>
              <w:t>6</w:t>
            </w:r>
            <w:r w:rsidR="00EC50F2">
              <w:rPr>
                <w:rFonts w:ascii="Arial" w:eastAsia="Times New Roman" w:hAnsi="Arial" w:cs="Arial"/>
                <w:lang w:eastAsia="es-MX"/>
              </w:rPr>
              <w:t>6</w:t>
            </w:r>
          </w:p>
        </w:tc>
      </w:tr>
      <w:tr w:rsidR="00194335" w14:paraId="2C68CC31" w14:textId="77777777" w:rsidTr="00EA7232">
        <w:trPr>
          <w:trHeight w:val="51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E2A84C2" w14:textId="77777777" w:rsidR="00194335" w:rsidRPr="00EF02A8" w:rsidRDefault="00194335" w:rsidP="00A76758">
            <w:pPr>
              <w:rPr>
                <w:rFonts w:ascii="Arial" w:eastAsia="Times New Roman" w:hAnsi="Arial" w:cs="Arial"/>
                <w:lang w:eastAsia="es-MX"/>
              </w:rPr>
            </w:pPr>
            <w:r w:rsidRPr="00EF02A8">
              <w:rPr>
                <w:rFonts w:ascii="Arial" w:eastAsia="Times New Roman" w:hAnsi="Arial" w:cs="Arial"/>
                <w:lang w:eastAsia="es-MX"/>
              </w:rPr>
              <w:t>Ingresos-Egresos</w:t>
            </w:r>
          </w:p>
        </w:tc>
        <w:tc>
          <w:tcPr>
            <w:tcW w:w="2410" w:type="dxa"/>
            <w:vAlign w:val="center"/>
          </w:tcPr>
          <w:p w14:paraId="1033C066" w14:textId="77777777" w:rsidR="00194335" w:rsidRPr="00EF02A8" w:rsidRDefault="00194335" w:rsidP="00A767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EF02A8">
              <w:rPr>
                <w:rFonts w:ascii="Arial" w:eastAsia="Times New Roman" w:hAnsi="Arial" w:cs="Arial"/>
                <w:lang w:eastAsia="es-MX"/>
              </w:rPr>
              <w:t>3</w:t>
            </w:r>
            <w:r w:rsidR="00EC50F2">
              <w:rPr>
                <w:rFonts w:ascii="Arial" w:eastAsia="Times New Roman" w:hAnsi="Arial" w:cs="Arial"/>
                <w:lang w:eastAsia="es-MX"/>
              </w:rPr>
              <w:t>5</w:t>
            </w:r>
          </w:p>
        </w:tc>
      </w:tr>
      <w:tr w:rsidR="00194335" w14:paraId="7CE8A4A2" w14:textId="77777777" w:rsidTr="00EA723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B6E440C" w14:textId="77777777" w:rsidR="00194335" w:rsidRPr="00EF02A8" w:rsidRDefault="00194335" w:rsidP="00A76758">
            <w:pPr>
              <w:rPr>
                <w:rFonts w:ascii="Arial" w:eastAsia="Times New Roman" w:hAnsi="Arial" w:cs="Arial"/>
                <w:lang w:eastAsia="es-MX"/>
              </w:rPr>
            </w:pPr>
            <w:r w:rsidRPr="00EF02A8">
              <w:rPr>
                <w:rFonts w:ascii="Arial" w:eastAsia="Times New Roman" w:hAnsi="Arial" w:cs="Arial"/>
                <w:lang w:eastAsia="es-MX"/>
              </w:rPr>
              <w:t>Financiamiento</w:t>
            </w:r>
          </w:p>
        </w:tc>
        <w:tc>
          <w:tcPr>
            <w:tcW w:w="2410" w:type="dxa"/>
            <w:vAlign w:val="center"/>
          </w:tcPr>
          <w:p w14:paraId="60356ECD" w14:textId="77777777" w:rsidR="00194335" w:rsidRPr="00EF02A8" w:rsidRDefault="00EC50F2" w:rsidP="00A767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Pr>
                <w:rFonts w:ascii="Arial" w:eastAsia="Times New Roman" w:hAnsi="Arial" w:cs="Arial"/>
                <w:lang w:eastAsia="es-MX"/>
              </w:rPr>
              <w:t>7</w:t>
            </w:r>
          </w:p>
        </w:tc>
      </w:tr>
      <w:tr w:rsidR="00194335" w14:paraId="69D4D1CE" w14:textId="77777777" w:rsidTr="00EA7232">
        <w:trPr>
          <w:trHeight w:val="510"/>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00C5DA" w14:textId="77777777" w:rsidR="00194335" w:rsidRPr="00EF02A8" w:rsidRDefault="00194335" w:rsidP="00A76758">
            <w:pPr>
              <w:jc w:val="right"/>
              <w:rPr>
                <w:rFonts w:ascii="Arial" w:eastAsia="Times New Roman" w:hAnsi="Arial" w:cs="Arial"/>
                <w:bCs w:val="0"/>
                <w:lang w:eastAsia="es-MX"/>
              </w:rPr>
            </w:pPr>
            <w:r w:rsidRPr="00EF02A8">
              <w:rPr>
                <w:rFonts w:ascii="Arial" w:eastAsia="Times New Roman" w:hAnsi="Arial" w:cs="Arial"/>
                <w:bCs w:val="0"/>
                <w:lang w:eastAsia="es-MX"/>
              </w:rPr>
              <w:t>Totales</w:t>
            </w:r>
          </w:p>
        </w:tc>
        <w:tc>
          <w:tcPr>
            <w:tcW w:w="2410" w:type="dxa"/>
            <w:vAlign w:val="center"/>
          </w:tcPr>
          <w:p w14:paraId="2CB2FE5C" w14:textId="77777777" w:rsidR="00194335" w:rsidRPr="00EF02A8" w:rsidRDefault="00194335" w:rsidP="00A767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es-MX"/>
              </w:rPr>
            </w:pPr>
            <w:r w:rsidRPr="00EF02A8">
              <w:rPr>
                <w:rFonts w:ascii="Arial" w:eastAsia="Times New Roman" w:hAnsi="Arial" w:cs="Arial"/>
                <w:b/>
                <w:lang w:eastAsia="es-MX"/>
              </w:rPr>
              <w:t>16</w:t>
            </w:r>
            <w:r w:rsidR="00EC50F2">
              <w:rPr>
                <w:rFonts w:ascii="Arial" w:eastAsia="Times New Roman" w:hAnsi="Arial" w:cs="Arial"/>
                <w:b/>
                <w:lang w:eastAsia="es-MX"/>
              </w:rPr>
              <w:t>4</w:t>
            </w:r>
          </w:p>
        </w:tc>
      </w:tr>
    </w:tbl>
    <w:p w14:paraId="2481C97E" w14:textId="77777777" w:rsidR="00D67F0F" w:rsidRPr="00F24C0C" w:rsidRDefault="00D67F0F" w:rsidP="00D67F0F">
      <w:pPr>
        <w:pStyle w:val="Descripcin"/>
        <w:spacing w:before="240"/>
        <w:jc w:val="center"/>
        <w:rPr>
          <w:rFonts w:ascii="Arial" w:hAnsi="Arial" w:cs="Arial"/>
          <w:color w:val="auto"/>
          <w:sz w:val="24"/>
          <w:szCs w:val="24"/>
        </w:rPr>
      </w:pPr>
      <w:r w:rsidRPr="00F24C0C">
        <w:rPr>
          <w:rFonts w:ascii="Arial" w:hAnsi="Arial" w:cs="Arial"/>
          <w:b/>
          <w:color w:val="auto"/>
        </w:rPr>
        <w:t xml:space="preserve">Tabla N° </w:t>
      </w:r>
      <w:r w:rsidR="00F24C0C">
        <w:rPr>
          <w:rFonts w:ascii="Arial" w:hAnsi="Arial" w:cs="Arial"/>
          <w:b/>
          <w:color w:val="auto"/>
        </w:rPr>
        <w:t>9</w:t>
      </w:r>
      <w:r w:rsidRPr="00F24C0C">
        <w:rPr>
          <w:rFonts w:ascii="Arial" w:hAnsi="Arial" w:cs="Arial"/>
          <w:color w:val="auto"/>
        </w:rPr>
        <w:t>: Elaboración propia.</w:t>
      </w:r>
    </w:p>
    <w:p w14:paraId="221BB1B4" w14:textId="77777777" w:rsidR="004C2335" w:rsidRDefault="004C2335" w:rsidP="00D232C2">
      <w:pPr>
        <w:rPr>
          <w:rFonts w:ascii="Arial" w:hAnsi="Arial" w:cs="Arial"/>
          <w:b/>
          <w:sz w:val="24"/>
          <w:szCs w:val="24"/>
        </w:rPr>
      </w:pPr>
    </w:p>
    <w:p w14:paraId="1B7D1272" w14:textId="77777777" w:rsidR="00670B5B" w:rsidRDefault="001F38BB" w:rsidP="00D232C2">
      <w:pPr>
        <w:rPr>
          <w:rFonts w:ascii="Arial" w:hAnsi="Arial" w:cs="Arial"/>
          <w:b/>
          <w:sz w:val="24"/>
          <w:szCs w:val="24"/>
        </w:rPr>
      </w:pPr>
      <w:r>
        <w:rPr>
          <w:rFonts w:ascii="Arial" w:hAnsi="Arial" w:cs="Arial"/>
          <w:b/>
          <w:noProof/>
          <w:sz w:val="24"/>
          <w:szCs w:val="24"/>
          <w:lang w:eastAsia="es-MX"/>
        </w:rPr>
        <w:lastRenderedPageBreak/>
        <w:drawing>
          <wp:inline distT="0" distB="0" distL="0" distR="0" wp14:anchorId="1B3E7A00" wp14:editId="46DB0A92">
            <wp:extent cx="5554980" cy="3768865"/>
            <wp:effectExtent l="0" t="0" r="7620" b="3175"/>
            <wp:docPr id="908" name="Imagen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8.jpg"/>
                    <pic:cNvPicPr/>
                  </pic:nvPicPr>
                  <pic:blipFill rotWithShape="1">
                    <a:blip r:embed="rId22" cstate="print">
                      <a:extLst>
                        <a:ext uri="{28A0092B-C50C-407E-A947-70E740481C1C}">
                          <a14:useLocalDpi xmlns:a14="http://schemas.microsoft.com/office/drawing/2010/main" val="0"/>
                        </a:ext>
                      </a:extLst>
                    </a:blip>
                    <a:srcRect l="4345" t="6698" r="3598" b="10032"/>
                    <a:stretch/>
                  </pic:blipFill>
                  <pic:spPr bwMode="auto">
                    <a:xfrm>
                      <a:off x="0" y="0"/>
                      <a:ext cx="5562990" cy="3774299"/>
                    </a:xfrm>
                    <a:prstGeom prst="rect">
                      <a:avLst/>
                    </a:prstGeom>
                    <a:ln>
                      <a:noFill/>
                    </a:ln>
                    <a:extLst>
                      <a:ext uri="{53640926-AAD7-44D8-BBD7-CCE9431645EC}">
                        <a14:shadowObscured xmlns:a14="http://schemas.microsoft.com/office/drawing/2010/main"/>
                      </a:ext>
                    </a:extLst>
                  </pic:spPr>
                </pic:pic>
              </a:graphicData>
            </a:graphic>
          </wp:inline>
        </w:drawing>
      </w:r>
    </w:p>
    <w:p w14:paraId="283960E7" w14:textId="77777777" w:rsidR="00BC5A15" w:rsidRPr="001F38BB" w:rsidRDefault="00670B5B" w:rsidP="001F38BB">
      <w:pPr>
        <w:spacing w:line="360" w:lineRule="auto"/>
        <w:ind w:left="283"/>
        <w:jc w:val="center"/>
        <w:rPr>
          <w:rFonts w:ascii="Arial" w:hAnsi="Arial" w:cs="Arial"/>
          <w:i/>
          <w:color w:val="000000" w:themeColor="text1"/>
          <w:sz w:val="18"/>
          <w:szCs w:val="16"/>
        </w:rPr>
      </w:pPr>
      <w:r w:rsidRPr="00F24C0C">
        <w:rPr>
          <w:rFonts w:ascii="Arial" w:hAnsi="Arial" w:cs="Arial"/>
          <w:b/>
          <w:i/>
          <w:color w:val="000000" w:themeColor="text1"/>
          <w:sz w:val="18"/>
          <w:szCs w:val="16"/>
        </w:rPr>
        <w:t>Gráfica N° 7:</w:t>
      </w:r>
      <w:r w:rsidR="001F38BB">
        <w:rPr>
          <w:rFonts w:ascii="Arial" w:hAnsi="Arial" w:cs="Arial"/>
          <w:i/>
          <w:color w:val="000000" w:themeColor="text1"/>
          <w:sz w:val="18"/>
          <w:szCs w:val="16"/>
        </w:rPr>
        <w:t xml:space="preserve"> Elaboración propia.</w:t>
      </w:r>
    </w:p>
    <w:p w14:paraId="3C474E51" w14:textId="77777777" w:rsidR="00BC5A15" w:rsidRDefault="001F38BB" w:rsidP="00670B5B">
      <w:pPr>
        <w:spacing w:line="360" w:lineRule="auto"/>
        <w:ind w:left="283"/>
        <w:jc w:val="center"/>
        <w:rPr>
          <w:rFonts w:ascii="Arial" w:eastAsia="Arial" w:hAnsi="Arial" w:cs="Arial"/>
          <w:sz w:val="16"/>
          <w:szCs w:val="16"/>
          <w:lang w:val="es-ES"/>
        </w:rPr>
      </w:pPr>
      <w:r>
        <w:rPr>
          <w:rFonts w:ascii="Arial" w:eastAsia="Arial" w:hAnsi="Arial" w:cs="Arial"/>
          <w:noProof/>
          <w:sz w:val="16"/>
          <w:szCs w:val="16"/>
          <w:lang w:eastAsia="es-MX"/>
        </w:rPr>
        <w:drawing>
          <wp:inline distT="0" distB="0" distL="0" distR="0" wp14:anchorId="5C316232" wp14:editId="6D910C3A">
            <wp:extent cx="5612130" cy="3573780"/>
            <wp:effectExtent l="0" t="0" r="7620" b="7620"/>
            <wp:docPr id="909" name="Imagen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9.jpg"/>
                    <pic:cNvPicPr/>
                  </pic:nvPicPr>
                  <pic:blipFill rotWithShape="1">
                    <a:blip r:embed="rId23" cstate="print">
                      <a:extLst>
                        <a:ext uri="{28A0092B-C50C-407E-A947-70E740481C1C}">
                          <a14:useLocalDpi xmlns:a14="http://schemas.microsoft.com/office/drawing/2010/main" val="0"/>
                        </a:ext>
                      </a:extLst>
                    </a:blip>
                    <a:srcRect t="4163" b="10937"/>
                    <a:stretch/>
                  </pic:blipFill>
                  <pic:spPr bwMode="auto">
                    <a:xfrm>
                      <a:off x="0" y="0"/>
                      <a:ext cx="5612130" cy="3573780"/>
                    </a:xfrm>
                    <a:prstGeom prst="rect">
                      <a:avLst/>
                    </a:prstGeom>
                    <a:ln>
                      <a:noFill/>
                    </a:ln>
                    <a:extLst>
                      <a:ext uri="{53640926-AAD7-44D8-BBD7-CCE9431645EC}">
                        <a14:shadowObscured xmlns:a14="http://schemas.microsoft.com/office/drawing/2010/main"/>
                      </a:ext>
                    </a:extLst>
                  </pic:spPr>
                </pic:pic>
              </a:graphicData>
            </a:graphic>
          </wp:inline>
        </w:drawing>
      </w:r>
    </w:p>
    <w:p w14:paraId="16944F72" w14:textId="77777777" w:rsidR="00BC5A15" w:rsidRPr="00F24C0C" w:rsidRDefault="00BC5A15" w:rsidP="00BC5A15">
      <w:pPr>
        <w:spacing w:line="360" w:lineRule="auto"/>
        <w:ind w:left="283"/>
        <w:jc w:val="center"/>
        <w:rPr>
          <w:rFonts w:ascii="Arial" w:eastAsia="Arial" w:hAnsi="Arial" w:cs="Arial"/>
          <w:i/>
          <w:color w:val="000000" w:themeColor="text1"/>
          <w:sz w:val="18"/>
          <w:szCs w:val="16"/>
          <w:lang w:val="es-ES"/>
        </w:rPr>
      </w:pPr>
      <w:r w:rsidRPr="00F24C0C">
        <w:rPr>
          <w:rFonts w:ascii="Arial" w:hAnsi="Arial" w:cs="Arial"/>
          <w:b/>
          <w:i/>
          <w:color w:val="000000" w:themeColor="text1"/>
          <w:sz w:val="18"/>
          <w:szCs w:val="16"/>
        </w:rPr>
        <w:t>Gráfica N° 8:</w:t>
      </w:r>
      <w:r w:rsidRPr="00F24C0C">
        <w:rPr>
          <w:rFonts w:ascii="Arial" w:hAnsi="Arial" w:cs="Arial"/>
          <w:i/>
          <w:color w:val="000000" w:themeColor="text1"/>
          <w:sz w:val="18"/>
          <w:szCs w:val="16"/>
        </w:rPr>
        <w:t xml:space="preserve"> Elaboración propia.</w:t>
      </w:r>
    </w:p>
    <w:tbl>
      <w:tblPr>
        <w:tblW w:w="6542" w:type="dxa"/>
        <w:jc w:val="center"/>
        <w:tbl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840"/>
        <w:gridCol w:w="1290"/>
        <w:gridCol w:w="1412"/>
      </w:tblGrid>
      <w:tr w:rsidR="007C06E1" w:rsidRPr="001B5799" w14:paraId="5561BD65" w14:textId="77777777" w:rsidTr="00882B20">
        <w:trPr>
          <w:trHeight w:val="600"/>
          <w:jc w:val="center"/>
        </w:trPr>
        <w:tc>
          <w:tcPr>
            <w:tcW w:w="3840" w:type="dxa"/>
            <w:shd w:val="clear" w:color="auto" w:fill="A5A5A5" w:themeFill="accent3"/>
            <w:noWrap/>
            <w:vAlign w:val="center"/>
            <w:hideMark/>
          </w:tcPr>
          <w:p w14:paraId="52B88FF8" w14:textId="77777777" w:rsidR="007C06E1" w:rsidRPr="00882B20" w:rsidRDefault="007C06E1" w:rsidP="00DB6FEA">
            <w:pPr>
              <w:spacing w:after="0" w:line="240" w:lineRule="auto"/>
              <w:jc w:val="center"/>
              <w:rPr>
                <w:rFonts w:ascii="Arial" w:eastAsia="Times New Roman" w:hAnsi="Arial" w:cs="Arial"/>
                <w:b/>
                <w:color w:val="FFFFFF" w:themeColor="background1"/>
                <w:sz w:val="20"/>
                <w:szCs w:val="20"/>
                <w:lang w:eastAsia="es-MX"/>
              </w:rPr>
            </w:pPr>
            <w:r w:rsidRPr="00882B20">
              <w:rPr>
                <w:rFonts w:ascii="Arial" w:eastAsia="Times New Roman" w:hAnsi="Arial" w:cs="Arial"/>
                <w:b/>
                <w:bCs/>
                <w:color w:val="FFFFFF" w:themeColor="background1"/>
                <w:lang w:eastAsia="es-MX"/>
              </w:rPr>
              <w:lastRenderedPageBreak/>
              <w:t>Tipo de Entidad Fiscalizada</w:t>
            </w:r>
          </w:p>
        </w:tc>
        <w:tc>
          <w:tcPr>
            <w:tcW w:w="1290" w:type="dxa"/>
            <w:shd w:val="clear" w:color="auto" w:fill="A5A5A5" w:themeFill="accent3"/>
            <w:noWrap/>
            <w:vAlign w:val="center"/>
            <w:hideMark/>
          </w:tcPr>
          <w:p w14:paraId="0D7808D8" w14:textId="77777777" w:rsidR="007C06E1" w:rsidRPr="00882B20" w:rsidRDefault="007C06E1" w:rsidP="00DB6FEA">
            <w:pPr>
              <w:spacing w:after="0" w:line="240" w:lineRule="auto"/>
              <w:jc w:val="center"/>
              <w:rPr>
                <w:rFonts w:ascii="Arial" w:eastAsia="Times New Roman" w:hAnsi="Arial" w:cs="Arial"/>
                <w:b/>
                <w:color w:val="FFFFFF" w:themeColor="background1"/>
                <w:lang w:eastAsia="es-MX"/>
              </w:rPr>
            </w:pPr>
            <w:r w:rsidRPr="00882B20">
              <w:rPr>
                <w:rFonts w:ascii="Arial" w:eastAsia="Times New Roman" w:hAnsi="Arial" w:cs="Arial"/>
                <w:b/>
                <w:color w:val="FFFFFF" w:themeColor="background1"/>
                <w:lang w:eastAsia="es-MX"/>
              </w:rPr>
              <w:t>Auditorías</w:t>
            </w:r>
            <w:r w:rsidR="00A239EC" w:rsidRPr="00882B20">
              <w:rPr>
                <w:rFonts w:ascii="Arial" w:eastAsia="Times New Roman" w:hAnsi="Arial" w:cs="Arial"/>
                <w:b/>
                <w:color w:val="FFFFFF" w:themeColor="background1"/>
                <w:lang w:eastAsia="es-MX"/>
              </w:rPr>
              <w:t xml:space="preserve"> concluidas</w:t>
            </w:r>
          </w:p>
        </w:tc>
        <w:tc>
          <w:tcPr>
            <w:tcW w:w="1412" w:type="dxa"/>
            <w:shd w:val="clear" w:color="auto" w:fill="A5A5A5" w:themeFill="accent3"/>
            <w:vAlign w:val="center"/>
            <w:hideMark/>
          </w:tcPr>
          <w:p w14:paraId="50F80196" w14:textId="77777777" w:rsidR="007C06E1" w:rsidRPr="00882B20" w:rsidRDefault="007C06E1" w:rsidP="00DB6FEA">
            <w:pPr>
              <w:spacing w:after="0" w:line="240" w:lineRule="auto"/>
              <w:jc w:val="center"/>
              <w:rPr>
                <w:rFonts w:ascii="Arial" w:eastAsia="Times New Roman" w:hAnsi="Arial" w:cs="Arial"/>
                <w:b/>
                <w:color w:val="FFFFFF" w:themeColor="background1"/>
                <w:lang w:eastAsia="es-MX"/>
              </w:rPr>
            </w:pPr>
            <w:r w:rsidRPr="00882B20">
              <w:rPr>
                <w:rFonts w:ascii="Arial" w:eastAsia="Times New Roman" w:hAnsi="Arial" w:cs="Arial"/>
                <w:b/>
                <w:color w:val="FFFFFF" w:themeColor="background1"/>
                <w:lang w:eastAsia="es-MX"/>
              </w:rPr>
              <w:t>Informes Individuales</w:t>
            </w:r>
            <w:r w:rsidR="00A239EC" w:rsidRPr="00882B20">
              <w:rPr>
                <w:rFonts w:ascii="Arial" w:eastAsia="Times New Roman" w:hAnsi="Arial" w:cs="Arial"/>
                <w:b/>
                <w:color w:val="FFFFFF" w:themeColor="background1"/>
                <w:lang w:eastAsia="es-MX"/>
              </w:rPr>
              <w:t xml:space="preserve"> entregados</w:t>
            </w:r>
          </w:p>
        </w:tc>
      </w:tr>
      <w:tr w:rsidR="007C06E1" w:rsidRPr="001B5799" w14:paraId="1BB6BA81" w14:textId="77777777" w:rsidTr="00882B20">
        <w:trPr>
          <w:trHeight w:val="397"/>
          <w:jc w:val="center"/>
        </w:trPr>
        <w:tc>
          <w:tcPr>
            <w:tcW w:w="3840" w:type="dxa"/>
            <w:shd w:val="clear" w:color="auto" w:fill="auto"/>
            <w:noWrap/>
            <w:vAlign w:val="bottom"/>
            <w:hideMark/>
          </w:tcPr>
          <w:p w14:paraId="21ABA6BB" w14:textId="77777777" w:rsidR="007C06E1" w:rsidRPr="001B5799" w:rsidRDefault="007C06E1" w:rsidP="00DB6FEA">
            <w:pPr>
              <w:spacing w:after="0" w:line="240" w:lineRule="auto"/>
              <w:rPr>
                <w:rFonts w:ascii="Calibri" w:eastAsia="Times New Roman" w:hAnsi="Calibri" w:cs="Calibri"/>
                <w:lang w:eastAsia="es-MX"/>
              </w:rPr>
            </w:pPr>
            <w:r w:rsidRPr="001B5799">
              <w:rPr>
                <w:rFonts w:ascii="Calibri" w:eastAsia="Times New Roman" w:hAnsi="Calibri" w:cs="Calibri"/>
                <w:lang w:eastAsia="es-MX"/>
              </w:rPr>
              <w:t>Poder Ejecutivo</w:t>
            </w:r>
          </w:p>
        </w:tc>
        <w:tc>
          <w:tcPr>
            <w:tcW w:w="1290" w:type="dxa"/>
            <w:shd w:val="clear" w:color="auto" w:fill="auto"/>
            <w:noWrap/>
            <w:vAlign w:val="center"/>
            <w:hideMark/>
          </w:tcPr>
          <w:p w14:paraId="51282202"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3</w:t>
            </w:r>
          </w:p>
        </w:tc>
        <w:tc>
          <w:tcPr>
            <w:tcW w:w="1412" w:type="dxa"/>
            <w:shd w:val="clear" w:color="auto" w:fill="auto"/>
            <w:noWrap/>
            <w:vAlign w:val="center"/>
            <w:hideMark/>
          </w:tcPr>
          <w:p w14:paraId="0BAD8AE9"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1</w:t>
            </w:r>
          </w:p>
        </w:tc>
      </w:tr>
      <w:tr w:rsidR="007C06E1" w:rsidRPr="001B5799" w14:paraId="52148855" w14:textId="77777777" w:rsidTr="00882B20">
        <w:trPr>
          <w:trHeight w:val="397"/>
          <w:jc w:val="center"/>
        </w:trPr>
        <w:tc>
          <w:tcPr>
            <w:tcW w:w="3840" w:type="dxa"/>
            <w:shd w:val="clear" w:color="auto" w:fill="auto"/>
            <w:noWrap/>
            <w:vAlign w:val="bottom"/>
            <w:hideMark/>
          </w:tcPr>
          <w:p w14:paraId="4C1DA0A2" w14:textId="77777777" w:rsidR="007C06E1" w:rsidRPr="001B5799" w:rsidRDefault="007C06E1" w:rsidP="00DB6FEA">
            <w:pPr>
              <w:spacing w:after="0" w:line="240" w:lineRule="auto"/>
              <w:rPr>
                <w:rFonts w:ascii="Calibri" w:eastAsia="Times New Roman" w:hAnsi="Calibri" w:cs="Calibri"/>
                <w:lang w:eastAsia="es-MX"/>
              </w:rPr>
            </w:pPr>
            <w:r w:rsidRPr="001B5799">
              <w:rPr>
                <w:rFonts w:ascii="Calibri" w:eastAsia="Times New Roman" w:hAnsi="Calibri" w:cs="Calibri"/>
                <w:lang w:eastAsia="es-MX"/>
              </w:rPr>
              <w:t>Poder Legislativo</w:t>
            </w:r>
          </w:p>
        </w:tc>
        <w:tc>
          <w:tcPr>
            <w:tcW w:w="1290" w:type="dxa"/>
            <w:shd w:val="clear" w:color="auto" w:fill="auto"/>
            <w:noWrap/>
            <w:vAlign w:val="center"/>
            <w:hideMark/>
          </w:tcPr>
          <w:p w14:paraId="27A8426A"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2</w:t>
            </w:r>
          </w:p>
        </w:tc>
        <w:tc>
          <w:tcPr>
            <w:tcW w:w="1412" w:type="dxa"/>
            <w:shd w:val="clear" w:color="auto" w:fill="auto"/>
            <w:noWrap/>
            <w:vAlign w:val="center"/>
            <w:hideMark/>
          </w:tcPr>
          <w:p w14:paraId="7D08B4FF"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1</w:t>
            </w:r>
          </w:p>
        </w:tc>
      </w:tr>
      <w:tr w:rsidR="007C06E1" w:rsidRPr="001B5799" w14:paraId="76A92CD2" w14:textId="77777777" w:rsidTr="00882B20">
        <w:trPr>
          <w:trHeight w:val="397"/>
          <w:jc w:val="center"/>
        </w:trPr>
        <w:tc>
          <w:tcPr>
            <w:tcW w:w="3840" w:type="dxa"/>
            <w:shd w:val="clear" w:color="auto" w:fill="auto"/>
            <w:noWrap/>
            <w:vAlign w:val="bottom"/>
            <w:hideMark/>
          </w:tcPr>
          <w:p w14:paraId="78BEFBB8" w14:textId="77777777" w:rsidR="007C06E1" w:rsidRPr="001B5799" w:rsidRDefault="007C06E1" w:rsidP="00DB6FEA">
            <w:pPr>
              <w:spacing w:after="0" w:line="240" w:lineRule="auto"/>
              <w:rPr>
                <w:rFonts w:ascii="Calibri" w:eastAsia="Times New Roman" w:hAnsi="Calibri" w:cs="Calibri"/>
                <w:lang w:eastAsia="es-MX"/>
              </w:rPr>
            </w:pPr>
            <w:r w:rsidRPr="001B5799">
              <w:rPr>
                <w:rFonts w:ascii="Calibri" w:eastAsia="Times New Roman" w:hAnsi="Calibri" w:cs="Calibri"/>
                <w:lang w:eastAsia="es-MX"/>
              </w:rPr>
              <w:t>Poder Judicial</w:t>
            </w:r>
          </w:p>
        </w:tc>
        <w:tc>
          <w:tcPr>
            <w:tcW w:w="1290" w:type="dxa"/>
            <w:shd w:val="clear" w:color="auto" w:fill="auto"/>
            <w:noWrap/>
            <w:vAlign w:val="center"/>
            <w:hideMark/>
          </w:tcPr>
          <w:p w14:paraId="51CBAFB0" w14:textId="77777777" w:rsidR="007C06E1" w:rsidRPr="001B5799" w:rsidRDefault="00774AFA" w:rsidP="00DB6FEA">
            <w:pPr>
              <w:spacing w:after="0" w:line="240" w:lineRule="auto"/>
              <w:jc w:val="center"/>
              <w:rPr>
                <w:rFonts w:ascii="Calibri" w:eastAsia="Times New Roman" w:hAnsi="Calibri" w:cs="Calibri"/>
                <w:lang w:eastAsia="es-MX"/>
              </w:rPr>
            </w:pPr>
            <w:r>
              <w:rPr>
                <w:rFonts w:ascii="Calibri" w:eastAsia="Times New Roman" w:hAnsi="Calibri" w:cs="Calibri"/>
                <w:lang w:eastAsia="es-MX"/>
              </w:rPr>
              <w:t>3</w:t>
            </w:r>
          </w:p>
        </w:tc>
        <w:tc>
          <w:tcPr>
            <w:tcW w:w="1412" w:type="dxa"/>
            <w:shd w:val="clear" w:color="auto" w:fill="auto"/>
            <w:noWrap/>
            <w:vAlign w:val="center"/>
            <w:hideMark/>
          </w:tcPr>
          <w:p w14:paraId="0E1FD7DF"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2</w:t>
            </w:r>
          </w:p>
        </w:tc>
      </w:tr>
      <w:tr w:rsidR="007C06E1" w:rsidRPr="001B5799" w14:paraId="4AD5C547" w14:textId="77777777" w:rsidTr="00882B20">
        <w:trPr>
          <w:trHeight w:val="397"/>
          <w:jc w:val="center"/>
        </w:trPr>
        <w:tc>
          <w:tcPr>
            <w:tcW w:w="3840" w:type="dxa"/>
            <w:shd w:val="clear" w:color="auto" w:fill="auto"/>
            <w:noWrap/>
            <w:vAlign w:val="bottom"/>
            <w:hideMark/>
          </w:tcPr>
          <w:p w14:paraId="532977F0" w14:textId="77777777" w:rsidR="007C06E1" w:rsidRPr="001B5799" w:rsidRDefault="007C06E1" w:rsidP="00DB6FEA">
            <w:pPr>
              <w:spacing w:after="0" w:line="240" w:lineRule="auto"/>
              <w:rPr>
                <w:rFonts w:ascii="Calibri" w:eastAsia="Times New Roman" w:hAnsi="Calibri" w:cs="Calibri"/>
                <w:lang w:eastAsia="es-MX"/>
              </w:rPr>
            </w:pPr>
            <w:r w:rsidRPr="001B5799">
              <w:rPr>
                <w:rFonts w:ascii="Calibri" w:eastAsia="Times New Roman" w:hAnsi="Calibri" w:cs="Calibri"/>
                <w:lang w:eastAsia="es-MX"/>
              </w:rPr>
              <w:t>Administración Pública Paraestatal</w:t>
            </w:r>
          </w:p>
        </w:tc>
        <w:tc>
          <w:tcPr>
            <w:tcW w:w="1290" w:type="dxa"/>
            <w:shd w:val="clear" w:color="auto" w:fill="auto"/>
            <w:noWrap/>
            <w:vAlign w:val="center"/>
            <w:hideMark/>
          </w:tcPr>
          <w:p w14:paraId="78EB1191"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9</w:t>
            </w:r>
            <w:r w:rsidR="00774AFA">
              <w:rPr>
                <w:rFonts w:ascii="Calibri" w:eastAsia="Times New Roman" w:hAnsi="Calibri" w:cs="Calibri"/>
                <w:lang w:eastAsia="es-MX"/>
              </w:rPr>
              <w:t>4</w:t>
            </w:r>
          </w:p>
        </w:tc>
        <w:tc>
          <w:tcPr>
            <w:tcW w:w="1412" w:type="dxa"/>
            <w:shd w:val="clear" w:color="auto" w:fill="auto"/>
            <w:noWrap/>
            <w:vAlign w:val="center"/>
            <w:hideMark/>
          </w:tcPr>
          <w:p w14:paraId="6D0DF0A4"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5</w:t>
            </w:r>
            <w:r w:rsidR="00774AFA">
              <w:rPr>
                <w:rFonts w:ascii="Calibri" w:eastAsia="Times New Roman" w:hAnsi="Calibri" w:cs="Calibri"/>
                <w:lang w:eastAsia="es-MX"/>
              </w:rPr>
              <w:t>9</w:t>
            </w:r>
          </w:p>
        </w:tc>
      </w:tr>
      <w:tr w:rsidR="007C06E1" w:rsidRPr="001B5799" w14:paraId="5F7BC090" w14:textId="77777777" w:rsidTr="00882B20">
        <w:trPr>
          <w:trHeight w:val="397"/>
          <w:jc w:val="center"/>
        </w:trPr>
        <w:tc>
          <w:tcPr>
            <w:tcW w:w="3840" w:type="dxa"/>
            <w:shd w:val="clear" w:color="auto" w:fill="auto"/>
            <w:noWrap/>
            <w:vAlign w:val="bottom"/>
            <w:hideMark/>
          </w:tcPr>
          <w:p w14:paraId="05FE1ED2" w14:textId="77777777" w:rsidR="007C06E1" w:rsidRPr="001B5799" w:rsidRDefault="007C06E1" w:rsidP="00DB6FEA">
            <w:pPr>
              <w:spacing w:after="0" w:line="240" w:lineRule="auto"/>
              <w:rPr>
                <w:rFonts w:ascii="Calibri" w:eastAsia="Times New Roman" w:hAnsi="Calibri" w:cs="Calibri"/>
                <w:lang w:eastAsia="es-MX"/>
              </w:rPr>
            </w:pPr>
            <w:r w:rsidRPr="001B5799">
              <w:rPr>
                <w:rFonts w:ascii="Calibri" w:eastAsia="Times New Roman" w:hAnsi="Calibri" w:cs="Calibri"/>
                <w:lang w:eastAsia="es-MX"/>
              </w:rPr>
              <w:t>Administración Pública Central</w:t>
            </w:r>
          </w:p>
        </w:tc>
        <w:tc>
          <w:tcPr>
            <w:tcW w:w="1290" w:type="dxa"/>
            <w:shd w:val="clear" w:color="auto" w:fill="auto"/>
            <w:noWrap/>
            <w:vAlign w:val="center"/>
            <w:hideMark/>
          </w:tcPr>
          <w:p w14:paraId="00F11298" w14:textId="77777777" w:rsidR="007C06E1" w:rsidRPr="001B5799" w:rsidRDefault="00774AFA" w:rsidP="00DB6FEA">
            <w:pPr>
              <w:spacing w:after="0" w:line="240" w:lineRule="auto"/>
              <w:jc w:val="center"/>
              <w:rPr>
                <w:rFonts w:ascii="Calibri" w:eastAsia="Times New Roman" w:hAnsi="Calibri" w:cs="Calibri"/>
                <w:lang w:eastAsia="es-MX"/>
              </w:rPr>
            </w:pPr>
            <w:r>
              <w:rPr>
                <w:rFonts w:ascii="Calibri" w:eastAsia="Times New Roman" w:hAnsi="Calibri" w:cs="Calibri"/>
                <w:lang w:eastAsia="es-MX"/>
              </w:rPr>
              <w:t>32</w:t>
            </w:r>
          </w:p>
        </w:tc>
        <w:tc>
          <w:tcPr>
            <w:tcW w:w="1412" w:type="dxa"/>
            <w:shd w:val="clear" w:color="auto" w:fill="auto"/>
            <w:noWrap/>
            <w:vAlign w:val="center"/>
            <w:hideMark/>
          </w:tcPr>
          <w:p w14:paraId="3B62FC74"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2</w:t>
            </w:r>
            <w:r w:rsidR="00774AFA">
              <w:rPr>
                <w:rFonts w:ascii="Calibri" w:eastAsia="Times New Roman" w:hAnsi="Calibri" w:cs="Calibri"/>
                <w:lang w:eastAsia="es-MX"/>
              </w:rPr>
              <w:t>7</w:t>
            </w:r>
          </w:p>
        </w:tc>
      </w:tr>
      <w:tr w:rsidR="007C06E1" w:rsidRPr="001B5799" w14:paraId="4F21351C" w14:textId="77777777" w:rsidTr="00882B20">
        <w:trPr>
          <w:trHeight w:val="397"/>
          <w:jc w:val="center"/>
        </w:trPr>
        <w:tc>
          <w:tcPr>
            <w:tcW w:w="3840" w:type="dxa"/>
            <w:shd w:val="clear" w:color="auto" w:fill="auto"/>
            <w:noWrap/>
            <w:vAlign w:val="bottom"/>
            <w:hideMark/>
          </w:tcPr>
          <w:p w14:paraId="29973220" w14:textId="77777777" w:rsidR="007C06E1" w:rsidRPr="001B5799" w:rsidRDefault="007C06E1" w:rsidP="00DB6FEA">
            <w:pPr>
              <w:spacing w:after="0" w:line="240" w:lineRule="auto"/>
              <w:rPr>
                <w:rFonts w:ascii="Calibri" w:eastAsia="Times New Roman" w:hAnsi="Calibri" w:cs="Calibri"/>
                <w:lang w:eastAsia="es-MX"/>
              </w:rPr>
            </w:pPr>
            <w:r w:rsidRPr="001B5799">
              <w:rPr>
                <w:rFonts w:ascii="Calibri" w:eastAsia="Times New Roman" w:hAnsi="Calibri" w:cs="Calibri"/>
                <w:lang w:eastAsia="es-MX"/>
              </w:rPr>
              <w:t>Órganos Autónomos</w:t>
            </w:r>
          </w:p>
        </w:tc>
        <w:tc>
          <w:tcPr>
            <w:tcW w:w="1290" w:type="dxa"/>
            <w:shd w:val="clear" w:color="auto" w:fill="auto"/>
            <w:noWrap/>
            <w:vAlign w:val="center"/>
            <w:hideMark/>
          </w:tcPr>
          <w:p w14:paraId="286AB8FD"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1</w:t>
            </w:r>
            <w:r w:rsidR="00774AFA">
              <w:rPr>
                <w:rFonts w:ascii="Calibri" w:eastAsia="Times New Roman" w:hAnsi="Calibri" w:cs="Calibri"/>
                <w:lang w:eastAsia="es-MX"/>
              </w:rPr>
              <w:t>3</w:t>
            </w:r>
          </w:p>
        </w:tc>
        <w:tc>
          <w:tcPr>
            <w:tcW w:w="1412" w:type="dxa"/>
            <w:shd w:val="clear" w:color="auto" w:fill="auto"/>
            <w:noWrap/>
            <w:vAlign w:val="center"/>
            <w:hideMark/>
          </w:tcPr>
          <w:p w14:paraId="214780B4" w14:textId="77777777" w:rsidR="007C06E1" w:rsidRPr="001B5799" w:rsidRDefault="00774AFA" w:rsidP="00DB6FEA">
            <w:pPr>
              <w:spacing w:after="0" w:line="240" w:lineRule="auto"/>
              <w:jc w:val="center"/>
              <w:rPr>
                <w:rFonts w:ascii="Calibri" w:eastAsia="Times New Roman" w:hAnsi="Calibri" w:cs="Calibri"/>
                <w:lang w:eastAsia="es-MX"/>
              </w:rPr>
            </w:pPr>
            <w:r>
              <w:rPr>
                <w:rFonts w:ascii="Calibri" w:eastAsia="Times New Roman" w:hAnsi="Calibri" w:cs="Calibri"/>
                <w:lang w:eastAsia="es-MX"/>
              </w:rPr>
              <w:t>9</w:t>
            </w:r>
          </w:p>
        </w:tc>
      </w:tr>
      <w:tr w:rsidR="007C06E1" w:rsidRPr="001B5799" w14:paraId="4753CC88" w14:textId="77777777" w:rsidTr="00882B20">
        <w:trPr>
          <w:trHeight w:val="397"/>
          <w:jc w:val="center"/>
        </w:trPr>
        <w:tc>
          <w:tcPr>
            <w:tcW w:w="3840" w:type="dxa"/>
            <w:shd w:val="clear" w:color="auto" w:fill="auto"/>
            <w:noWrap/>
            <w:vAlign w:val="bottom"/>
            <w:hideMark/>
          </w:tcPr>
          <w:p w14:paraId="47FF4418" w14:textId="77777777" w:rsidR="007C06E1" w:rsidRPr="001B5799" w:rsidRDefault="007C06E1" w:rsidP="00DB6FEA">
            <w:pPr>
              <w:spacing w:after="0" w:line="240" w:lineRule="auto"/>
              <w:rPr>
                <w:rFonts w:ascii="Calibri" w:eastAsia="Times New Roman" w:hAnsi="Calibri" w:cs="Calibri"/>
                <w:lang w:eastAsia="es-MX"/>
              </w:rPr>
            </w:pPr>
            <w:r w:rsidRPr="001B5799">
              <w:rPr>
                <w:rFonts w:ascii="Calibri" w:eastAsia="Times New Roman" w:hAnsi="Calibri" w:cs="Calibri"/>
                <w:lang w:eastAsia="es-MX"/>
              </w:rPr>
              <w:t>Ayuntamientos</w:t>
            </w:r>
          </w:p>
        </w:tc>
        <w:tc>
          <w:tcPr>
            <w:tcW w:w="1290" w:type="dxa"/>
            <w:shd w:val="clear" w:color="auto" w:fill="auto"/>
            <w:noWrap/>
            <w:vAlign w:val="center"/>
            <w:hideMark/>
          </w:tcPr>
          <w:p w14:paraId="26E42D27" w14:textId="77777777" w:rsidR="007C06E1" w:rsidRPr="001B5799" w:rsidRDefault="00774AFA" w:rsidP="00DB6FEA">
            <w:pPr>
              <w:spacing w:after="0" w:line="240" w:lineRule="auto"/>
              <w:jc w:val="center"/>
              <w:rPr>
                <w:rFonts w:ascii="Calibri" w:eastAsia="Times New Roman" w:hAnsi="Calibri" w:cs="Calibri"/>
                <w:lang w:eastAsia="es-MX"/>
              </w:rPr>
            </w:pPr>
            <w:r>
              <w:rPr>
                <w:rFonts w:ascii="Calibri" w:eastAsia="Times New Roman" w:hAnsi="Calibri" w:cs="Calibri"/>
                <w:lang w:eastAsia="es-MX"/>
              </w:rPr>
              <w:t>65</w:t>
            </w:r>
          </w:p>
        </w:tc>
        <w:tc>
          <w:tcPr>
            <w:tcW w:w="1412" w:type="dxa"/>
            <w:shd w:val="clear" w:color="auto" w:fill="auto"/>
            <w:noWrap/>
            <w:vAlign w:val="center"/>
            <w:hideMark/>
          </w:tcPr>
          <w:p w14:paraId="1AA5023E" w14:textId="77777777" w:rsidR="007C06E1" w:rsidRPr="001B5799" w:rsidRDefault="00774AFA" w:rsidP="00DB6FEA">
            <w:pPr>
              <w:spacing w:after="0" w:line="240" w:lineRule="auto"/>
              <w:jc w:val="center"/>
              <w:rPr>
                <w:rFonts w:ascii="Calibri" w:eastAsia="Times New Roman" w:hAnsi="Calibri" w:cs="Calibri"/>
                <w:lang w:eastAsia="es-MX"/>
              </w:rPr>
            </w:pPr>
            <w:r>
              <w:rPr>
                <w:rFonts w:ascii="Calibri" w:eastAsia="Times New Roman" w:hAnsi="Calibri" w:cs="Calibri"/>
                <w:lang w:eastAsia="es-MX"/>
              </w:rPr>
              <w:t>29</w:t>
            </w:r>
          </w:p>
        </w:tc>
      </w:tr>
      <w:tr w:rsidR="007C06E1" w:rsidRPr="001B5799" w14:paraId="22DEE9C0" w14:textId="77777777" w:rsidTr="00882B20">
        <w:trPr>
          <w:trHeight w:val="397"/>
          <w:jc w:val="center"/>
        </w:trPr>
        <w:tc>
          <w:tcPr>
            <w:tcW w:w="3840" w:type="dxa"/>
            <w:tcBorders>
              <w:bottom w:val="single" w:sz="4" w:space="0" w:color="D9D9D9" w:themeColor="background1" w:themeShade="D9"/>
            </w:tcBorders>
            <w:shd w:val="clear" w:color="auto" w:fill="auto"/>
            <w:noWrap/>
            <w:vAlign w:val="bottom"/>
            <w:hideMark/>
          </w:tcPr>
          <w:p w14:paraId="74DA463C" w14:textId="77777777" w:rsidR="007C06E1" w:rsidRPr="001B5799" w:rsidRDefault="007C06E1" w:rsidP="00DB6FEA">
            <w:pPr>
              <w:spacing w:after="0" w:line="240" w:lineRule="auto"/>
              <w:rPr>
                <w:rFonts w:ascii="Calibri" w:eastAsia="Times New Roman" w:hAnsi="Calibri" w:cs="Calibri"/>
                <w:lang w:eastAsia="es-MX"/>
              </w:rPr>
            </w:pPr>
            <w:r w:rsidRPr="001B5799">
              <w:rPr>
                <w:rFonts w:ascii="Calibri" w:eastAsia="Times New Roman" w:hAnsi="Calibri" w:cs="Calibri"/>
                <w:lang w:eastAsia="es-MX"/>
              </w:rPr>
              <w:t>Administración Pública Paramunicipal</w:t>
            </w:r>
          </w:p>
        </w:tc>
        <w:tc>
          <w:tcPr>
            <w:tcW w:w="1290" w:type="dxa"/>
            <w:tcBorders>
              <w:bottom w:val="single" w:sz="4" w:space="0" w:color="D9D9D9" w:themeColor="background1" w:themeShade="D9"/>
            </w:tcBorders>
            <w:shd w:val="clear" w:color="auto" w:fill="auto"/>
            <w:noWrap/>
            <w:vAlign w:val="center"/>
            <w:hideMark/>
          </w:tcPr>
          <w:p w14:paraId="74C55AEA"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3</w:t>
            </w:r>
            <w:r w:rsidR="00774AFA">
              <w:rPr>
                <w:rFonts w:ascii="Calibri" w:eastAsia="Times New Roman" w:hAnsi="Calibri" w:cs="Calibri"/>
                <w:lang w:eastAsia="es-MX"/>
              </w:rPr>
              <w:t>5</w:t>
            </w:r>
          </w:p>
        </w:tc>
        <w:tc>
          <w:tcPr>
            <w:tcW w:w="1412" w:type="dxa"/>
            <w:tcBorders>
              <w:bottom w:val="single" w:sz="4" w:space="0" w:color="D9D9D9" w:themeColor="background1" w:themeShade="D9"/>
            </w:tcBorders>
            <w:shd w:val="clear" w:color="auto" w:fill="auto"/>
            <w:noWrap/>
            <w:vAlign w:val="center"/>
            <w:hideMark/>
          </w:tcPr>
          <w:p w14:paraId="523DAB3B" w14:textId="77777777" w:rsidR="007C06E1" w:rsidRPr="001B5799" w:rsidRDefault="007C06E1" w:rsidP="00DB6FEA">
            <w:pPr>
              <w:spacing w:after="0" w:line="240" w:lineRule="auto"/>
              <w:jc w:val="center"/>
              <w:rPr>
                <w:rFonts w:ascii="Calibri" w:eastAsia="Times New Roman" w:hAnsi="Calibri" w:cs="Calibri"/>
                <w:lang w:eastAsia="es-MX"/>
              </w:rPr>
            </w:pPr>
            <w:r w:rsidRPr="001B5799">
              <w:rPr>
                <w:rFonts w:ascii="Calibri" w:eastAsia="Times New Roman" w:hAnsi="Calibri" w:cs="Calibri"/>
                <w:lang w:eastAsia="es-MX"/>
              </w:rPr>
              <w:t>2</w:t>
            </w:r>
            <w:r w:rsidR="00774AFA">
              <w:rPr>
                <w:rFonts w:ascii="Calibri" w:eastAsia="Times New Roman" w:hAnsi="Calibri" w:cs="Calibri"/>
                <w:lang w:eastAsia="es-MX"/>
              </w:rPr>
              <w:t>5</w:t>
            </w:r>
          </w:p>
        </w:tc>
      </w:tr>
      <w:tr w:rsidR="00382312" w:rsidRPr="001B5799" w14:paraId="47668B4E" w14:textId="77777777" w:rsidTr="00882B20">
        <w:trPr>
          <w:trHeight w:val="397"/>
          <w:jc w:val="center"/>
        </w:trPr>
        <w:tc>
          <w:tcPr>
            <w:tcW w:w="3840" w:type="dxa"/>
            <w:shd w:val="clear" w:color="auto" w:fill="auto"/>
            <w:noWrap/>
            <w:vAlign w:val="center"/>
            <w:hideMark/>
          </w:tcPr>
          <w:p w14:paraId="5CBA3321" w14:textId="77777777" w:rsidR="00382312" w:rsidRPr="00382312" w:rsidRDefault="00382312" w:rsidP="00382312">
            <w:pPr>
              <w:spacing w:after="0" w:line="240" w:lineRule="auto"/>
              <w:jc w:val="right"/>
              <w:rPr>
                <w:rFonts w:ascii="Times New Roman" w:eastAsia="Times New Roman" w:hAnsi="Times New Roman" w:cs="Times New Roman"/>
                <w:b/>
                <w:sz w:val="20"/>
                <w:szCs w:val="20"/>
                <w:lang w:eastAsia="es-MX"/>
              </w:rPr>
            </w:pPr>
            <w:r w:rsidRPr="00382312">
              <w:rPr>
                <w:rFonts w:ascii="Calibri" w:eastAsia="Times New Roman" w:hAnsi="Calibri" w:cs="Calibri"/>
                <w:b/>
                <w:lang w:eastAsia="es-MX"/>
              </w:rPr>
              <w:t>Totales</w:t>
            </w:r>
          </w:p>
        </w:tc>
        <w:tc>
          <w:tcPr>
            <w:tcW w:w="1290" w:type="dxa"/>
            <w:shd w:val="clear" w:color="auto" w:fill="auto"/>
            <w:noWrap/>
            <w:vAlign w:val="center"/>
            <w:hideMark/>
          </w:tcPr>
          <w:p w14:paraId="6E4864A8" w14:textId="77777777" w:rsidR="00382312" w:rsidRPr="00382312" w:rsidRDefault="00382312" w:rsidP="00DB6FEA">
            <w:pPr>
              <w:spacing w:after="0" w:line="240" w:lineRule="auto"/>
              <w:jc w:val="center"/>
              <w:rPr>
                <w:rFonts w:ascii="Calibri" w:eastAsia="Times New Roman" w:hAnsi="Calibri" w:cs="Calibri"/>
                <w:b/>
                <w:lang w:eastAsia="es-MX"/>
              </w:rPr>
            </w:pPr>
            <w:r w:rsidRPr="00382312">
              <w:rPr>
                <w:rFonts w:ascii="Calibri" w:eastAsia="Times New Roman" w:hAnsi="Calibri" w:cs="Calibri"/>
                <w:b/>
                <w:lang w:eastAsia="es-MX"/>
              </w:rPr>
              <w:t>24</w:t>
            </w:r>
            <w:r w:rsidR="00774AFA">
              <w:rPr>
                <w:rFonts w:ascii="Calibri" w:eastAsia="Times New Roman" w:hAnsi="Calibri" w:cs="Calibri"/>
                <w:b/>
                <w:lang w:eastAsia="es-MX"/>
              </w:rPr>
              <w:t>7</w:t>
            </w:r>
          </w:p>
        </w:tc>
        <w:tc>
          <w:tcPr>
            <w:tcW w:w="1412" w:type="dxa"/>
            <w:shd w:val="clear" w:color="auto" w:fill="auto"/>
            <w:noWrap/>
            <w:vAlign w:val="center"/>
            <w:hideMark/>
          </w:tcPr>
          <w:p w14:paraId="6A4A81E8" w14:textId="77777777" w:rsidR="00382312" w:rsidRPr="00382312" w:rsidRDefault="00382312" w:rsidP="00DB6FEA">
            <w:pPr>
              <w:spacing w:after="0" w:line="240" w:lineRule="auto"/>
              <w:jc w:val="center"/>
              <w:rPr>
                <w:rFonts w:ascii="Calibri" w:eastAsia="Times New Roman" w:hAnsi="Calibri" w:cs="Calibri"/>
                <w:b/>
                <w:lang w:eastAsia="es-MX"/>
              </w:rPr>
            </w:pPr>
            <w:r w:rsidRPr="00382312">
              <w:rPr>
                <w:rFonts w:ascii="Calibri" w:eastAsia="Times New Roman" w:hAnsi="Calibri" w:cs="Calibri"/>
                <w:b/>
                <w:lang w:eastAsia="es-MX"/>
              </w:rPr>
              <w:t>15</w:t>
            </w:r>
            <w:r w:rsidR="00774AFA">
              <w:rPr>
                <w:rFonts w:ascii="Calibri" w:eastAsia="Times New Roman" w:hAnsi="Calibri" w:cs="Calibri"/>
                <w:b/>
                <w:lang w:eastAsia="es-MX"/>
              </w:rPr>
              <w:t>3</w:t>
            </w:r>
          </w:p>
        </w:tc>
      </w:tr>
      <w:tr w:rsidR="00382312" w:rsidRPr="001B5799" w14:paraId="10BB739A" w14:textId="77777777" w:rsidTr="00882B20">
        <w:trPr>
          <w:trHeight w:val="397"/>
          <w:jc w:val="center"/>
        </w:trPr>
        <w:tc>
          <w:tcPr>
            <w:tcW w:w="6542" w:type="dxa"/>
            <w:gridSpan w:val="3"/>
            <w:tcBorders>
              <w:bottom w:val="single" w:sz="4" w:space="0" w:color="D9D9D9" w:themeColor="background1" w:themeShade="D9"/>
            </w:tcBorders>
            <w:shd w:val="clear" w:color="auto" w:fill="auto"/>
            <w:noWrap/>
            <w:vAlign w:val="center"/>
          </w:tcPr>
          <w:p w14:paraId="43FB0A00" w14:textId="77777777" w:rsidR="00382312" w:rsidRPr="00F24C0C" w:rsidRDefault="00382312" w:rsidP="00156241">
            <w:pPr>
              <w:spacing w:after="0"/>
              <w:jc w:val="center"/>
              <w:rPr>
                <w:rFonts w:ascii="Arial" w:hAnsi="Arial" w:cs="Arial"/>
                <w:b/>
                <w:i/>
                <w:color w:val="000000" w:themeColor="text1"/>
                <w:sz w:val="18"/>
                <w:szCs w:val="24"/>
              </w:rPr>
            </w:pPr>
            <w:r w:rsidRPr="00F24C0C">
              <w:rPr>
                <w:rFonts w:ascii="Arial" w:hAnsi="Arial" w:cs="Arial"/>
                <w:b/>
                <w:i/>
                <w:noProof/>
                <w:color w:val="000000" w:themeColor="text1"/>
                <w:sz w:val="18"/>
                <w:szCs w:val="16"/>
                <w:lang w:eastAsia="es-MX"/>
              </w:rPr>
              <w:t>Tabla N°</w:t>
            </w:r>
            <w:r w:rsidR="00156241">
              <w:rPr>
                <w:rFonts w:ascii="Arial" w:hAnsi="Arial" w:cs="Arial"/>
                <w:b/>
                <w:i/>
                <w:noProof/>
                <w:color w:val="000000" w:themeColor="text1"/>
                <w:sz w:val="18"/>
                <w:szCs w:val="16"/>
                <w:lang w:eastAsia="es-MX"/>
              </w:rPr>
              <w:t>10</w:t>
            </w:r>
            <w:r w:rsidRPr="00F24C0C">
              <w:rPr>
                <w:rFonts w:ascii="Arial" w:hAnsi="Arial" w:cs="Arial"/>
                <w:b/>
                <w:i/>
                <w:noProof/>
                <w:color w:val="000000" w:themeColor="text1"/>
                <w:sz w:val="18"/>
                <w:szCs w:val="16"/>
                <w:lang w:eastAsia="es-MX"/>
              </w:rPr>
              <w:t>:</w:t>
            </w:r>
            <w:r w:rsidRPr="00F24C0C">
              <w:rPr>
                <w:rFonts w:ascii="Arial" w:hAnsi="Arial" w:cs="Arial"/>
                <w:i/>
                <w:noProof/>
                <w:color w:val="000000" w:themeColor="text1"/>
                <w:sz w:val="18"/>
                <w:szCs w:val="16"/>
                <w:lang w:eastAsia="es-MX"/>
              </w:rPr>
              <w:t xml:space="preserve"> Elaboración propia.</w:t>
            </w:r>
          </w:p>
        </w:tc>
      </w:tr>
    </w:tbl>
    <w:p w14:paraId="024E8702" w14:textId="77777777" w:rsidR="00243107" w:rsidRDefault="00243107" w:rsidP="00D232C2">
      <w:pPr>
        <w:rPr>
          <w:rFonts w:ascii="Arial" w:hAnsi="Arial" w:cs="Arial"/>
          <w:sz w:val="24"/>
          <w:szCs w:val="24"/>
        </w:rPr>
      </w:pPr>
    </w:p>
    <w:p w14:paraId="199E03B6" w14:textId="77777777" w:rsidR="001F02EC" w:rsidRDefault="00AD2DF5" w:rsidP="00D232C2">
      <w:pPr>
        <w:rPr>
          <w:rFonts w:ascii="Arial" w:hAnsi="Arial" w:cs="Arial"/>
          <w:sz w:val="24"/>
          <w:szCs w:val="24"/>
        </w:rPr>
      </w:pPr>
      <w:r>
        <w:rPr>
          <w:noProof/>
          <w:lang w:eastAsia="es-MX"/>
        </w:rPr>
        <w:drawing>
          <wp:inline distT="0" distB="0" distL="0" distR="0" wp14:anchorId="708EF4C5" wp14:editId="37511264">
            <wp:extent cx="5612130" cy="4427220"/>
            <wp:effectExtent l="0" t="0" r="7620" b="1143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01287F" w14:textId="77777777" w:rsidR="00050296" w:rsidRPr="00F24C0C" w:rsidRDefault="00D55C54" w:rsidP="00382312">
      <w:pPr>
        <w:jc w:val="center"/>
        <w:rPr>
          <w:rFonts w:ascii="Arial" w:hAnsi="Arial" w:cs="Arial"/>
          <w:sz w:val="28"/>
          <w:szCs w:val="24"/>
        </w:rPr>
      </w:pPr>
      <w:r w:rsidRPr="00F24C0C">
        <w:rPr>
          <w:rFonts w:ascii="Arial" w:hAnsi="Arial" w:cs="Arial"/>
          <w:b/>
          <w:sz w:val="18"/>
          <w:szCs w:val="16"/>
        </w:rPr>
        <w:t>Gráfica N</w:t>
      </w:r>
      <w:r w:rsidR="00382312" w:rsidRPr="00F24C0C">
        <w:rPr>
          <w:rFonts w:ascii="Arial" w:hAnsi="Arial" w:cs="Arial"/>
          <w:b/>
          <w:sz w:val="18"/>
          <w:szCs w:val="16"/>
        </w:rPr>
        <w:t xml:space="preserve">° </w:t>
      </w:r>
      <w:r w:rsidRPr="00F24C0C">
        <w:rPr>
          <w:rFonts w:ascii="Arial" w:hAnsi="Arial" w:cs="Arial"/>
          <w:b/>
          <w:sz w:val="18"/>
          <w:szCs w:val="16"/>
        </w:rPr>
        <w:t>9</w:t>
      </w:r>
      <w:r w:rsidR="00382312" w:rsidRPr="00F24C0C">
        <w:rPr>
          <w:rFonts w:ascii="Arial" w:hAnsi="Arial" w:cs="Arial"/>
          <w:b/>
          <w:sz w:val="18"/>
          <w:szCs w:val="16"/>
        </w:rPr>
        <w:t>:</w:t>
      </w:r>
      <w:r w:rsidR="00382312" w:rsidRPr="00F24C0C">
        <w:rPr>
          <w:rFonts w:ascii="Arial" w:hAnsi="Arial" w:cs="Arial"/>
          <w:sz w:val="18"/>
          <w:szCs w:val="16"/>
        </w:rPr>
        <w:t xml:space="preserve"> Elaboración propia.</w:t>
      </w:r>
    </w:p>
    <w:p w14:paraId="6D7B76A3" w14:textId="77777777" w:rsidR="00882B20" w:rsidRDefault="00882B20" w:rsidP="00D232C2">
      <w:pPr>
        <w:rPr>
          <w:rFonts w:ascii="Arial" w:hAnsi="Arial" w:cs="Arial"/>
          <w:sz w:val="24"/>
          <w:szCs w:val="24"/>
        </w:rPr>
        <w:sectPr w:rsidR="00882B20" w:rsidSect="00747D75">
          <w:headerReference w:type="default" r:id="rId25"/>
          <w:footerReference w:type="default" r:id="rId26"/>
          <w:pgSz w:w="12240" w:h="15840"/>
          <w:pgMar w:top="1404" w:right="1701" w:bottom="993" w:left="1701" w:header="426" w:footer="708" w:gutter="0"/>
          <w:pgNumType w:start="14"/>
          <w:cols w:space="708"/>
          <w:docGrid w:linePitch="360"/>
        </w:sectPr>
      </w:pPr>
    </w:p>
    <w:p w14:paraId="348337A3" w14:textId="77777777" w:rsidR="00243107" w:rsidRDefault="00243107" w:rsidP="00D232C2">
      <w:pPr>
        <w:rPr>
          <w:rFonts w:ascii="Arial" w:hAnsi="Arial" w:cs="Arial"/>
          <w:sz w:val="24"/>
          <w:szCs w:val="24"/>
        </w:rPr>
      </w:pPr>
    </w:p>
    <w:p w14:paraId="28FA3BC3" w14:textId="77777777" w:rsidR="002552FD" w:rsidRDefault="00FD4225" w:rsidP="00D232C2">
      <w:pPr>
        <w:rPr>
          <w:rFonts w:ascii="Arial" w:hAnsi="Arial" w:cs="Arial"/>
          <w:sz w:val="24"/>
          <w:szCs w:val="24"/>
        </w:rPr>
        <w:sectPr w:rsidR="002552FD" w:rsidSect="00747D75">
          <w:headerReference w:type="default" r:id="rId27"/>
          <w:footerReference w:type="default" r:id="rId28"/>
          <w:pgSz w:w="12240" w:h="15840"/>
          <w:pgMar w:top="1404" w:right="1701" w:bottom="993" w:left="1701" w:header="426" w:footer="708" w:gutter="0"/>
          <w:cols w:space="708"/>
          <w:docGrid w:linePitch="360"/>
        </w:sectPr>
      </w:pPr>
      <w:r w:rsidRPr="00D232C2">
        <w:rPr>
          <w:rFonts w:ascii="Arial" w:hAnsi="Arial" w:cs="Arial"/>
          <w:sz w:val="24"/>
          <w:szCs w:val="24"/>
        </w:rPr>
        <w:t xml:space="preserve"> </w:t>
      </w:r>
    </w:p>
    <w:p w14:paraId="22D36FA0" w14:textId="77777777" w:rsidR="00215A85" w:rsidRDefault="00215A85" w:rsidP="00D232C2">
      <w:pPr>
        <w:rPr>
          <w:rFonts w:ascii="Arial" w:hAnsi="Arial" w:cs="Arial"/>
          <w:sz w:val="24"/>
          <w:szCs w:val="24"/>
        </w:rPr>
      </w:pPr>
    </w:p>
    <w:p w14:paraId="246E010D" w14:textId="77777777" w:rsidR="00542B56" w:rsidRDefault="00542B56" w:rsidP="00D232C2">
      <w:pPr>
        <w:rPr>
          <w:rFonts w:ascii="Arial" w:hAnsi="Arial" w:cs="Arial"/>
          <w:sz w:val="24"/>
          <w:szCs w:val="24"/>
        </w:rPr>
      </w:pPr>
    </w:p>
    <w:p w14:paraId="2B2B24D8" w14:textId="77777777" w:rsidR="00542B56" w:rsidRDefault="00542B56" w:rsidP="00D232C2">
      <w:pPr>
        <w:rPr>
          <w:rFonts w:ascii="Arial" w:hAnsi="Arial" w:cs="Arial"/>
          <w:sz w:val="24"/>
          <w:szCs w:val="24"/>
        </w:rPr>
      </w:pPr>
    </w:p>
    <w:p w14:paraId="31313322" w14:textId="77777777" w:rsidR="00542B56" w:rsidRDefault="00542B56" w:rsidP="00D232C2">
      <w:pPr>
        <w:rPr>
          <w:rFonts w:ascii="Arial" w:hAnsi="Arial" w:cs="Arial"/>
          <w:sz w:val="24"/>
          <w:szCs w:val="24"/>
        </w:rPr>
      </w:pPr>
    </w:p>
    <w:p w14:paraId="47836FD3" w14:textId="77777777" w:rsidR="00D65ADB" w:rsidRDefault="00D65ADB" w:rsidP="00D232C2">
      <w:pPr>
        <w:rPr>
          <w:rFonts w:ascii="Arial" w:hAnsi="Arial" w:cs="Arial"/>
          <w:sz w:val="24"/>
          <w:szCs w:val="24"/>
        </w:rPr>
      </w:pPr>
    </w:p>
    <w:p w14:paraId="1865CEA4" w14:textId="77777777" w:rsidR="00542B56" w:rsidRDefault="00542B56" w:rsidP="00D232C2">
      <w:pPr>
        <w:rPr>
          <w:rFonts w:ascii="Arial" w:hAnsi="Arial" w:cs="Arial"/>
          <w:sz w:val="24"/>
          <w:szCs w:val="24"/>
        </w:rPr>
      </w:pPr>
    </w:p>
    <w:p w14:paraId="14B52D04" w14:textId="77777777" w:rsidR="00542B56" w:rsidRDefault="00542B56" w:rsidP="00D232C2">
      <w:pPr>
        <w:rPr>
          <w:rFonts w:ascii="Arial" w:hAnsi="Arial" w:cs="Arial"/>
          <w:sz w:val="24"/>
          <w:szCs w:val="24"/>
        </w:rPr>
      </w:pPr>
    </w:p>
    <w:p w14:paraId="058CB837" w14:textId="77777777" w:rsidR="00542B56" w:rsidRDefault="00542B56" w:rsidP="00D232C2">
      <w:pPr>
        <w:rPr>
          <w:rFonts w:ascii="Arial" w:hAnsi="Arial" w:cs="Arial"/>
          <w:sz w:val="24"/>
          <w:szCs w:val="24"/>
        </w:rPr>
      </w:pPr>
    </w:p>
    <w:p w14:paraId="0283CD95" w14:textId="77777777" w:rsidR="00542B56" w:rsidRPr="00D232C2" w:rsidRDefault="00542B56" w:rsidP="008E2DB4">
      <w:pPr>
        <w:rPr>
          <w:rFonts w:ascii="Arial" w:hAnsi="Arial" w:cs="Arial"/>
          <w:sz w:val="24"/>
          <w:szCs w:val="24"/>
        </w:rPr>
      </w:pPr>
    </w:p>
    <w:p w14:paraId="15727811" w14:textId="77777777" w:rsidR="001E130C" w:rsidRDefault="00FD4225" w:rsidP="001E130C">
      <w:pPr>
        <w:pStyle w:val="Ttulo1"/>
        <w:spacing w:before="0" w:line="240" w:lineRule="auto"/>
        <w:jc w:val="center"/>
        <w:rPr>
          <w:rFonts w:ascii="Arial" w:eastAsia="Arial" w:hAnsi="Arial" w:cs="Arial"/>
          <w:b/>
          <w:color w:val="auto"/>
          <w:sz w:val="40"/>
          <w:szCs w:val="24"/>
          <w:lang w:val="es-ES" w:eastAsia="es-ES" w:bidi="es-ES"/>
        </w:rPr>
      </w:pPr>
      <w:bookmarkStart w:id="21" w:name="_Toc158567482"/>
      <w:r w:rsidRPr="005F2283">
        <w:rPr>
          <w:rFonts w:ascii="Arial" w:eastAsia="Arial" w:hAnsi="Arial" w:cs="Arial"/>
          <w:b/>
          <w:color w:val="auto"/>
          <w:sz w:val="40"/>
          <w:szCs w:val="24"/>
          <w:lang w:val="es-ES" w:eastAsia="es-ES" w:bidi="es-ES"/>
        </w:rPr>
        <w:t>CAPÍTULO 2</w:t>
      </w:r>
      <w:bookmarkEnd w:id="21"/>
    </w:p>
    <w:p w14:paraId="6374DAB9" w14:textId="77777777" w:rsidR="00215A85" w:rsidRPr="005F2283" w:rsidRDefault="00E75BF2" w:rsidP="001E130C">
      <w:pPr>
        <w:pStyle w:val="Ttulo1"/>
        <w:spacing w:before="0" w:line="240" w:lineRule="auto"/>
        <w:jc w:val="center"/>
        <w:rPr>
          <w:rFonts w:ascii="Arial" w:eastAsia="Arial" w:hAnsi="Arial" w:cs="Arial"/>
          <w:b/>
          <w:color w:val="auto"/>
          <w:sz w:val="40"/>
          <w:szCs w:val="24"/>
          <w:lang w:val="es-ES" w:eastAsia="es-ES" w:bidi="es-ES"/>
        </w:rPr>
      </w:pPr>
      <w:bookmarkStart w:id="22" w:name="_Toc158567483"/>
      <w:r w:rsidRPr="005F2283">
        <w:rPr>
          <w:rFonts w:ascii="Arial" w:eastAsia="Arial" w:hAnsi="Arial" w:cs="Arial"/>
          <w:b/>
          <w:color w:val="auto"/>
          <w:sz w:val="40"/>
          <w:szCs w:val="24"/>
          <w:lang w:val="es-ES" w:eastAsia="es-ES" w:bidi="es-ES"/>
        </w:rPr>
        <w:t>Áreas Clave de Riesgo</w:t>
      </w:r>
      <w:bookmarkEnd w:id="22"/>
    </w:p>
    <w:p w14:paraId="14F7E50B" w14:textId="77777777" w:rsidR="005B2706" w:rsidRDefault="005B2706" w:rsidP="00156241">
      <w:pPr>
        <w:spacing w:before="240"/>
        <w:jc w:val="center"/>
        <w:rPr>
          <w:rFonts w:ascii="Arial" w:hAnsi="Arial" w:cs="Arial"/>
          <w:sz w:val="24"/>
          <w:szCs w:val="24"/>
        </w:rPr>
      </w:pPr>
      <w:r w:rsidRPr="00D65ADB">
        <w:rPr>
          <w:rFonts w:ascii="Arial" w:eastAsia="Arial" w:hAnsi="Arial" w:cs="Arial"/>
          <w:sz w:val="28"/>
          <w:szCs w:val="20"/>
          <w:lang w:val="es-ES" w:eastAsia="es-ES" w:bidi="es-ES"/>
        </w:rPr>
        <w:t>Cumplimiento de la Fracción II, artículo 36 de la LFRCEQROO</w:t>
      </w:r>
    </w:p>
    <w:p w14:paraId="051A97D0" w14:textId="77777777" w:rsidR="005F0D5E" w:rsidRDefault="005F0D5E" w:rsidP="008E2DB4">
      <w:pPr>
        <w:rPr>
          <w:rFonts w:ascii="Arial" w:hAnsi="Arial" w:cs="Arial"/>
          <w:sz w:val="24"/>
          <w:szCs w:val="24"/>
        </w:rPr>
      </w:pPr>
    </w:p>
    <w:p w14:paraId="683EBE9B" w14:textId="77777777" w:rsidR="005F0D5E" w:rsidRDefault="005F0D5E" w:rsidP="005B2706">
      <w:pPr>
        <w:rPr>
          <w:rFonts w:ascii="Arial" w:hAnsi="Arial" w:cs="Arial"/>
          <w:sz w:val="24"/>
          <w:szCs w:val="24"/>
        </w:rPr>
      </w:pPr>
    </w:p>
    <w:p w14:paraId="4A233B6A" w14:textId="77777777" w:rsidR="005F0D5E" w:rsidRDefault="005F0D5E" w:rsidP="005B2706">
      <w:pPr>
        <w:rPr>
          <w:rFonts w:ascii="Arial" w:hAnsi="Arial" w:cs="Arial"/>
          <w:sz w:val="24"/>
          <w:szCs w:val="24"/>
        </w:rPr>
      </w:pPr>
    </w:p>
    <w:p w14:paraId="44AB3C0E" w14:textId="77777777" w:rsidR="005F0D5E" w:rsidRDefault="005F0D5E" w:rsidP="005B2706">
      <w:pPr>
        <w:rPr>
          <w:rFonts w:ascii="Arial" w:hAnsi="Arial" w:cs="Arial"/>
          <w:sz w:val="24"/>
          <w:szCs w:val="24"/>
        </w:rPr>
      </w:pPr>
    </w:p>
    <w:p w14:paraId="782BCA29" w14:textId="77777777" w:rsidR="00542B56" w:rsidRDefault="00542B56" w:rsidP="005B2706">
      <w:pPr>
        <w:rPr>
          <w:rFonts w:ascii="Arial" w:hAnsi="Arial" w:cs="Arial"/>
          <w:sz w:val="24"/>
          <w:szCs w:val="24"/>
        </w:rPr>
      </w:pPr>
    </w:p>
    <w:p w14:paraId="42F7885F" w14:textId="77777777" w:rsidR="00542B56" w:rsidRDefault="00542B56" w:rsidP="005B2706">
      <w:pPr>
        <w:rPr>
          <w:rFonts w:ascii="Arial" w:hAnsi="Arial" w:cs="Arial"/>
          <w:sz w:val="24"/>
          <w:szCs w:val="24"/>
        </w:rPr>
      </w:pPr>
    </w:p>
    <w:p w14:paraId="2D37798F" w14:textId="77777777" w:rsidR="00542B56" w:rsidRDefault="00542B56" w:rsidP="005B2706">
      <w:pPr>
        <w:rPr>
          <w:rFonts w:ascii="Arial" w:hAnsi="Arial" w:cs="Arial"/>
          <w:sz w:val="24"/>
          <w:szCs w:val="24"/>
        </w:rPr>
      </w:pPr>
    </w:p>
    <w:p w14:paraId="443F1CA5" w14:textId="77777777" w:rsidR="00542B56" w:rsidRDefault="00542B56" w:rsidP="005B2706">
      <w:pPr>
        <w:rPr>
          <w:rFonts w:ascii="Arial" w:hAnsi="Arial" w:cs="Arial"/>
          <w:sz w:val="24"/>
          <w:szCs w:val="24"/>
        </w:rPr>
      </w:pPr>
    </w:p>
    <w:p w14:paraId="443ABA89" w14:textId="77777777" w:rsidR="00542B56" w:rsidRDefault="00542B56" w:rsidP="005B2706">
      <w:pPr>
        <w:rPr>
          <w:rFonts w:ascii="Arial" w:hAnsi="Arial" w:cs="Arial"/>
          <w:sz w:val="24"/>
          <w:szCs w:val="24"/>
        </w:rPr>
      </w:pPr>
    </w:p>
    <w:p w14:paraId="1C12F662" w14:textId="77777777" w:rsidR="00542B56" w:rsidRDefault="00542B56" w:rsidP="005B2706">
      <w:pPr>
        <w:rPr>
          <w:rFonts w:ascii="Arial" w:hAnsi="Arial" w:cs="Arial"/>
          <w:sz w:val="24"/>
          <w:szCs w:val="24"/>
        </w:rPr>
      </w:pPr>
    </w:p>
    <w:p w14:paraId="1E82D490" w14:textId="77777777" w:rsidR="00542B56" w:rsidRDefault="00542B56" w:rsidP="005B2706">
      <w:pPr>
        <w:rPr>
          <w:rFonts w:ascii="Arial" w:hAnsi="Arial" w:cs="Arial"/>
          <w:sz w:val="24"/>
          <w:szCs w:val="24"/>
        </w:rPr>
      </w:pPr>
    </w:p>
    <w:p w14:paraId="1C214C51" w14:textId="77777777" w:rsidR="00542B56" w:rsidRDefault="00542B56" w:rsidP="005B2706">
      <w:pPr>
        <w:rPr>
          <w:rFonts w:ascii="Arial" w:hAnsi="Arial" w:cs="Arial"/>
          <w:sz w:val="24"/>
          <w:szCs w:val="24"/>
        </w:rPr>
      </w:pPr>
    </w:p>
    <w:p w14:paraId="44797526" w14:textId="77777777" w:rsidR="001E130C" w:rsidRDefault="001E130C" w:rsidP="005B2706">
      <w:pPr>
        <w:rPr>
          <w:rFonts w:ascii="Arial" w:hAnsi="Arial" w:cs="Arial"/>
          <w:sz w:val="24"/>
          <w:szCs w:val="24"/>
        </w:rPr>
      </w:pPr>
    </w:p>
    <w:p w14:paraId="029015B7" w14:textId="77777777" w:rsidR="00BC59AA" w:rsidRDefault="00BC59AA">
      <w:pPr>
        <w:rPr>
          <w:rFonts w:ascii="Arial" w:eastAsia="Arial" w:hAnsi="Arial" w:cs="Arial"/>
          <w:sz w:val="24"/>
          <w:szCs w:val="24"/>
          <w:lang w:val="es-ES"/>
        </w:rPr>
      </w:pPr>
      <w:r>
        <w:br w:type="page"/>
      </w:r>
    </w:p>
    <w:p w14:paraId="6C9DB7F6" w14:textId="77777777" w:rsidR="00BC59AA" w:rsidRPr="00F7194B" w:rsidRDefault="00BC59AA" w:rsidP="00BC59AA">
      <w:pPr>
        <w:pStyle w:val="Textoindependiente"/>
        <w:spacing w:before="40" w:line="276" w:lineRule="auto"/>
        <w:jc w:val="both"/>
      </w:pPr>
      <w:r w:rsidRPr="00F7194B">
        <w:lastRenderedPageBreak/>
        <w:t>E</w:t>
      </w:r>
      <w:r w:rsidR="005E0038">
        <w:t>n cumplimiento al artículo 36, f</w:t>
      </w:r>
      <w:r w:rsidRPr="00F7194B">
        <w:t xml:space="preserve">racción II de la Ley de Fiscalización y Rendición de Cuentas del Estado de Quintana Roo, que señala que el Informe General Ejecutivo debe contener </w:t>
      </w:r>
      <w:r w:rsidRPr="00F7194B">
        <w:rPr>
          <w:b/>
        </w:rPr>
        <w:t xml:space="preserve">las áreas claves con riesgos </w:t>
      </w:r>
      <w:r w:rsidRPr="00F7194B">
        <w:t>de las entidades fiscalizables e identificadas en las revision</w:t>
      </w:r>
      <w:r>
        <w:t>es establecidas en el PAAVI 2023, del ejercicio fiscal 2022</w:t>
      </w:r>
      <w:r w:rsidRPr="00F7194B">
        <w:t xml:space="preserve"> y con la finalidad de establecer un mecanismo de medida para prevenir y contrarrestar de manera oportuna la posible ocurrencia de hechos de</w:t>
      </w:r>
      <w:r w:rsidRPr="00F7194B">
        <w:rPr>
          <w:spacing w:val="-6"/>
        </w:rPr>
        <w:t xml:space="preserve"> </w:t>
      </w:r>
      <w:r w:rsidRPr="00F7194B">
        <w:t>corrupción.</w:t>
      </w:r>
    </w:p>
    <w:p w14:paraId="79A75832" w14:textId="77777777" w:rsidR="00BC59AA" w:rsidRPr="00F7194B" w:rsidRDefault="00BC59AA" w:rsidP="00BC59AA">
      <w:pPr>
        <w:pStyle w:val="Textoindependiente"/>
        <w:spacing w:before="7"/>
        <w:ind w:left="142" w:right="426"/>
        <w:rPr>
          <w:sz w:val="27"/>
        </w:rPr>
      </w:pPr>
    </w:p>
    <w:p w14:paraId="23EF6270" w14:textId="77777777" w:rsidR="00BC59AA" w:rsidRPr="00F7194B" w:rsidRDefault="00BC59AA" w:rsidP="00BC59AA">
      <w:pPr>
        <w:pStyle w:val="Textoindependiente"/>
        <w:spacing w:before="40" w:line="276" w:lineRule="auto"/>
        <w:jc w:val="both"/>
      </w:pPr>
      <w:r w:rsidRPr="00F7194B">
        <w:t>Para tal fin se estableció una metodología a través de la cual se detectan, analizan e informan los siguientes factores susceptibles de riesgos:</w:t>
      </w:r>
    </w:p>
    <w:p w14:paraId="31A0284C" w14:textId="77777777" w:rsidR="00BC59AA" w:rsidRPr="00F7194B" w:rsidRDefault="00BC59AA" w:rsidP="00BC59AA">
      <w:pPr>
        <w:pStyle w:val="Textoindependiente"/>
        <w:spacing w:before="40" w:line="276" w:lineRule="auto"/>
        <w:jc w:val="both"/>
      </w:pPr>
    </w:p>
    <w:p w14:paraId="6836BBA1" w14:textId="77777777" w:rsidR="00BC59AA" w:rsidRPr="00F7194B" w:rsidRDefault="00BC59AA" w:rsidP="00BC59AA">
      <w:pPr>
        <w:pStyle w:val="Prrafodelista"/>
        <w:widowControl w:val="0"/>
        <w:numPr>
          <w:ilvl w:val="0"/>
          <w:numId w:val="14"/>
        </w:numPr>
        <w:autoSpaceDE w:val="0"/>
        <w:autoSpaceDN w:val="0"/>
        <w:spacing w:after="240" w:line="240" w:lineRule="auto"/>
        <w:contextualSpacing w:val="0"/>
        <w:rPr>
          <w:rFonts w:ascii="Arial" w:hAnsi="Arial" w:cs="Arial"/>
          <w:sz w:val="24"/>
        </w:rPr>
      </w:pPr>
      <w:r w:rsidRPr="00F7194B">
        <w:rPr>
          <w:rFonts w:ascii="Arial" w:hAnsi="Arial" w:cs="Arial"/>
          <w:sz w:val="24"/>
        </w:rPr>
        <w:t>Incorrecta aplicación de recursos</w:t>
      </w:r>
    </w:p>
    <w:p w14:paraId="16C90F65" w14:textId="77777777" w:rsidR="00BC59AA" w:rsidRPr="00F7194B" w:rsidRDefault="00BC59AA" w:rsidP="00BC59AA">
      <w:pPr>
        <w:pStyle w:val="Prrafodelista"/>
        <w:widowControl w:val="0"/>
        <w:numPr>
          <w:ilvl w:val="0"/>
          <w:numId w:val="14"/>
        </w:numPr>
        <w:autoSpaceDE w:val="0"/>
        <w:autoSpaceDN w:val="0"/>
        <w:spacing w:after="240" w:line="240" w:lineRule="auto"/>
        <w:contextualSpacing w:val="0"/>
        <w:rPr>
          <w:rFonts w:ascii="Arial" w:hAnsi="Arial" w:cs="Arial"/>
          <w:sz w:val="24"/>
        </w:rPr>
      </w:pPr>
      <w:r w:rsidRPr="00F7194B">
        <w:rPr>
          <w:rFonts w:ascii="Arial" w:hAnsi="Arial" w:cs="Arial"/>
          <w:sz w:val="24"/>
        </w:rPr>
        <w:t>Inadecuada captación de recursos públicos</w:t>
      </w:r>
    </w:p>
    <w:p w14:paraId="3A604B7E" w14:textId="77777777" w:rsidR="00BC59AA" w:rsidRPr="00F7194B" w:rsidRDefault="00BC59AA" w:rsidP="00BC59AA">
      <w:pPr>
        <w:pStyle w:val="Prrafodelista"/>
        <w:widowControl w:val="0"/>
        <w:numPr>
          <w:ilvl w:val="0"/>
          <w:numId w:val="14"/>
        </w:numPr>
        <w:autoSpaceDE w:val="0"/>
        <w:autoSpaceDN w:val="0"/>
        <w:spacing w:after="240" w:line="240" w:lineRule="auto"/>
        <w:contextualSpacing w:val="0"/>
        <w:rPr>
          <w:rFonts w:ascii="Arial" w:hAnsi="Arial" w:cs="Arial"/>
          <w:sz w:val="24"/>
        </w:rPr>
      </w:pPr>
      <w:r w:rsidRPr="00F7194B">
        <w:rPr>
          <w:rFonts w:ascii="Arial" w:hAnsi="Arial" w:cs="Arial"/>
          <w:sz w:val="24"/>
        </w:rPr>
        <w:t>Incumplimiento de metas y objetivos de fondos, programas o políticas públicas</w:t>
      </w:r>
    </w:p>
    <w:p w14:paraId="1B3CE449" w14:textId="77777777" w:rsidR="00BC59AA" w:rsidRPr="00F7194B" w:rsidRDefault="00BC59AA" w:rsidP="00BC59AA">
      <w:pPr>
        <w:pStyle w:val="Prrafodelista"/>
        <w:widowControl w:val="0"/>
        <w:numPr>
          <w:ilvl w:val="0"/>
          <w:numId w:val="14"/>
        </w:numPr>
        <w:autoSpaceDE w:val="0"/>
        <w:autoSpaceDN w:val="0"/>
        <w:spacing w:after="240" w:line="240" w:lineRule="auto"/>
        <w:contextualSpacing w:val="0"/>
        <w:rPr>
          <w:rFonts w:ascii="Arial" w:hAnsi="Arial" w:cs="Arial"/>
          <w:sz w:val="24"/>
        </w:rPr>
      </w:pPr>
      <w:r w:rsidRPr="00F7194B">
        <w:rPr>
          <w:rFonts w:ascii="Arial" w:hAnsi="Arial" w:cs="Arial"/>
          <w:sz w:val="24"/>
        </w:rPr>
        <w:t>Fallas o errores en la gestión administrativa del ente auditado</w:t>
      </w:r>
    </w:p>
    <w:p w14:paraId="0A0E9140" w14:textId="77777777" w:rsidR="00BC59AA" w:rsidRPr="00F7194B" w:rsidRDefault="00BC59AA" w:rsidP="00BC59AA">
      <w:pPr>
        <w:tabs>
          <w:tab w:val="left" w:pos="2205"/>
        </w:tabs>
        <w:spacing w:before="40"/>
        <w:ind w:left="142" w:right="426"/>
        <w:rPr>
          <w:rFonts w:ascii="Arial" w:hAnsi="Arial" w:cs="Arial"/>
          <w:sz w:val="24"/>
        </w:rPr>
      </w:pPr>
    </w:p>
    <w:p w14:paraId="6BE6F7B9" w14:textId="77777777" w:rsidR="00BC59AA" w:rsidRPr="00F7194B" w:rsidRDefault="00BC59AA" w:rsidP="00BC59AA">
      <w:pPr>
        <w:pStyle w:val="Ttulo2"/>
        <w:numPr>
          <w:ilvl w:val="2"/>
          <w:numId w:val="10"/>
        </w:numPr>
        <w:ind w:left="361"/>
        <w:jc w:val="both"/>
        <w:rPr>
          <w:rFonts w:ascii="Arial" w:hAnsi="Arial" w:cs="Arial"/>
          <w:b/>
          <w:color w:val="auto"/>
        </w:rPr>
      </w:pPr>
      <w:bookmarkStart w:id="23" w:name="_Toc64067630"/>
      <w:bookmarkStart w:id="24" w:name="_Toc95496675"/>
      <w:bookmarkStart w:id="25" w:name="_Toc158567484"/>
      <w:r w:rsidRPr="00F7194B">
        <w:rPr>
          <w:rFonts w:ascii="Arial" w:hAnsi="Arial" w:cs="Arial"/>
          <w:b/>
          <w:color w:val="auto"/>
        </w:rPr>
        <w:t>Metodología para la identificación de las áreas claves con riesgos</w:t>
      </w:r>
      <w:bookmarkEnd w:id="23"/>
      <w:bookmarkEnd w:id="24"/>
      <w:bookmarkEnd w:id="25"/>
    </w:p>
    <w:p w14:paraId="16BA6C3F" w14:textId="77777777" w:rsidR="00BC59AA" w:rsidRPr="00F7194B" w:rsidRDefault="00BC59AA" w:rsidP="00BC59AA">
      <w:pPr>
        <w:pStyle w:val="Textoindependiente"/>
        <w:ind w:left="142" w:right="426"/>
        <w:rPr>
          <w:b/>
          <w:sz w:val="32"/>
        </w:rPr>
      </w:pPr>
    </w:p>
    <w:p w14:paraId="08D76011" w14:textId="77777777" w:rsidR="00BC59AA" w:rsidRPr="00F7194B" w:rsidRDefault="00CF732A" w:rsidP="00BC59AA">
      <w:pPr>
        <w:pStyle w:val="Prrafodelista"/>
        <w:widowControl w:val="0"/>
        <w:numPr>
          <w:ilvl w:val="0"/>
          <w:numId w:val="15"/>
        </w:numPr>
        <w:tabs>
          <w:tab w:val="left" w:pos="1843"/>
        </w:tabs>
        <w:autoSpaceDE w:val="0"/>
        <w:autoSpaceDN w:val="0"/>
        <w:spacing w:after="0" w:line="240" w:lineRule="auto"/>
        <w:ind w:left="643"/>
        <w:contextualSpacing w:val="0"/>
        <w:rPr>
          <w:rFonts w:ascii="Arial" w:hAnsi="Arial" w:cs="Arial"/>
          <w:b/>
          <w:sz w:val="24"/>
        </w:rPr>
      </w:pPr>
      <w:r>
        <w:rPr>
          <w:rFonts w:ascii="Arial" w:hAnsi="Arial" w:cs="Arial"/>
          <w:b/>
          <w:sz w:val="24"/>
        </w:rPr>
        <w:t>Relevancia del A</w:t>
      </w:r>
      <w:r w:rsidR="00BC59AA" w:rsidRPr="00F7194B">
        <w:rPr>
          <w:rFonts w:ascii="Arial" w:hAnsi="Arial" w:cs="Arial"/>
          <w:b/>
          <w:sz w:val="24"/>
        </w:rPr>
        <w:t>nálisis de</w:t>
      </w:r>
      <w:r w:rsidR="00BC59AA" w:rsidRPr="00F7194B">
        <w:rPr>
          <w:rFonts w:ascii="Arial" w:hAnsi="Arial" w:cs="Arial"/>
          <w:b/>
          <w:spacing w:val="-2"/>
          <w:sz w:val="24"/>
        </w:rPr>
        <w:t xml:space="preserve"> </w:t>
      </w:r>
      <w:r w:rsidR="00BC59AA" w:rsidRPr="00F7194B">
        <w:rPr>
          <w:rFonts w:ascii="Arial" w:hAnsi="Arial" w:cs="Arial"/>
          <w:b/>
          <w:sz w:val="24"/>
        </w:rPr>
        <w:t>Riesgos</w:t>
      </w:r>
    </w:p>
    <w:p w14:paraId="498D21F9" w14:textId="77777777" w:rsidR="00BC59AA" w:rsidRPr="00F7194B" w:rsidRDefault="00BC59AA" w:rsidP="00BC59AA">
      <w:pPr>
        <w:pStyle w:val="Textoindependiente"/>
        <w:ind w:left="142" w:right="426"/>
        <w:rPr>
          <w:b/>
          <w:sz w:val="26"/>
        </w:rPr>
      </w:pPr>
    </w:p>
    <w:p w14:paraId="465D3755" w14:textId="77777777" w:rsidR="00BC59AA" w:rsidRPr="00F7194B" w:rsidRDefault="00BC59AA" w:rsidP="00BC59AA">
      <w:pPr>
        <w:pStyle w:val="Textoindependiente"/>
        <w:spacing w:line="276" w:lineRule="auto"/>
        <w:ind w:left="283"/>
        <w:jc w:val="both"/>
      </w:pPr>
      <w:r w:rsidRPr="00F7194B">
        <w:t>Con</w:t>
      </w:r>
      <w:r w:rsidRPr="00F7194B">
        <w:rPr>
          <w:spacing w:val="-12"/>
        </w:rPr>
        <w:t xml:space="preserve"> </w:t>
      </w:r>
      <w:r w:rsidRPr="00F7194B">
        <w:t>base</w:t>
      </w:r>
      <w:r w:rsidRPr="00F7194B">
        <w:rPr>
          <w:spacing w:val="-11"/>
        </w:rPr>
        <w:t xml:space="preserve"> </w:t>
      </w:r>
      <w:r w:rsidRPr="00F7194B">
        <w:t>en</w:t>
      </w:r>
      <w:r w:rsidRPr="00F7194B">
        <w:rPr>
          <w:spacing w:val="-16"/>
        </w:rPr>
        <w:t xml:space="preserve"> </w:t>
      </w:r>
      <w:r w:rsidRPr="00F7194B">
        <w:t>la</w:t>
      </w:r>
      <w:r w:rsidRPr="00F7194B">
        <w:rPr>
          <w:spacing w:val="-15"/>
        </w:rPr>
        <w:t xml:space="preserve"> </w:t>
      </w:r>
      <w:r w:rsidRPr="00F7194B">
        <w:t>adopción</w:t>
      </w:r>
      <w:r w:rsidRPr="00F7194B">
        <w:rPr>
          <w:spacing w:val="-11"/>
        </w:rPr>
        <w:t xml:space="preserve"> </w:t>
      </w:r>
      <w:r w:rsidRPr="00F7194B">
        <w:t>de</w:t>
      </w:r>
      <w:r w:rsidRPr="00F7194B">
        <w:rPr>
          <w:spacing w:val="-12"/>
        </w:rPr>
        <w:t xml:space="preserve"> </w:t>
      </w:r>
      <w:r w:rsidRPr="00F7194B">
        <w:t>las</w:t>
      </w:r>
      <w:r w:rsidRPr="00F7194B">
        <w:rPr>
          <w:spacing w:val="-12"/>
        </w:rPr>
        <w:t xml:space="preserve"> </w:t>
      </w:r>
      <w:r w:rsidRPr="00F7194B">
        <w:t>NPASNF,</w:t>
      </w:r>
      <w:r w:rsidRPr="00F7194B">
        <w:rPr>
          <w:spacing w:val="-14"/>
        </w:rPr>
        <w:t xml:space="preserve"> </w:t>
      </w:r>
      <w:r w:rsidRPr="00F7194B">
        <w:t>las</w:t>
      </w:r>
      <w:r w:rsidRPr="00F7194B">
        <w:rPr>
          <w:spacing w:val="-14"/>
        </w:rPr>
        <w:t xml:space="preserve"> </w:t>
      </w:r>
      <w:r w:rsidRPr="00F7194B">
        <w:t>auditorías</w:t>
      </w:r>
      <w:r w:rsidRPr="00F7194B">
        <w:rPr>
          <w:spacing w:val="-14"/>
        </w:rPr>
        <w:t xml:space="preserve"> </w:t>
      </w:r>
      <w:r w:rsidRPr="00F7194B">
        <w:t>programadas</w:t>
      </w:r>
      <w:r w:rsidRPr="00F7194B">
        <w:rPr>
          <w:spacing w:val="-15"/>
        </w:rPr>
        <w:t xml:space="preserve"> </w:t>
      </w:r>
      <w:r w:rsidRPr="00F7194B">
        <w:t>se</w:t>
      </w:r>
      <w:r w:rsidRPr="00F7194B">
        <w:rPr>
          <w:spacing w:val="-15"/>
        </w:rPr>
        <w:t xml:space="preserve"> </w:t>
      </w:r>
      <w:r w:rsidRPr="00F7194B">
        <w:t>determinaron basadas en riesgos; toda institución pública tiene un riesgo inherente con respecto a que los recursos se administren inadecuadamente o que sus mecanismos de control interno</w:t>
      </w:r>
      <w:r w:rsidRPr="00F7194B">
        <w:rPr>
          <w:spacing w:val="-19"/>
        </w:rPr>
        <w:t xml:space="preserve"> </w:t>
      </w:r>
      <w:r w:rsidRPr="00F7194B">
        <w:t>sean</w:t>
      </w:r>
      <w:r w:rsidRPr="00F7194B">
        <w:rPr>
          <w:spacing w:val="-16"/>
        </w:rPr>
        <w:t xml:space="preserve"> </w:t>
      </w:r>
      <w:r w:rsidRPr="00F7194B">
        <w:t>insuficientes,</w:t>
      </w:r>
      <w:r w:rsidRPr="00F7194B">
        <w:rPr>
          <w:spacing w:val="-17"/>
        </w:rPr>
        <w:t xml:space="preserve"> </w:t>
      </w:r>
      <w:r w:rsidRPr="00F7194B">
        <w:t>la</w:t>
      </w:r>
      <w:r w:rsidRPr="00F7194B">
        <w:rPr>
          <w:spacing w:val="-20"/>
        </w:rPr>
        <w:t xml:space="preserve"> </w:t>
      </w:r>
      <w:r w:rsidRPr="00F7194B">
        <w:t>revisión</w:t>
      </w:r>
      <w:r w:rsidRPr="00F7194B">
        <w:rPr>
          <w:spacing w:val="-19"/>
        </w:rPr>
        <w:t xml:space="preserve"> </w:t>
      </w:r>
      <w:r w:rsidRPr="00F7194B">
        <w:t>efectuada</w:t>
      </w:r>
      <w:r w:rsidRPr="00F7194B">
        <w:rPr>
          <w:spacing w:val="-20"/>
        </w:rPr>
        <w:t xml:space="preserve"> </w:t>
      </w:r>
      <w:r w:rsidRPr="00F7194B">
        <w:t>con</w:t>
      </w:r>
      <w:r w:rsidRPr="00F7194B">
        <w:rPr>
          <w:spacing w:val="-20"/>
        </w:rPr>
        <w:t xml:space="preserve"> </w:t>
      </w:r>
      <w:r w:rsidRPr="00F7194B">
        <w:t>estos</w:t>
      </w:r>
      <w:r w:rsidRPr="00F7194B">
        <w:rPr>
          <w:spacing w:val="-17"/>
        </w:rPr>
        <w:t xml:space="preserve"> </w:t>
      </w:r>
      <w:r w:rsidRPr="00F7194B">
        <w:t>elementos</w:t>
      </w:r>
      <w:r w:rsidRPr="00F7194B">
        <w:rPr>
          <w:spacing w:val="-18"/>
        </w:rPr>
        <w:t xml:space="preserve"> </w:t>
      </w:r>
      <w:r w:rsidRPr="00F7194B">
        <w:t>nos</w:t>
      </w:r>
      <w:r w:rsidRPr="00F7194B">
        <w:rPr>
          <w:spacing w:val="-18"/>
        </w:rPr>
        <w:t xml:space="preserve"> </w:t>
      </w:r>
      <w:r w:rsidRPr="00F7194B">
        <w:t>permite</w:t>
      </w:r>
      <w:r w:rsidRPr="00F7194B">
        <w:rPr>
          <w:spacing w:val="-20"/>
        </w:rPr>
        <w:t xml:space="preserve"> </w:t>
      </w:r>
      <w:r w:rsidRPr="00F7194B">
        <w:t>emitir dos tipos de acciones:</w:t>
      </w:r>
    </w:p>
    <w:p w14:paraId="0120849C" w14:textId="77777777" w:rsidR="00BC59AA" w:rsidRPr="00F7194B" w:rsidRDefault="00BC59AA" w:rsidP="00BC59AA">
      <w:pPr>
        <w:pStyle w:val="Textoindependiente"/>
        <w:spacing w:line="276" w:lineRule="auto"/>
        <w:ind w:left="283"/>
        <w:jc w:val="both"/>
      </w:pPr>
    </w:p>
    <w:p w14:paraId="578C0826" w14:textId="77777777" w:rsidR="00BC59AA" w:rsidRPr="00DF13EB" w:rsidRDefault="00BC59AA" w:rsidP="00BC59AA">
      <w:pPr>
        <w:pStyle w:val="Textoindependiente"/>
        <w:numPr>
          <w:ilvl w:val="0"/>
          <w:numId w:val="18"/>
        </w:numPr>
        <w:spacing w:line="276" w:lineRule="auto"/>
        <w:ind w:left="709"/>
        <w:jc w:val="both"/>
      </w:pPr>
      <w:r w:rsidRPr="00F7194B">
        <w:t>Preventivas: con enfoque en las recomendaciones al control interno y de desempeño,</w:t>
      </w:r>
      <w:r w:rsidRPr="00F7194B">
        <w:rPr>
          <w:spacing w:val="-12"/>
        </w:rPr>
        <w:t xml:space="preserve"> </w:t>
      </w:r>
      <w:r w:rsidRPr="00F7194B">
        <w:t>y</w:t>
      </w:r>
      <w:r w:rsidRPr="00F7194B">
        <w:rPr>
          <w:spacing w:val="-12"/>
        </w:rPr>
        <w:t xml:space="preserve"> </w:t>
      </w:r>
    </w:p>
    <w:p w14:paraId="32216B7B" w14:textId="77777777" w:rsidR="00BC59AA" w:rsidRPr="00F7194B" w:rsidRDefault="00BC59AA" w:rsidP="00BC59AA">
      <w:pPr>
        <w:pStyle w:val="Textoindependiente"/>
        <w:spacing w:line="276" w:lineRule="auto"/>
        <w:ind w:left="709"/>
        <w:jc w:val="both"/>
      </w:pPr>
    </w:p>
    <w:p w14:paraId="47250C2C" w14:textId="77777777" w:rsidR="00BC59AA" w:rsidRPr="00F7194B" w:rsidRDefault="00BC59AA" w:rsidP="00BC59AA">
      <w:pPr>
        <w:pStyle w:val="Textoindependiente"/>
        <w:numPr>
          <w:ilvl w:val="0"/>
          <w:numId w:val="18"/>
        </w:numPr>
        <w:spacing w:line="276" w:lineRule="auto"/>
        <w:ind w:left="709"/>
        <w:jc w:val="both"/>
      </w:pPr>
      <w:r w:rsidRPr="00F7194B">
        <w:t>Correctivas:</w:t>
      </w:r>
      <w:r w:rsidRPr="00F7194B">
        <w:rPr>
          <w:spacing w:val="-13"/>
        </w:rPr>
        <w:t xml:space="preserve"> </w:t>
      </w:r>
      <w:r w:rsidRPr="00F7194B">
        <w:t>acciones</w:t>
      </w:r>
      <w:r w:rsidRPr="00F7194B">
        <w:rPr>
          <w:spacing w:val="-12"/>
        </w:rPr>
        <w:t xml:space="preserve"> </w:t>
      </w:r>
      <w:r w:rsidRPr="00F7194B">
        <w:t>encaminadas</w:t>
      </w:r>
      <w:r w:rsidRPr="00F7194B">
        <w:rPr>
          <w:spacing w:val="-12"/>
        </w:rPr>
        <w:t xml:space="preserve"> </w:t>
      </w:r>
      <w:r w:rsidRPr="00F7194B">
        <w:t>a</w:t>
      </w:r>
      <w:r w:rsidRPr="00F7194B">
        <w:rPr>
          <w:spacing w:val="-15"/>
        </w:rPr>
        <w:t xml:space="preserve"> </w:t>
      </w:r>
      <w:r w:rsidRPr="00F7194B">
        <w:t>procedimientos</w:t>
      </w:r>
      <w:r w:rsidRPr="00F7194B">
        <w:rPr>
          <w:spacing w:val="-12"/>
        </w:rPr>
        <w:t xml:space="preserve"> </w:t>
      </w:r>
      <w:r w:rsidRPr="00F7194B">
        <w:t>resarcitorios</w:t>
      </w:r>
      <w:r w:rsidRPr="00F7194B">
        <w:rPr>
          <w:spacing w:val="-12"/>
        </w:rPr>
        <w:t xml:space="preserve"> </w:t>
      </w:r>
      <w:r w:rsidRPr="00F7194B">
        <w:t>y</w:t>
      </w:r>
      <w:r w:rsidRPr="00F7194B">
        <w:rPr>
          <w:spacing w:val="-13"/>
        </w:rPr>
        <w:t xml:space="preserve"> </w:t>
      </w:r>
      <w:r w:rsidRPr="00F7194B">
        <w:t>sus consecuencias</w:t>
      </w:r>
      <w:r w:rsidRPr="00F7194B">
        <w:rPr>
          <w:spacing w:val="1"/>
        </w:rPr>
        <w:t xml:space="preserve"> </w:t>
      </w:r>
      <w:r w:rsidRPr="00F7194B">
        <w:t>jurídicas.</w:t>
      </w:r>
    </w:p>
    <w:p w14:paraId="7350E08D" w14:textId="77777777" w:rsidR="00BC59AA" w:rsidRPr="00F7194B" w:rsidRDefault="00BC59AA" w:rsidP="00BC59AA">
      <w:pPr>
        <w:pStyle w:val="Textoindependiente"/>
        <w:spacing w:line="276" w:lineRule="auto"/>
        <w:ind w:left="142" w:right="426"/>
        <w:jc w:val="both"/>
      </w:pPr>
    </w:p>
    <w:p w14:paraId="00C388FF" w14:textId="77777777" w:rsidR="00BC59AA" w:rsidRPr="00F7194B" w:rsidRDefault="00BC59AA" w:rsidP="00BC59AA">
      <w:pPr>
        <w:pStyle w:val="Textoindependiente"/>
        <w:spacing w:line="276" w:lineRule="auto"/>
        <w:ind w:left="283"/>
        <w:jc w:val="both"/>
      </w:pPr>
      <w:r w:rsidRPr="00F7194B">
        <w:t>En este contexto uno de los objetivos de las auditorías, es identificar aquellas situaciones que presenten riesgos de corrupción.</w:t>
      </w:r>
    </w:p>
    <w:p w14:paraId="686B5735" w14:textId="77777777" w:rsidR="00BC59AA" w:rsidRPr="00F7194B" w:rsidRDefault="00BC59AA" w:rsidP="00BC59AA">
      <w:pPr>
        <w:pStyle w:val="Textoindependiente"/>
        <w:spacing w:line="278" w:lineRule="auto"/>
        <w:ind w:left="142" w:right="426"/>
        <w:jc w:val="both"/>
      </w:pPr>
    </w:p>
    <w:p w14:paraId="78FD6B69" w14:textId="77777777" w:rsidR="00BC59AA" w:rsidRPr="00F7194B" w:rsidRDefault="00BC59AA" w:rsidP="00BC59AA">
      <w:pPr>
        <w:pStyle w:val="Textoindependiente"/>
        <w:spacing w:line="278" w:lineRule="auto"/>
        <w:ind w:left="142" w:right="426"/>
        <w:jc w:val="both"/>
      </w:pPr>
    </w:p>
    <w:p w14:paraId="2D0E9AAD" w14:textId="77777777" w:rsidR="00BC59AA" w:rsidRPr="00F7194B" w:rsidRDefault="00BC59AA" w:rsidP="00BC59AA">
      <w:pPr>
        <w:pStyle w:val="Textoindependiente"/>
        <w:spacing w:line="278" w:lineRule="auto"/>
        <w:ind w:left="142" w:right="426"/>
        <w:jc w:val="both"/>
      </w:pPr>
    </w:p>
    <w:p w14:paraId="24509852" w14:textId="77777777" w:rsidR="00BC59AA" w:rsidRPr="00F7194B" w:rsidRDefault="00CF732A" w:rsidP="00BC59AA">
      <w:pPr>
        <w:pStyle w:val="Prrafodelista"/>
        <w:widowControl w:val="0"/>
        <w:numPr>
          <w:ilvl w:val="0"/>
          <w:numId w:val="15"/>
        </w:numPr>
        <w:tabs>
          <w:tab w:val="left" w:pos="1843"/>
        </w:tabs>
        <w:autoSpaceDE w:val="0"/>
        <w:autoSpaceDN w:val="0"/>
        <w:spacing w:after="0" w:line="240" w:lineRule="auto"/>
        <w:ind w:left="643"/>
        <w:contextualSpacing w:val="0"/>
        <w:rPr>
          <w:rFonts w:ascii="Arial" w:hAnsi="Arial" w:cs="Arial"/>
          <w:b/>
          <w:i/>
          <w:sz w:val="24"/>
          <w:szCs w:val="24"/>
        </w:rPr>
      </w:pPr>
      <w:r>
        <w:rPr>
          <w:rFonts w:ascii="Arial" w:hAnsi="Arial" w:cs="Arial"/>
          <w:b/>
          <w:sz w:val="24"/>
        </w:rPr>
        <w:lastRenderedPageBreak/>
        <w:t>Identificación de R</w:t>
      </w:r>
      <w:r w:rsidR="00BC59AA" w:rsidRPr="00F7194B">
        <w:rPr>
          <w:rFonts w:ascii="Arial" w:hAnsi="Arial" w:cs="Arial"/>
          <w:b/>
          <w:sz w:val="24"/>
        </w:rPr>
        <w:t>iesgos</w:t>
      </w:r>
    </w:p>
    <w:p w14:paraId="42F0417A" w14:textId="77777777" w:rsidR="00BC59AA" w:rsidRPr="00F7194B" w:rsidRDefault="00BC59AA" w:rsidP="00BC59AA">
      <w:pPr>
        <w:pStyle w:val="Textoindependiente"/>
        <w:ind w:left="142" w:right="426" w:firstLine="63"/>
        <w:rPr>
          <w:b/>
          <w:sz w:val="26"/>
        </w:rPr>
      </w:pPr>
    </w:p>
    <w:p w14:paraId="160CCE4C" w14:textId="77777777" w:rsidR="00BC59AA" w:rsidRPr="00F7194B" w:rsidRDefault="00BC59AA" w:rsidP="00BC59AA">
      <w:pPr>
        <w:pStyle w:val="Textoindependiente"/>
        <w:spacing w:line="276" w:lineRule="auto"/>
        <w:ind w:left="283"/>
        <w:jc w:val="both"/>
      </w:pPr>
      <w:r w:rsidRPr="00F7194B">
        <w:t>Para el adecuado cumplimento de los objetivos de los entes públicos, es importante identificar aquellos riesgos que logren disuadir su consecución, por ello la ASEQROO, con el fin de coadyuvar a la atención de estos, tiene que reconocer, cuáles son los factores que puedan impedir a las entidades fiscalizables alcanzar sus metas, objetivos institucionales, estratégicos y operativos.</w:t>
      </w:r>
    </w:p>
    <w:p w14:paraId="0452FF72" w14:textId="77777777" w:rsidR="00BC59AA" w:rsidRPr="00F7194B" w:rsidRDefault="00BC59AA" w:rsidP="00BC59AA">
      <w:pPr>
        <w:pStyle w:val="Textoindependiente"/>
        <w:spacing w:line="276" w:lineRule="auto"/>
        <w:ind w:left="283"/>
        <w:jc w:val="both"/>
      </w:pPr>
    </w:p>
    <w:p w14:paraId="7F1E76FA" w14:textId="77777777" w:rsidR="00BC59AA" w:rsidRPr="00F7194B" w:rsidRDefault="00BC59AA" w:rsidP="00BC59AA">
      <w:pPr>
        <w:pStyle w:val="Textoindependiente"/>
        <w:spacing w:line="276" w:lineRule="auto"/>
        <w:ind w:left="283"/>
        <w:jc w:val="both"/>
      </w:pPr>
    </w:p>
    <w:p w14:paraId="4EC7485C" w14:textId="77777777" w:rsidR="00BC59AA" w:rsidRPr="00F7194B" w:rsidRDefault="00BC59AA" w:rsidP="00BC59AA">
      <w:pPr>
        <w:pStyle w:val="Prrafodelista"/>
        <w:widowControl w:val="0"/>
        <w:numPr>
          <w:ilvl w:val="0"/>
          <w:numId w:val="15"/>
        </w:numPr>
        <w:tabs>
          <w:tab w:val="left" w:pos="1843"/>
        </w:tabs>
        <w:autoSpaceDE w:val="0"/>
        <w:autoSpaceDN w:val="0"/>
        <w:spacing w:after="0" w:line="240" w:lineRule="auto"/>
        <w:ind w:left="643"/>
        <w:contextualSpacing w:val="0"/>
        <w:rPr>
          <w:rFonts w:ascii="Arial" w:hAnsi="Arial" w:cs="Arial"/>
          <w:b/>
          <w:sz w:val="24"/>
          <w:szCs w:val="24"/>
        </w:rPr>
      </w:pPr>
      <w:r w:rsidRPr="00F7194B">
        <w:rPr>
          <w:rFonts w:ascii="Arial" w:hAnsi="Arial" w:cs="Arial"/>
          <w:b/>
          <w:sz w:val="24"/>
          <w:szCs w:val="24"/>
        </w:rPr>
        <w:t xml:space="preserve">Identificación de las </w:t>
      </w:r>
      <w:r w:rsidR="00CF732A">
        <w:rPr>
          <w:rFonts w:ascii="Arial" w:hAnsi="Arial" w:cs="Arial"/>
          <w:b/>
          <w:sz w:val="24"/>
          <w:szCs w:val="24"/>
        </w:rPr>
        <w:t>Áreas Clave de R</w:t>
      </w:r>
      <w:r w:rsidRPr="00F7194B">
        <w:rPr>
          <w:rFonts w:ascii="Arial" w:hAnsi="Arial" w:cs="Arial"/>
          <w:b/>
          <w:sz w:val="24"/>
          <w:szCs w:val="24"/>
        </w:rPr>
        <w:t>iesgo</w:t>
      </w:r>
    </w:p>
    <w:p w14:paraId="4E2FCEDB" w14:textId="77777777" w:rsidR="00BC59AA" w:rsidRPr="00F7194B" w:rsidRDefault="00BC59AA" w:rsidP="00BC59AA">
      <w:pPr>
        <w:pStyle w:val="Textoindependiente"/>
        <w:tabs>
          <w:tab w:val="left" w:pos="1712"/>
        </w:tabs>
        <w:ind w:left="142" w:right="426"/>
        <w:rPr>
          <w:b/>
        </w:rPr>
      </w:pPr>
    </w:p>
    <w:p w14:paraId="1B1F94CE" w14:textId="77777777" w:rsidR="00BC59AA" w:rsidRPr="00F7194B" w:rsidRDefault="00BC59AA" w:rsidP="00BC59AA">
      <w:pPr>
        <w:pStyle w:val="Textoindependiente"/>
        <w:spacing w:line="276" w:lineRule="auto"/>
        <w:ind w:left="283"/>
        <w:jc w:val="both"/>
      </w:pPr>
      <w:r w:rsidRPr="00F7194B">
        <w:t xml:space="preserve">La identificación de las áreas clave de riesgo, se sustenta en la competencia técnica y profesional del equipo de auditores, con la conducción del supervisor, la revisión del coordinador y la validación del director </w:t>
      </w:r>
      <w:r w:rsidRPr="00DF13EB">
        <w:t>correspondiente, a través de un análisis cuantitativo y cualitativo basado en los resultados de 101 Informes</w:t>
      </w:r>
      <w:r w:rsidRPr="00F7194B">
        <w:t xml:space="preserve"> Individuales de Auditoría, correspondientes a la revisión de la Cuenta P</w:t>
      </w:r>
      <w:r>
        <w:t>ública del ejercicio fiscal 2022</w:t>
      </w:r>
      <w:r w:rsidRPr="00F7194B">
        <w:t>, realizado por medio de un cuestionario electrónico.</w:t>
      </w:r>
    </w:p>
    <w:p w14:paraId="259C763C" w14:textId="77777777" w:rsidR="00BC59AA" w:rsidRPr="00F7194B" w:rsidRDefault="00BC59AA" w:rsidP="00BC59AA">
      <w:pPr>
        <w:pStyle w:val="Textoindependiente"/>
        <w:spacing w:line="276" w:lineRule="auto"/>
        <w:ind w:left="283"/>
        <w:jc w:val="both"/>
      </w:pPr>
    </w:p>
    <w:p w14:paraId="7E7095A3" w14:textId="77777777" w:rsidR="00BC59AA" w:rsidRPr="00F7194B" w:rsidRDefault="00BC59AA" w:rsidP="00BC59AA">
      <w:pPr>
        <w:pStyle w:val="Textoindependiente"/>
        <w:tabs>
          <w:tab w:val="left" w:pos="1712"/>
        </w:tabs>
        <w:spacing w:line="276" w:lineRule="auto"/>
        <w:ind w:left="142" w:right="426"/>
        <w:jc w:val="both"/>
      </w:pPr>
    </w:p>
    <w:p w14:paraId="4029971C" w14:textId="77777777" w:rsidR="00BC59AA" w:rsidRPr="00F7194B" w:rsidRDefault="00BC59AA" w:rsidP="00BC59AA">
      <w:pPr>
        <w:pStyle w:val="Prrafodelista"/>
        <w:widowControl w:val="0"/>
        <w:numPr>
          <w:ilvl w:val="0"/>
          <w:numId w:val="15"/>
        </w:numPr>
        <w:tabs>
          <w:tab w:val="left" w:pos="1843"/>
        </w:tabs>
        <w:autoSpaceDE w:val="0"/>
        <w:autoSpaceDN w:val="0"/>
        <w:spacing w:after="0" w:line="240" w:lineRule="auto"/>
        <w:ind w:left="643"/>
        <w:contextualSpacing w:val="0"/>
        <w:rPr>
          <w:rFonts w:ascii="Arial" w:hAnsi="Arial" w:cs="Arial"/>
          <w:b/>
          <w:sz w:val="24"/>
          <w:szCs w:val="24"/>
        </w:rPr>
      </w:pPr>
      <w:r w:rsidRPr="00F7194B">
        <w:rPr>
          <w:rFonts w:ascii="Arial" w:hAnsi="Arial" w:cs="Arial"/>
          <w:b/>
          <w:sz w:val="24"/>
          <w:szCs w:val="24"/>
        </w:rPr>
        <w:t>Aplicación de Cuestionarios</w:t>
      </w:r>
    </w:p>
    <w:p w14:paraId="1696E19E" w14:textId="77777777" w:rsidR="00BC59AA" w:rsidRPr="00F7194B" w:rsidRDefault="00BC59AA" w:rsidP="00BC59AA">
      <w:pPr>
        <w:pStyle w:val="Prrafodelista"/>
        <w:tabs>
          <w:tab w:val="left" w:pos="1843"/>
        </w:tabs>
        <w:ind w:left="643"/>
        <w:rPr>
          <w:rFonts w:ascii="Arial" w:hAnsi="Arial" w:cs="Arial"/>
          <w:b/>
          <w:sz w:val="24"/>
          <w:szCs w:val="24"/>
        </w:rPr>
      </w:pPr>
    </w:p>
    <w:p w14:paraId="355A3913" w14:textId="77777777" w:rsidR="00BC59AA" w:rsidRPr="00F7194B" w:rsidRDefault="00BC59AA" w:rsidP="00BC59AA">
      <w:pPr>
        <w:pStyle w:val="Textoindependiente"/>
        <w:spacing w:line="276" w:lineRule="auto"/>
        <w:ind w:left="283"/>
        <w:jc w:val="both"/>
      </w:pPr>
      <w:r w:rsidRPr="00F7194B">
        <w:t xml:space="preserve">Dando seguimiento a la metodología empleada, la aplicación del cuestionario electrónico es el proceso clave para poder identificar desde el origen la problemática más relevante y recurrente detectada en las entidades auditadas durante el proceso de fiscalización. Se aplicaron </w:t>
      </w:r>
      <w:r>
        <w:t>247</w:t>
      </w:r>
      <w:r w:rsidRPr="00F7194B">
        <w:t xml:space="preserve"> cuestionarios electrónicos, clasificados por tipo de auditoría:</w:t>
      </w:r>
    </w:p>
    <w:p w14:paraId="614C5D1A" w14:textId="77777777" w:rsidR="00BC59AA" w:rsidRPr="00F7194B" w:rsidRDefault="00BC59AA" w:rsidP="00BC59AA">
      <w:pPr>
        <w:pStyle w:val="Textoindependiente"/>
        <w:spacing w:line="276" w:lineRule="auto"/>
        <w:ind w:left="283"/>
        <w:jc w:val="both"/>
      </w:pPr>
    </w:p>
    <w:p w14:paraId="499C880F" w14:textId="77777777" w:rsidR="00BC59AA" w:rsidRPr="00F7194B" w:rsidRDefault="00BC59AA" w:rsidP="00BC59AA">
      <w:pPr>
        <w:pStyle w:val="Textoindependiente"/>
        <w:spacing w:line="278" w:lineRule="auto"/>
        <w:ind w:left="-142" w:right="142"/>
        <w:jc w:val="both"/>
      </w:pPr>
    </w:p>
    <w:tbl>
      <w:tblPr>
        <w:tblStyle w:val="TableNormal"/>
        <w:tblW w:w="0" w:type="auto"/>
        <w:jc w:val="center"/>
        <w:tblInd w:w="0" w:type="dxa"/>
        <w:tblLayout w:type="fixed"/>
        <w:tblLook w:val="01E0" w:firstRow="1" w:lastRow="1" w:firstColumn="1" w:lastColumn="1" w:noHBand="0" w:noVBand="0"/>
      </w:tblPr>
      <w:tblGrid>
        <w:gridCol w:w="4360"/>
        <w:gridCol w:w="2874"/>
      </w:tblGrid>
      <w:tr w:rsidR="00BC59AA" w:rsidRPr="007C2DFF" w14:paraId="02FD3586" w14:textId="77777777" w:rsidTr="005E0038">
        <w:trPr>
          <w:trHeight w:val="438"/>
          <w:jc w:val="center"/>
        </w:trPr>
        <w:tc>
          <w:tcPr>
            <w:tcW w:w="7234" w:type="dxa"/>
            <w:gridSpan w:val="2"/>
            <w:tcBorders>
              <w:bottom w:val="single" w:sz="4" w:space="0" w:color="FFFFFF" w:themeColor="background1"/>
            </w:tcBorders>
            <w:shd w:val="clear" w:color="auto" w:fill="A5A5A5" w:themeFill="accent3"/>
            <w:vAlign w:val="center"/>
          </w:tcPr>
          <w:p w14:paraId="151C8A95" w14:textId="77777777" w:rsidR="00BC59AA" w:rsidRPr="007C2DFF" w:rsidRDefault="00BC59AA" w:rsidP="005E0038">
            <w:pPr>
              <w:jc w:val="center"/>
              <w:rPr>
                <w:rFonts w:ascii="Arial" w:hAnsi="Arial" w:cs="Arial"/>
                <w:b/>
                <w:color w:val="FFFFFF" w:themeColor="background1"/>
                <w:sz w:val="18"/>
                <w:lang w:val="es-MX"/>
              </w:rPr>
            </w:pPr>
            <w:r w:rsidRPr="007C2DFF">
              <w:rPr>
                <w:rFonts w:ascii="Arial" w:hAnsi="Arial" w:cs="Arial"/>
                <w:b/>
                <w:color w:val="FFFFFF" w:themeColor="background1"/>
                <w:sz w:val="18"/>
                <w:lang w:val="es-MX"/>
              </w:rPr>
              <w:t>Encuestas por Tipo de Auditoría</w:t>
            </w:r>
          </w:p>
        </w:tc>
      </w:tr>
      <w:tr w:rsidR="00BC59AA" w:rsidRPr="007C2DFF" w14:paraId="48C70ADF" w14:textId="77777777" w:rsidTr="005E0038">
        <w:trPr>
          <w:trHeight w:val="461"/>
          <w:jc w:val="center"/>
        </w:trPr>
        <w:tc>
          <w:tcPr>
            <w:tcW w:w="4360" w:type="dxa"/>
            <w:tcBorders>
              <w:top w:val="single" w:sz="4" w:space="0" w:color="FFFFFF" w:themeColor="background1"/>
              <w:right w:val="single" w:sz="4" w:space="0" w:color="FFFFFF" w:themeColor="background1"/>
            </w:tcBorders>
            <w:shd w:val="clear" w:color="auto" w:fill="A5A5A5" w:themeFill="accent3"/>
            <w:vAlign w:val="center"/>
          </w:tcPr>
          <w:p w14:paraId="46FAFC6B" w14:textId="77777777" w:rsidR="00BC59AA" w:rsidRPr="007C2DFF" w:rsidRDefault="00BC59AA" w:rsidP="005E0038">
            <w:pPr>
              <w:jc w:val="center"/>
              <w:rPr>
                <w:rFonts w:ascii="Arial" w:hAnsi="Arial" w:cs="Arial"/>
                <w:b/>
                <w:color w:val="FFFFFF" w:themeColor="background1"/>
                <w:sz w:val="18"/>
                <w:lang w:val="es-MX"/>
              </w:rPr>
            </w:pPr>
            <w:r w:rsidRPr="007C2DFF">
              <w:rPr>
                <w:rFonts w:ascii="Arial" w:hAnsi="Arial" w:cs="Arial"/>
                <w:b/>
                <w:color w:val="FFFFFF" w:themeColor="background1"/>
                <w:sz w:val="18"/>
                <w:lang w:val="es-MX"/>
              </w:rPr>
              <w:t>Tipo de Auditoría</w:t>
            </w:r>
          </w:p>
        </w:tc>
        <w:tc>
          <w:tcPr>
            <w:tcW w:w="2874" w:type="dxa"/>
            <w:tcBorders>
              <w:top w:val="single" w:sz="4" w:space="0" w:color="FFFFFF" w:themeColor="background1"/>
              <w:left w:val="single" w:sz="4" w:space="0" w:color="FFFFFF" w:themeColor="background1"/>
              <w:right w:val="single" w:sz="4" w:space="0" w:color="FFFFFF" w:themeColor="background1"/>
            </w:tcBorders>
            <w:shd w:val="clear" w:color="auto" w:fill="A5A5A5" w:themeFill="accent3"/>
            <w:vAlign w:val="center"/>
          </w:tcPr>
          <w:p w14:paraId="25B26B31" w14:textId="77777777" w:rsidR="00BC59AA" w:rsidRPr="007C2DFF" w:rsidRDefault="00BC59AA" w:rsidP="005E0038">
            <w:pPr>
              <w:jc w:val="center"/>
              <w:rPr>
                <w:rFonts w:ascii="Arial" w:hAnsi="Arial" w:cs="Arial"/>
                <w:b/>
                <w:color w:val="FFFFFF" w:themeColor="background1"/>
                <w:sz w:val="18"/>
                <w:lang w:val="es-MX"/>
              </w:rPr>
            </w:pPr>
            <w:r w:rsidRPr="007C2DFF">
              <w:rPr>
                <w:rFonts w:ascii="Arial" w:hAnsi="Arial" w:cs="Arial"/>
                <w:b/>
                <w:color w:val="FFFFFF" w:themeColor="background1"/>
                <w:sz w:val="18"/>
                <w:lang w:val="es-MX"/>
              </w:rPr>
              <w:t>Cuestionarios Aplicados</w:t>
            </w:r>
          </w:p>
        </w:tc>
      </w:tr>
      <w:tr w:rsidR="00BC59AA" w:rsidRPr="007C2DFF" w14:paraId="30488F31" w14:textId="77777777" w:rsidTr="005E0038">
        <w:trPr>
          <w:trHeight w:val="454"/>
          <w:jc w:val="center"/>
        </w:trPr>
        <w:tc>
          <w:tcPr>
            <w:tcW w:w="4360" w:type="dxa"/>
            <w:vAlign w:val="center"/>
          </w:tcPr>
          <w:p w14:paraId="16F8DF36" w14:textId="77777777" w:rsidR="00BC59AA" w:rsidRPr="007C2DFF" w:rsidRDefault="00BC59AA" w:rsidP="005E0038">
            <w:pPr>
              <w:pStyle w:val="TableParagraph"/>
              <w:spacing w:before="12"/>
              <w:ind w:left="107"/>
              <w:rPr>
                <w:sz w:val="18"/>
                <w:szCs w:val="18"/>
                <w:lang w:val="es-MX"/>
              </w:rPr>
            </w:pPr>
            <w:r w:rsidRPr="007C2DFF">
              <w:rPr>
                <w:sz w:val="18"/>
                <w:szCs w:val="18"/>
                <w:lang w:val="es-MX"/>
              </w:rPr>
              <w:t>Auditoría de Cumplimiento Financiero</w:t>
            </w:r>
          </w:p>
        </w:tc>
        <w:tc>
          <w:tcPr>
            <w:tcW w:w="2874" w:type="dxa"/>
            <w:tcBorders>
              <w:right w:val="single" w:sz="4" w:space="0" w:color="FFFFFF" w:themeColor="background1"/>
            </w:tcBorders>
            <w:vAlign w:val="center"/>
          </w:tcPr>
          <w:p w14:paraId="6497D80E" w14:textId="77777777" w:rsidR="00BC59AA" w:rsidRPr="007C2DFF" w:rsidRDefault="00BC59AA" w:rsidP="005E0038">
            <w:pPr>
              <w:pStyle w:val="TableParagraph"/>
              <w:spacing w:before="12"/>
              <w:ind w:left="193" w:right="293"/>
              <w:jc w:val="center"/>
              <w:rPr>
                <w:sz w:val="18"/>
                <w:szCs w:val="18"/>
                <w:lang w:val="es-MX"/>
              </w:rPr>
            </w:pPr>
            <w:r>
              <w:rPr>
                <w:sz w:val="18"/>
                <w:szCs w:val="18"/>
                <w:lang w:val="es-MX"/>
              </w:rPr>
              <w:t>164</w:t>
            </w:r>
          </w:p>
        </w:tc>
      </w:tr>
      <w:tr w:rsidR="00BC59AA" w:rsidRPr="007C2DFF" w14:paraId="54BF1C5E" w14:textId="77777777" w:rsidTr="005E0038">
        <w:trPr>
          <w:trHeight w:val="454"/>
          <w:jc w:val="center"/>
        </w:trPr>
        <w:tc>
          <w:tcPr>
            <w:tcW w:w="4360" w:type="dxa"/>
            <w:shd w:val="clear" w:color="auto" w:fill="F2F2F2"/>
            <w:vAlign w:val="center"/>
          </w:tcPr>
          <w:p w14:paraId="6AAA192C" w14:textId="77777777" w:rsidR="00BC59AA" w:rsidRPr="007C2DFF" w:rsidRDefault="00BC59AA" w:rsidP="005E0038">
            <w:pPr>
              <w:pStyle w:val="TableParagraph"/>
              <w:ind w:left="107"/>
              <w:rPr>
                <w:sz w:val="18"/>
                <w:szCs w:val="18"/>
                <w:lang w:val="es-MX"/>
              </w:rPr>
            </w:pPr>
            <w:r w:rsidRPr="007C2DFF">
              <w:rPr>
                <w:sz w:val="18"/>
                <w:szCs w:val="18"/>
                <w:lang w:val="es-MX"/>
              </w:rPr>
              <w:t>Auditoría de Inversiones Físicas</w:t>
            </w:r>
          </w:p>
        </w:tc>
        <w:tc>
          <w:tcPr>
            <w:tcW w:w="2874" w:type="dxa"/>
            <w:shd w:val="clear" w:color="auto" w:fill="F2F2F2"/>
            <w:vAlign w:val="center"/>
          </w:tcPr>
          <w:p w14:paraId="1A94AD0A" w14:textId="77777777" w:rsidR="00BC59AA" w:rsidRPr="007C2DFF" w:rsidRDefault="00BC59AA" w:rsidP="005E0038">
            <w:pPr>
              <w:pStyle w:val="TableParagraph"/>
              <w:ind w:left="193" w:right="293"/>
              <w:jc w:val="center"/>
              <w:rPr>
                <w:sz w:val="18"/>
                <w:szCs w:val="18"/>
                <w:lang w:val="es-MX"/>
              </w:rPr>
            </w:pPr>
            <w:r>
              <w:rPr>
                <w:sz w:val="18"/>
                <w:szCs w:val="18"/>
                <w:lang w:val="es-MX"/>
              </w:rPr>
              <w:t>44</w:t>
            </w:r>
          </w:p>
        </w:tc>
      </w:tr>
      <w:tr w:rsidR="00BC59AA" w:rsidRPr="007C2DFF" w14:paraId="56225425" w14:textId="77777777" w:rsidTr="005E0038">
        <w:trPr>
          <w:trHeight w:val="454"/>
          <w:jc w:val="center"/>
        </w:trPr>
        <w:tc>
          <w:tcPr>
            <w:tcW w:w="4360" w:type="dxa"/>
            <w:vAlign w:val="center"/>
          </w:tcPr>
          <w:p w14:paraId="42B023C8" w14:textId="77777777" w:rsidR="00BC59AA" w:rsidRPr="007C2DFF" w:rsidRDefault="00BC59AA" w:rsidP="005E0038">
            <w:pPr>
              <w:pStyle w:val="TableParagraph"/>
              <w:spacing w:before="1"/>
              <w:ind w:left="107"/>
              <w:rPr>
                <w:sz w:val="18"/>
                <w:szCs w:val="18"/>
                <w:lang w:val="es-MX"/>
              </w:rPr>
            </w:pPr>
            <w:r w:rsidRPr="007C2DFF">
              <w:rPr>
                <w:sz w:val="18"/>
                <w:szCs w:val="18"/>
                <w:lang w:val="es-MX"/>
              </w:rPr>
              <w:t>Auditoría al Desempeño</w:t>
            </w:r>
          </w:p>
        </w:tc>
        <w:tc>
          <w:tcPr>
            <w:tcW w:w="2874" w:type="dxa"/>
            <w:vAlign w:val="center"/>
          </w:tcPr>
          <w:p w14:paraId="7A597D21" w14:textId="77777777" w:rsidR="00BC59AA" w:rsidRPr="007C2DFF" w:rsidRDefault="00BC59AA" w:rsidP="005E0038">
            <w:pPr>
              <w:pStyle w:val="TableParagraph"/>
              <w:spacing w:before="1"/>
              <w:ind w:left="193" w:right="293"/>
              <w:jc w:val="center"/>
              <w:rPr>
                <w:sz w:val="18"/>
                <w:szCs w:val="18"/>
                <w:lang w:val="es-MX"/>
              </w:rPr>
            </w:pPr>
            <w:r w:rsidRPr="007C2DFF">
              <w:rPr>
                <w:sz w:val="18"/>
                <w:szCs w:val="18"/>
                <w:lang w:val="es-MX"/>
              </w:rPr>
              <w:t>39</w:t>
            </w:r>
          </w:p>
        </w:tc>
      </w:tr>
      <w:tr w:rsidR="00BC59AA" w:rsidRPr="007C2DFF" w14:paraId="09BB4264" w14:textId="77777777" w:rsidTr="005E0038">
        <w:trPr>
          <w:trHeight w:val="344"/>
          <w:jc w:val="center"/>
        </w:trPr>
        <w:tc>
          <w:tcPr>
            <w:tcW w:w="4360" w:type="dxa"/>
            <w:shd w:val="clear" w:color="auto" w:fill="F2F2F2"/>
            <w:vAlign w:val="center"/>
          </w:tcPr>
          <w:p w14:paraId="7E0304B3" w14:textId="77777777" w:rsidR="00BC59AA" w:rsidRPr="007C2DFF" w:rsidRDefault="00BC59AA" w:rsidP="005E0038">
            <w:pPr>
              <w:pStyle w:val="TableParagraph"/>
              <w:ind w:right="211"/>
              <w:jc w:val="right"/>
              <w:rPr>
                <w:b/>
                <w:sz w:val="18"/>
                <w:szCs w:val="18"/>
                <w:lang w:val="es-MX"/>
              </w:rPr>
            </w:pPr>
            <w:r w:rsidRPr="007C2DFF">
              <w:rPr>
                <w:b/>
                <w:sz w:val="18"/>
                <w:szCs w:val="18"/>
                <w:lang w:val="es-MX"/>
              </w:rPr>
              <w:t>Total:</w:t>
            </w:r>
          </w:p>
        </w:tc>
        <w:tc>
          <w:tcPr>
            <w:tcW w:w="2874" w:type="dxa"/>
            <w:shd w:val="clear" w:color="auto" w:fill="F2F2F2"/>
            <w:vAlign w:val="center"/>
          </w:tcPr>
          <w:p w14:paraId="54D8517E" w14:textId="77777777" w:rsidR="00BC59AA" w:rsidRPr="007C2DFF" w:rsidRDefault="00BC59AA" w:rsidP="005E0038">
            <w:pPr>
              <w:pStyle w:val="TableParagraph"/>
              <w:ind w:left="193" w:right="293"/>
              <w:jc w:val="center"/>
              <w:rPr>
                <w:b/>
                <w:sz w:val="18"/>
                <w:szCs w:val="18"/>
                <w:lang w:val="es-MX"/>
              </w:rPr>
            </w:pPr>
            <w:r w:rsidRPr="007C2DFF">
              <w:rPr>
                <w:b/>
                <w:sz w:val="18"/>
                <w:szCs w:val="18"/>
                <w:lang w:val="es-MX"/>
              </w:rPr>
              <w:t>24</w:t>
            </w:r>
            <w:r>
              <w:rPr>
                <w:b/>
                <w:sz w:val="18"/>
                <w:szCs w:val="18"/>
                <w:lang w:val="es-MX"/>
              </w:rPr>
              <w:t>7</w:t>
            </w:r>
          </w:p>
        </w:tc>
      </w:tr>
      <w:tr w:rsidR="00BC59AA" w:rsidRPr="00F7194B" w14:paraId="3384A388" w14:textId="77777777" w:rsidTr="005E0038">
        <w:trPr>
          <w:trHeight w:val="520"/>
          <w:jc w:val="center"/>
        </w:trPr>
        <w:tc>
          <w:tcPr>
            <w:tcW w:w="7234" w:type="dxa"/>
            <w:gridSpan w:val="2"/>
            <w:shd w:val="clear" w:color="auto" w:fill="auto"/>
            <w:vAlign w:val="center"/>
          </w:tcPr>
          <w:p w14:paraId="6FEEB437" w14:textId="77777777" w:rsidR="00BC59AA" w:rsidRPr="00C75AE2" w:rsidRDefault="0071701E" w:rsidP="005E0038">
            <w:pPr>
              <w:pStyle w:val="Textoindependiente"/>
              <w:spacing w:before="240" w:line="276" w:lineRule="auto"/>
              <w:rPr>
                <w:noProof/>
                <w:sz w:val="18"/>
                <w:szCs w:val="16"/>
                <w:lang w:eastAsia="es-MX"/>
              </w:rPr>
            </w:pPr>
            <w:r w:rsidRPr="00C75AE2">
              <w:rPr>
                <w:b/>
                <w:noProof/>
                <w:sz w:val="18"/>
                <w:szCs w:val="16"/>
                <w:lang w:eastAsia="es-MX"/>
              </w:rPr>
              <w:t>Tabla N° 11</w:t>
            </w:r>
            <w:r w:rsidR="00BC59AA" w:rsidRPr="00C75AE2">
              <w:rPr>
                <w:b/>
                <w:noProof/>
                <w:sz w:val="18"/>
                <w:szCs w:val="16"/>
                <w:lang w:eastAsia="es-MX"/>
              </w:rPr>
              <w:t>:</w:t>
            </w:r>
            <w:r w:rsidR="00BC59AA" w:rsidRPr="00C75AE2">
              <w:rPr>
                <w:noProof/>
                <w:sz w:val="18"/>
                <w:szCs w:val="16"/>
                <w:lang w:eastAsia="es-MX"/>
              </w:rPr>
              <w:t xml:space="preserve"> Realizada por la ASEQROO, datos provenientes de los cuestionarios aplicados.</w:t>
            </w:r>
          </w:p>
        </w:tc>
      </w:tr>
    </w:tbl>
    <w:p w14:paraId="0282747F" w14:textId="77777777" w:rsidR="00BC59AA" w:rsidRDefault="00BC59AA" w:rsidP="00C75AE2">
      <w:pPr>
        <w:pStyle w:val="Textoindependiente"/>
        <w:spacing w:before="2"/>
        <w:ind w:right="-8"/>
        <w:rPr>
          <w:noProof/>
        </w:rPr>
      </w:pPr>
      <w:bookmarkStart w:id="26" w:name="_TOC_250014"/>
      <w:bookmarkStart w:id="27" w:name="_Toc64067631"/>
      <w:bookmarkEnd w:id="26"/>
    </w:p>
    <w:p w14:paraId="61BBE8AD" w14:textId="77777777" w:rsidR="00BC59AA" w:rsidRDefault="00BC59AA" w:rsidP="00BC59AA">
      <w:pPr>
        <w:pStyle w:val="Textoindependiente"/>
        <w:spacing w:before="2"/>
        <w:ind w:right="-8"/>
        <w:jc w:val="center"/>
        <w:rPr>
          <w:b/>
        </w:rPr>
      </w:pPr>
      <w:r>
        <w:rPr>
          <w:noProof/>
          <w:lang w:val="es-MX" w:eastAsia="es-MX"/>
        </w:rPr>
        <w:drawing>
          <wp:inline distT="0" distB="0" distL="0" distR="0" wp14:anchorId="3C3B64AA" wp14:editId="4D919B88">
            <wp:extent cx="5524500" cy="3025140"/>
            <wp:effectExtent l="0" t="0" r="0" b="3810"/>
            <wp:docPr id="1951126246" name="Gráfico 1">
              <a:extLst xmlns:a="http://schemas.openxmlformats.org/drawingml/2006/main">
                <a:ext uri="{FF2B5EF4-FFF2-40B4-BE49-F238E27FC236}">
                  <a16:creationId xmlns:a16="http://schemas.microsoft.com/office/drawing/2014/main" id="{2D27AC73-04F5-4878-98A2-B758D10AD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DA2C11" w14:textId="77777777" w:rsidR="00BC59AA" w:rsidRDefault="00BC59AA" w:rsidP="00BC59AA">
      <w:pPr>
        <w:pStyle w:val="Textoindependiente"/>
        <w:spacing w:before="2"/>
        <w:ind w:right="-8"/>
        <w:rPr>
          <w:b/>
        </w:rPr>
      </w:pPr>
      <w:r>
        <w:rPr>
          <w:noProof/>
          <w:lang w:val="es-MX" w:eastAsia="es-MX"/>
        </w:rPr>
        <mc:AlternateContent>
          <mc:Choice Requires="wps">
            <w:drawing>
              <wp:anchor distT="0" distB="0" distL="114300" distR="114300" simplePos="0" relativeHeight="251666432" behindDoc="0" locked="0" layoutInCell="1" allowOverlap="1" wp14:anchorId="66089F13" wp14:editId="73CB809A">
                <wp:simplePos x="0" y="0"/>
                <wp:positionH relativeFrom="column">
                  <wp:posOffset>742315</wp:posOffset>
                </wp:positionH>
                <wp:positionV relativeFrom="paragraph">
                  <wp:posOffset>138430</wp:posOffset>
                </wp:positionV>
                <wp:extent cx="3727450" cy="27305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3727450" cy="273050"/>
                        </a:xfrm>
                        <a:prstGeom prst="rect">
                          <a:avLst/>
                        </a:prstGeom>
                        <a:noFill/>
                        <a:ln w="6350">
                          <a:noFill/>
                        </a:ln>
                      </wps:spPr>
                      <wps:txbx>
                        <w:txbxContent>
                          <w:p w14:paraId="4D67C353" w14:textId="77777777" w:rsidR="00D33739" w:rsidRPr="00C75AE2" w:rsidRDefault="00D33739" w:rsidP="00BC59AA">
                            <w:pPr>
                              <w:pStyle w:val="Textoindependiente"/>
                              <w:spacing w:line="276" w:lineRule="auto"/>
                              <w:jc w:val="center"/>
                              <w:rPr>
                                <w:sz w:val="32"/>
                              </w:rPr>
                            </w:pPr>
                            <w:r w:rsidRPr="00C75AE2">
                              <w:rPr>
                                <w:b/>
                                <w:noProof/>
                                <w:sz w:val="20"/>
                                <w:szCs w:val="16"/>
                                <w:lang w:eastAsia="es-MX"/>
                              </w:rPr>
                              <w:t>Gráfica N° 10:</w:t>
                            </w:r>
                            <w:r w:rsidRPr="00C75AE2">
                              <w:rPr>
                                <w:noProof/>
                                <w:sz w:val="20"/>
                                <w:szCs w:val="16"/>
                                <w:lang w:eastAsia="es-MX"/>
                              </w:rPr>
                              <w:t xml:space="preserve"> Elaboración propia, encuestas aplicadas por auditoría.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89F13" id="Cuadro de texto 54" o:spid="_x0000_s1030" type="#_x0000_t202" style="position:absolute;margin-left:58.45pt;margin-top:10.9pt;width:293.5pt;height:2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" filled="f" stroked="f" strokeweight=".5pt">
                <v:textbox>
                  <w:txbxContent>
                    <w:p w14:paraId="4D67C353" w14:textId="77777777" w:rsidR="00D33739" w:rsidRPr="00C75AE2" w:rsidRDefault="00D33739" w:rsidP="00BC59AA">
                      <w:pPr>
                        <w:pStyle w:val="Textoindependiente"/>
                        <w:spacing w:line="276" w:lineRule="auto"/>
                        <w:jc w:val="center"/>
                        <w:rPr>
                          <w:sz w:val="32"/>
                        </w:rPr>
                      </w:pPr>
                      <w:r w:rsidRPr="00C75AE2">
                        <w:rPr>
                          <w:b/>
                          <w:noProof/>
                          <w:sz w:val="20"/>
                          <w:szCs w:val="16"/>
                          <w:lang w:eastAsia="es-MX"/>
                        </w:rPr>
                        <w:t>Gráfica N° 10:</w:t>
                      </w:r>
                      <w:r w:rsidRPr="00C75AE2">
                        <w:rPr>
                          <w:noProof/>
                          <w:sz w:val="20"/>
                          <w:szCs w:val="16"/>
                          <w:lang w:eastAsia="es-MX"/>
                        </w:rPr>
                        <w:t xml:space="preserve"> Elaboración propia, encuestas aplicadas por auditoría.</w:t>
                      </w:r>
                    </w:p>
                  </w:txbxContent>
                </v:textbox>
              </v:shape>
            </w:pict>
          </mc:Fallback>
        </mc:AlternateContent>
      </w:r>
    </w:p>
    <w:p w14:paraId="4CD92BEB" w14:textId="77777777" w:rsidR="00BC59AA" w:rsidRDefault="00BC59AA" w:rsidP="00BC59AA">
      <w:pPr>
        <w:pStyle w:val="Textoindependiente"/>
        <w:spacing w:before="2"/>
        <w:ind w:right="-8"/>
        <w:rPr>
          <w:b/>
        </w:rPr>
      </w:pPr>
    </w:p>
    <w:p w14:paraId="4276A280" w14:textId="77777777" w:rsidR="00BC59AA" w:rsidRDefault="00BC59AA" w:rsidP="00BC59AA">
      <w:pPr>
        <w:pStyle w:val="Textoindependiente"/>
        <w:spacing w:before="2"/>
        <w:ind w:right="-8"/>
        <w:rPr>
          <w:b/>
        </w:rPr>
      </w:pPr>
    </w:p>
    <w:p w14:paraId="5C44DC6B" w14:textId="77777777" w:rsidR="00BC59AA" w:rsidRPr="00F7194B" w:rsidRDefault="00BC59AA" w:rsidP="00BC59AA">
      <w:pPr>
        <w:pStyle w:val="Textoindependiente"/>
        <w:spacing w:before="2"/>
        <w:ind w:right="-8"/>
        <w:rPr>
          <w:b/>
        </w:rPr>
      </w:pPr>
      <w:r w:rsidRPr="00F7194B">
        <w:rPr>
          <w:b/>
        </w:rPr>
        <w:t>Resultados del análisis.</w:t>
      </w:r>
      <w:bookmarkEnd w:id="27"/>
    </w:p>
    <w:p w14:paraId="58C8DF7E" w14:textId="77777777" w:rsidR="00BC59AA" w:rsidRPr="00475599" w:rsidRDefault="00BC59AA" w:rsidP="00BC59AA">
      <w:pPr>
        <w:pStyle w:val="Textoindependiente"/>
        <w:ind w:left="142" w:right="142"/>
        <w:jc w:val="both"/>
        <w:rPr>
          <w:b/>
          <w:sz w:val="14"/>
        </w:rPr>
      </w:pPr>
    </w:p>
    <w:p w14:paraId="2D32D0D2" w14:textId="77777777" w:rsidR="00BC59AA" w:rsidRPr="00475599" w:rsidRDefault="00BC59AA" w:rsidP="00BC59AA">
      <w:pPr>
        <w:pStyle w:val="Textoindependiente"/>
        <w:ind w:left="142" w:right="142"/>
        <w:jc w:val="both"/>
        <w:rPr>
          <w:b/>
          <w:sz w:val="14"/>
        </w:rPr>
      </w:pPr>
    </w:p>
    <w:p w14:paraId="1181DF49" w14:textId="77777777" w:rsidR="00BC59AA" w:rsidRDefault="00BC59AA" w:rsidP="00BC59AA">
      <w:pPr>
        <w:pStyle w:val="Textoindependiente"/>
        <w:numPr>
          <w:ilvl w:val="0"/>
          <w:numId w:val="16"/>
        </w:numPr>
        <w:spacing w:line="276" w:lineRule="auto"/>
        <w:ind w:left="284"/>
        <w:jc w:val="both"/>
      </w:pPr>
      <w:r w:rsidRPr="00F7194B">
        <w:t xml:space="preserve">Con base a los resultados de los cuestionarios electrónicos aplicados, se identificaron </w:t>
      </w:r>
      <w:r>
        <w:t>191</w:t>
      </w:r>
      <w:r w:rsidRPr="00F7194B">
        <w:t xml:space="preserve"> resultados relevantes y </w:t>
      </w:r>
      <w:r>
        <w:t>56</w:t>
      </w:r>
      <w:r w:rsidRPr="00F7194B">
        <w:t xml:space="preserve"> no relevantes, conforme al siguiente esquema:</w:t>
      </w:r>
    </w:p>
    <w:p w14:paraId="3E5FA293" w14:textId="77777777" w:rsidR="00BC59AA" w:rsidRDefault="00BC59AA" w:rsidP="00BC59AA">
      <w:pPr>
        <w:pStyle w:val="Textoindependiente"/>
        <w:spacing w:line="276" w:lineRule="auto"/>
        <w:ind w:left="-76"/>
        <w:jc w:val="center"/>
      </w:pPr>
      <w:r w:rsidRPr="00C75AE2">
        <w:rPr>
          <w:noProof/>
          <w:shd w:val="clear" w:color="auto" w:fill="FFFFFF" w:themeFill="background1"/>
          <w:lang w:val="es-MX" w:eastAsia="es-MX"/>
        </w:rPr>
        <w:drawing>
          <wp:anchor distT="0" distB="0" distL="114300" distR="114300" simplePos="0" relativeHeight="251677696" behindDoc="0" locked="0" layoutInCell="1" allowOverlap="1" wp14:anchorId="611198F1" wp14:editId="7B253F45">
            <wp:simplePos x="0" y="0"/>
            <wp:positionH relativeFrom="margin">
              <wp:align>center</wp:align>
            </wp:positionH>
            <wp:positionV relativeFrom="paragraph">
              <wp:posOffset>3810</wp:posOffset>
            </wp:positionV>
            <wp:extent cx="4899660" cy="2964180"/>
            <wp:effectExtent l="0" t="0" r="0" b="7620"/>
            <wp:wrapThrough wrapText="bothSides">
              <wp:wrapPolygon edited="0">
                <wp:start x="0" y="0"/>
                <wp:lineTo x="0" y="21517"/>
                <wp:lineTo x="21499" y="21517"/>
                <wp:lineTo x="21499" y="0"/>
                <wp:lineTo x="0" y="0"/>
              </wp:wrapPolygon>
            </wp:wrapThrough>
            <wp:docPr id="1298190315" name="Gráfico 1">
              <a:extLst xmlns:a="http://schemas.openxmlformats.org/drawingml/2006/main">
                <a:ext uri="{FF2B5EF4-FFF2-40B4-BE49-F238E27FC236}">
                  <a16:creationId xmlns:a16="http://schemas.microsoft.com/office/drawing/2014/main" id="{6F8E8CC8-2264-4ED4-A602-F912E3BBC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75ECBDF0" w14:textId="77777777" w:rsidR="00BC59AA" w:rsidRPr="00F7194B" w:rsidRDefault="00BC59AA" w:rsidP="00BC59AA">
      <w:pPr>
        <w:pStyle w:val="Textoindependiente"/>
        <w:spacing w:line="276" w:lineRule="auto"/>
        <w:ind w:left="-76"/>
        <w:jc w:val="center"/>
      </w:pPr>
    </w:p>
    <w:p w14:paraId="163F868B" w14:textId="77777777" w:rsidR="00C75AE2" w:rsidRDefault="00C75AE2" w:rsidP="00BC59AA">
      <w:pPr>
        <w:pStyle w:val="Textoindependiente"/>
        <w:spacing w:line="276" w:lineRule="auto"/>
        <w:ind w:left="-76"/>
        <w:jc w:val="center"/>
        <w:rPr>
          <w:b/>
          <w:noProof/>
          <w:sz w:val="20"/>
          <w:szCs w:val="16"/>
          <w:lang w:eastAsia="es-MX"/>
        </w:rPr>
      </w:pPr>
    </w:p>
    <w:p w14:paraId="1E193AC5" w14:textId="77777777" w:rsidR="00C75AE2" w:rsidRDefault="00C75AE2" w:rsidP="00BC59AA">
      <w:pPr>
        <w:pStyle w:val="Textoindependiente"/>
        <w:spacing w:line="276" w:lineRule="auto"/>
        <w:ind w:left="-76"/>
        <w:jc w:val="center"/>
        <w:rPr>
          <w:b/>
          <w:noProof/>
          <w:sz w:val="20"/>
          <w:szCs w:val="16"/>
          <w:lang w:eastAsia="es-MX"/>
        </w:rPr>
      </w:pPr>
    </w:p>
    <w:p w14:paraId="48F05ADA" w14:textId="77777777" w:rsidR="00C75AE2" w:rsidRDefault="00C75AE2" w:rsidP="00BC59AA">
      <w:pPr>
        <w:pStyle w:val="Textoindependiente"/>
        <w:spacing w:line="276" w:lineRule="auto"/>
        <w:ind w:left="-76"/>
        <w:jc w:val="center"/>
        <w:rPr>
          <w:b/>
          <w:noProof/>
          <w:sz w:val="20"/>
          <w:szCs w:val="16"/>
          <w:lang w:eastAsia="es-MX"/>
        </w:rPr>
      </w:pPr>
    </w:p>
    <w:p w14:paraId="47DA3B61" w14:textId="77777777" w:rsidR="00C75AE2" w:rsidRDefault="00C75AE2" w:rsidP="00BC59AA">
      <w:pPr>
        <w:pStyle w:val="Textoindependiente"/>
        <w:spacing w:line="276" w:lineRule="auto"/>
        <w:ind w:left="-76"/>
        <w:jc w:val="center"/>
        <w:rPr>
          <w:b/>
          <w:noProof/>
          <w:sz w:val="20"/>
          <w:szCs w:val="16"/>
          <w:lang w:eastAsia="es-MX"/>
        </w:rPr>
      </w:pPr>
    </w:p>
    <w:p w14:paraId="1A24DE71" w14:textId="77777777" w:rsidR="00C75AE2" w:rsidRDefault="00C75AE2" w:rsidP="00BC59AA">
      <w:pPr>
        <w:pStyle w:val="Textoindependiente"/>
        <w:spacing w:line="276" w:lineRule="auto"/>
        <w:ind w:left="-76"/>
        <w:jc w:val="center"/>
        <w:rPr>
          <w:b/>
          <w:noProof/>
          <w:sz w:val="20"/>
          <w:szCs w:val="16"/>
          <w:lang w:eastAsia="es-MX"/>
        </w:rPr>
      </w:pPr>
    </w:p>
    <w:p w14:paraId="1376659A" w14:textId="77777777" w:rsidR="00C75AE2" w:rsidRDefault="00C75AE2" w:rsidP="00BC59AA">
      <w:pPr>
        <w:pStyle w:val="Textoindependiente"/>
        <w:spacing w:line="276" w:lineRule="auto"/>
        <w:ind w:left="-76"/>
        <w:jc w:val="center"/>
        <w:rPr>
          <w:b/>
          <w:noProof/>
          <w:sz w:val="20"/>
          <w:szCs w:val="16"/>
          <w:lang w:eastAsia="es-MX"/>
        </w:rPr>
      </w:pPr>
    </w:p>
    <w:p w14:paraId="40248289" w14:textId="77777777" w:rsidR="00C75AE2" w:rsidRDefault="00C75AE2" w:rsidP="00BC59AA">
      <w:pPr>
        <w:pStyle w:val="Textoindependiente"/>
        <w:spacing w:line="276" w:lineRule="auto"/>
        <w:ind w:left="-76"/>
        <w:jc w:val="center"/>
        <w:rPr>
          <w:b/>
          <w:noProof/>
          <w:sz w:val="20"/>
          <w:szCs w:val="16"/>
          <w:lang w:eastAsia="es-MX"/>
        </w:rPr>
      </w:pPr>
    </w:p>
    <w:p w14:paraId="53B0A772" w14:textId="77777777" w:rsidR="00C75AE2" w:rsidRDefault="00C75AE2" w:rsidP="00BC59AA">
      <w:pPr>
        <w:pStyle w:val="Textoindependiente"/>
        <w:spacing w:line="276" w:lineRule="auto"/>
        <w:ind w:left="-76"/>
        <w:jc w:val="center"/>
        <w:rPr>
          <w:b/>
          <w:noProof/>
          <w:sz w:val="20"/>
          <w:szCs w:val="16"/>
          <w:lang w:eastAsia="es-MX"/>
        </w:rPr>
      </w:pPr>
    </w:p>
    <w:p w14:paraId="3B14ACE9" w14:textId="77777777" w:rsidR="00C75AE2" w:rsidRDefault="00C75AE2" w:rsidP="00BC59AA">
      <w:pPr>
        <w:pStyle w:val="Textoindependiente"/>
        <w:spacing w:line="276" w:lineRule="auto"/>
        <w:ind w:left="-76"/>
        <w:jc w:val="center"/>
        <w:rPr>
          <w:b/>
          <w:noProof/>
          <w:sz w:val="20"/>
          <w:szCs w:val="16"/>
          <w:lang w:eastAsia="es-MX"/>
        </w:rPr>
      </w:pPr>
    </w:p>
    <w:p w14:paraId="233A4116" w14:textId="77777777" w:rsidR="00C75AE2" w:rsidRPr="00C75AE2" w:rsidRDefault="00BC59AA" w:rsidP="00C75AE2">
      <w:pPr>
        <w:pStyle w:val="Textoindependiente"/>
        <w:spacing w:line="276" w:lineRule="auto"/>
        <w:ind w:left="-76"/>
        <w:jc w:val="center"/>
        <w:rPr>
          <w:noProof/>
          <w:sz w:val="20"/>
          <w:szCs w:val="16"/>
          <w:lang w:eastAsia="es-MX"/>
        </w:rPr>
      </w:pPr>
      <w:r w:rsidRPr="00C75AE2">
        <w:rPr>
          <w:b/>
          <w:noProof/>
          <w:sz w:val="20"/>
          <w:szCs w:val="16"/>
          <w:lang w:eastAsia="es-MX"/>
        </w:rPr>
        <w:t>Gráfica N° 11:</w:t>
      </w:r>
      <w:r w:rsidRPr="00C75AE2">
        <w:rPr>
          <w:noProof/>
          <w:sz w:val="20"/>
          <w:szCs w:val="16"/>
          <w:lang w:eastAsia="es-MX"/>
        </w:rPr>
        <w:t xml:space="preserve"> Elaboración propia, datos provenientes de los cuestionarios aplicados.</w:t>
      </w:r>
    </w:p>
    <w:p w14:paraId="0CDFA5B0" w14:textId="77777777" w:rsidR="00BC59AA" w:rsidRPr="00F7194B" w:rsidRDefault="00BC59AA" w:rsidP="00BC59AA">
      <w:pPr>
        <w:pStyle w:val="Textoindependiente"/>
        <w:numPr>
          <w:ilvl w:val="0"/>
          <w:numId w:val="16"/>
        </w:numPr>
        <w:spacing w:line="276" w:lineRule="auto"/>
        <w:ind w:left="284"/>
        <w:jc w:val="both"/>
      </w:pPr>
      <w:r w:rsidRPr="00F7194B">
        <w:lastRenderedPageBreak/>
        <w:t>Identificación de los principales riesgos/problemáticas en las auditorías realizadas:</w:t>
      </w:r>
    </w:p>
    <w:p w14:paraId="7AE4095B" w14:textId="77777777" w:rsidR="00BC59AA" w:rsidRDefault="00BC59AA" w:rsidP="00BC59AA">
      <w:pPr>
        <w:pStyle w:val="Textoindependiente"/>
        <w:spacing w:line="276" w:lineRule="auto"/>
        <w:ind w:left="-76"/>
        <w:jc w:val="both"/>
      </w:pPr>
    </w:p>
    <w:p w14:paraId="1947DFA6" w14:textId="77777777" w:rsidR="00BC59AA" w:rsidRPr="00F7194B" w:rsidRDefault="00BC59AA" w:rsidP="00BC59AA">
      <w:pPr>
        <w:pStyle w:val="Textoindependiente"/>
        <w:spacing w:line="276" w:lineRule="auto"/>
        <w:ind w:left="-76"/>
        <w:jc w:val="both"/>
      </w:pPr>
    </w:p>
    <w:tbl>
      <w:tblPr>
        <w:tblStyle w:val="TableNormal"/>
        <w:tblW w:w="0" w:type="auto"/>
        <w:jc w:val="center"/>
        <w:tblInd w:w="0" w:type="dxa"/>
        <w:tblLayout w:type="fixed"/>
        <w:tblLook w:val="01E0" w:firstRow="1" w:lastRow="1" w:firstColumn="1" w:lastColumn="1" w:noHBand="0" w:noVBand="0"/>
      </w:tblPr>
      <w:tblGrid>
        <w:gridCol w:w="4391"/>
        <w:gridCol w:w="1849"/>
        <w:gridCol w:w="1380"/>
      </w:tblGrid>
      <w:tr w:rsidR="00BC59AA" w:rsidRPr="009B72F2" w14:paraId="551ECF0D" w14:textId="77777777" w:rsidTr="005E0038">
        <w:trPr>
          <w:trHeight w:val="396"/>
          <w:jc w:val="center"/>
        </w:trPr>
        <w:tc>
          <w:tcPr>
            <w:tcW w:w="7620" w:type="dxa"/>
            <w:gridSpan w:val="3"/>
            <w:tcBorders>
              <w:bottom w:val="single" w:sz="4" w:space="0" w:color="FFFFFF" w:themeColor="background1"/>
            </w:tcBorders>
            <w:shd w:val="clear" w:color="auto" w:fill="A5A5A5" w:themeFill="accent3"/>
          </w:tcPr>
          <w:p w14:paraId="755B92E2" w14:textId="77777777" w:rsidR="00BC59AA" w:rsidRPr="009B72F2" w:rsidRDefault="00BC59AA" w:rsidP="005E0038">
            <w:pPr>
              <w:pStyle w:val="TableParagraph"/>
              <w:spacing w:before="60"/>
              <w:ind w:left="1032" w:right="1032"/>
              <w:jc w:val="center"/>
              <w:rPr>
                <w:b/>
                <w:color w:val="FFFFFF" w:themeColor="background1"/>
                <w:sz w:val="18"/>
                <w:szCs w:val="18"/>
              </w:rPr>
            </w:pPr>
            <w:r w:rsidRPr="009B72F2">
              <w:rPr>
                <w:b/>
                <w:color w:val="FFFFFF" w:themeColor="background1"/>
                <w:sz w:val="18"/>
                <w:szCs w:val="18"/>
              </w:rPr>
              <w:t>Identificación de principales riesgos/problemáticas en auditorías</w:t>
            </w:r>
          </w:p>
        </w:tc>
      </w:tr>
      <w:tr w:rsidR="00BC59AA" w:rsidRPr="009B72F2" w14:paraId="5BA4756E" w14:textId="77777777" w:rsidTr="005E0038">
        <w:trPr>
          <w:trHeight w:val="388"/>
          <w:jc w:val="center"/>
        </w:trPr>
        <w:tc>
          <w:tcPr>
            <w:tcW w:w="4391" w:type="dxa"/>
            <w:tcBorders>
              <w:top w:val="single" w:sz="4" w:space="0" w:color="FFFFFF" w:themeColor="background1"/>
              <w:right w:val="single" w:sz="4" w:space="0" w:color="FFFFFF" w:themeColor="background1"/>
            </w:tcBorders>
            <w:shd w:val="clear" w:color="auto" w:fill="A5A5A5" w:themeFill="accent3"/>
          </w:tcPr>
          <w:p w14:paraId="19FA15BE" w14:textId="77777777" w:rsidR="00BC59AA" w:rsidRPr="009B72F2" w:rsidRDefault="00BC59AA" w:rsidP="005E0038">
            <w:pPr>
              <w:pStyle w:val="TableParagraph"/>
              <w:spacing w:before="60"/>
              <w:ind w:left="1545" w:right="836"/>
              <w:jc w:val="center"/>
              <w:rPr>
                <w:b/>
                <w:color w:val="FFFFFF" w:themeColor="background1"/>
                <w:sz w:val="18"/>
                <w:szCs w:val="18"/>
              </w:rPr>
            </w:pPr>
            <w:r w:rsidRPr="009B72F2">
              <w:rPr>
                <w:b/>
                <w:color w:val="FFFFFF" w:themeColor="background1"/>
                <w:sz w:val="18"/>
                <w:szCs w:val="18"/>
              </w:rPr>
              <w:t>Riesgos/ Problemática</w:t>
            </w:r>
          </w:p>
        </w:tc>
        <w:tc>
          <w:tcPr>
            <w:tcW w:w="1849" w:type="dxa"/>
            <w:tcBorders>
              <w:top w:val="single" w:sz="4" w:space="0" w:color="FFFFFF" w:themeColor="background1"/>
              <w:left w:val="single" w:sz="4" w:space="0" w:color="FFFFFF" w:themeColor="background1"/>
              <w:right w:val="single" w:sz="4" w:space="0" w:color="FFFFFF" w:themeColor="background1"/>
            </w:tcBorders>
            <w:shd w:val="clear" w:color="auto" w:fill="A5A5A5" w:themeFill="accent3"/>
          </w:tcPr>
          <w:p w14:paraId="2A20E2B5" w14:textId="77777777" w:rsidR="00BC59AA" w:rsidRPr="009B72F2" w:rsidRDefault="00BC59AA" w:rsidP="005E0038">
            <w:pPr>
              <w:pStyle w:val="TableParagraph"/>
              <w:spacing w:before="60"/>
              <w:ind w:left="91" w:right="91"/>
              <w:jc w:val="center"/>
              <w:rPr>
                <w:b/>
                <w:color w:val="FFFFFF" w:themeColor="background1"/>
                <w:sz w:val="18"/>
                <w:szCs w:val="18"/>
              </w:rPr>
            </w:pPr>
            <w:r w:rsidRPr="009B72F2">
              <w:rPr>
                <w:b/>
                <w:color w:val="FFFFFF" w:themeColor="background1"/>
                <w:sz w:val="18"/>
                <w:szCs w:val="18"/>
              </w:rPr>
              <w:t>Frecuencia</w:t>
            </w:r>
          </w:p>
        </w:tc>
        <w:tc>
          <w:tcPr>
            <w:tcW w:w="1380" w:type="dxa"/>
            <w:tcBorders>
              <w:top w:val="single" w:sz="4" w:space="0" w:color="FFFFFF" w:themeColor="background1"/>
              <w:left w:val="single" w:sz="4" w:space="0" w:color="FFFFFF" w:themeColor="background1"/>
            </w:tcBorders>
            <w:shd w:val="clear" w:color="auto" w:fill="A5A5A5" w:themeFill="accent3"/>
          </w:tcPr>
          <w:p w14:paraId="4AA5F493" w14:textId="77777777" w:rsidR="00BC59AA" w:rsidRPr="009B72F2" w:rsidRDefault="00BC59AA" w:rsidP="005E0038">
            <w:pPr>
              <w:pStyle w:val="TableParagraph"/>
              <w:spacing w:before="60"/>
              <w:ind w:right="6"/>
              <w:jc w:val="center"/>
              <w:rPr>
                <w:b/>
                <w:color w:val="FFFFFF" w:themeColor="background1"/>
                <w:sz w:val="18"/>
                <w:szCs w:val="18"/>
              </w:rPr>
            </w:pPr>
            <w:r w:rsidRPr="009B72F2">
              <w:rPr>
                <w:b/>
                <w:color w:val="FFFFFF" w:themeColor="background1"/>
                <w:sz w:val="18"/>
                <w:szCs w:val="18"/>
              </w:rPr>
              <w:t>%</w:t>
            </w:r>
          </w:p>
        </w:tc>
      </w:tr>
      <w:tr w:rsidR="00BC59AA" w:rsidRPr="009B72F2" w14:paraId="436F8588" w14:textId="77777777" w:rsidTr="005E0038">
        <w:trPr>
          <w:trHeight w:val="510"/>
          <w:jc w:val="center"/>
        </w:trPr>
        <w:tc>
          <w:tcPr>
            <w:tcW w:w="4391" w:type="dxa"/>
            <w:vAlign w:val="center"/>
          </w:tcPr>
          <w:p w14:paraId="4F39E87C" w14:textId="77777777" w:rsidR="00BC59AA" w:rsidRPr="009B72F2" w:rsidRDefault="00BC59AA" w:rsidP="00667C61">
            <w:pPr>
              <w:pStyle w:val="TableParagraph"/>
              <w:ind w:left="103" w:right="142"/>
              <w:jc w:val="both"/>
              <w:rPr>
                <w:sz w:val="18"/>
                <w:szCs w:val="18"/>
              </w:rPr>
            </w:pPr>
            <w:r w:rsidRPr="009B72F2">
              <w:rPr>
                <w:sz w:val="18"/>
                <w:szCs w:val="18"/>
              </w:rPr>
              <w:t>Fallas o errores en la gestión administrativa del</w:t>
            </w:r>
            <w:r w:rsidR="000817B1">
              <w:rPr>
                <w:sz w:val="18"/>
                <w:szCs w:val="18"/>
              </w:rPr>
              <w:t xml:space="preserve"> </w:t>
            </w:r>
            <w:r w:rsidRPr="009B72F2">
              <w:rPr>
                <w:sz w:val="18"/>
                <w:szCs w:val="18"/>
              </w:rPr>
              <w:t>ente auditado.</w:t>
            </w:r>
          </w:p>
        </w:tc>
        <w:tc>
          <w:tcPr>
            <w:tcW w:w="1849" w:type="dxa"/>
            <w:vAlign w:val="center"/>
          </w:tcPr>
          <w:p w14:paraId="7B98A99F" w14:textId="77777777" w:rsidR="00BC59AA" w:rsidRPr="009B72F2" w:rsidRDefault="00BC59AA" w:rsidP="005E0038">
            <w:pPr>
              <w:pStyle w:val="TableParagraph"/>
              <w:tabs>
                <w:tab w:val="left" w:pos="2359"/>
              </w:tabs>
              <w:spacing w:before="8"/>
              <w:ind w:left="263" w:right="180"/>
              <w:jc w:val="center"/>
              <w:rPr>
                <w:sz w:val="18"/>
                <w:szCs w:val="18"/>
              </w:rPr>
            </w:pPr>
            <w:r>
              <w:rPr>
                <w:sz w:val="18"/>
                <w:szCs w:val="18"/>
              </w:rPr>
              <w:t>156</w:t>
            </w:r>
          </w:p>
        </w:tc>
        <w:tc>
          <w:tcPr>
            <w:tcW w:w="1380" w:type="dxa"/>
            <w:vAlign w:val="center"/>
          </w:tcPr>
          <w:p w14:paraId="2AB02B07" w14:textId="77777777" w:rsidR="00BC59AA" w:rsidRPr="009B72F2" w:rsidRDefault="00BC59AA" w:rsidP="00CF11C2">
            <w:pPr>
              <w:pStyle w:val="TableParagraph"/>
              <w:tabs>
                <w:tab w:val="left" w:pos="2359"/>
              </w:tabs>
              <w:spacing w:before="8"/>
              <w:ind w:left="-180"/>
              <w:jc w:val="center"/>
              <w:rPr>
                <w:sz w:val="18"/>
                <w:szCs w:val="18"/>
              </w:rPr>
            </w:pPr>
            <w:r>
              <w:rPr>
                <w:sz w:val="18"/>
                <w:szCs w:val="18"/>
              </w:rPr>
              <w:t>8</w:t>
            </w:r>
            <w:r w:rsidR="00CF11C2">
              <w:rPr>
                <w:sz w:val="18"/>
                <w:szCs w:val="18"/>
              </w:rPr>
              <w:t>1.7</w:t>
            </w:r>
          </w:p>
        </w:tc>
      </w:tr>
      <w:tr w:rsidR="00BC59AA" w:rsidRPr="009B72F2" w14:paraId="278C5072" w14:textId="77777777" w:rsidTr="000817B1">
        <w:trPr>
          <w:trHeight w:val="541"/>
          <w:jc w:val="center"/>
        </w:trPr>
        <w:tc>
          <w:tcPr>
            <w:tcW w:w="4391" w:type="dxa"/>
            <w:shd w:val="clear" w:color="auto" w:fill="F2F2F2"/>
          </w:tcPr>
          <w:p w14:paraId="28629204" w14:textId="77777777" w:rsidR="00BC59AA" w:rsidRPr="009B72F2" w:rsidRDefault="00BC59AA" w:rsidP="00667C61">
            <w:pPr>
              <w:pStyle w:val="TableParagraph"/>
              <w:spacing w:before="1"/>
              <w:ind w:left="103" w:right="142"/>
              <w:jc w:val="both"/>
              <w:rPr>
                <w:sz w:val="18"/>
                <w:szCs w:val="18"/>
              </w:rPr>
            </w:pPr>
            <w:r w:rsidRPr="009B72F2">
              <w:rPr>
                <w:sz w:val="18"/>
                <w:szCs w:val="18"/>
              </w:rPr>
              <w:t>Incumplimiento de metas y objetivos de fondos,</w:t>
            </w:r>
            <w:r w:rsidR="000817B1">
              <w:rPr>
                <w:sz w:val="18"/>
                <w:szCs w:val="18"/>
              </w:rPr>
              <w:t xml:space="preserve"> </w:t>
            </w:r>
            <w:r w:rsidRPr="009B72F2">
              <w:rPr>
                <w:sz w:val="18"/>
                <w:szCs w:val="18"/>
              </w:rPr>
              <w:t>programas o políticas públicas.</w:t>
            </w:r>
          </w:p>
        </w:tc>
        <w:tc>
          <w:tcPr>
            <w:tcW w:w="1849" w:type="dxa"/>
            <w:shd w:val="clear" w:color="auto" w:fill="F2F2F2"/>
          </w:tcPr>
          <w:p w14:paraId="68887499" w14:textId="77777777" w:rsidR="00BC59AA" w:rsidRPr="009B72F2" w:rsidRDefault="00BC59AA" w:rsidP="005E0038">
            <w:pPr>
              <w:pStyle w:val="TableParagraph"/>
              <w:spacing w:before="176"/>
              <w:ind w:left="263" w:right="180"/>
              <w:jc w:val="center"/>
              <w:rPr>
                <w:sz w:val="18"/>
                <w:szCs w:val="18"/>
              </w:rPr>
            </w:pPr>
            <w:r w:rsidRPr="009B72F2">
              <w:rPr>
                <w:sz w:val="18"/>
                <w:szCs w:val="18"/>
              </w:rPr>
              <w:t>2</w:t>
            </w:r>
            <w:r>
              <w:rPr>
                <w:sz w:val="18"/>
                <w:szCs w:val="18"/>
              </w:rPr>
              <w:t>2</w:t>
            </w:r>
          </w:p>
        </w:tc>
        <w:tc>
          <w:tcPr>
            <w:tcW w:w="1380" w:type="dxa"/>
            <w:shd w:val="clear" w:color="auto" w:fill="F2F2F2"/>
          </w:tcPr>
          <w:p w14:paraId="55EE06EB" w14:textId="77777777" w:rsidR="00BC59AA" w:rsidRPr="009B72F2" w:rsidRDefault="00CF11C2" w:rsidP="005E0038">
            <w:pPr>
              <w:pStyle w:val="TableParagraph"/>
              <w:tabs>
                <w:tab w:val="left" w:pos="814"/>
              </w:tabs>
              <w:spacing w:before="176"/>
              <w:ind w:left="247" w:right="445"/>
              <w:jc w:val="center"/>
              <w:rPr>
                <w:sz w:val="18"/>
                <w:szCs w:val="18"/>
              </w:rPr>
            </w:pPr>
            <w:r>
              <w:rPr>
                <w:sz w:val="18"/>
                <w:szCs w:val="18"/>
              </w:rPr>
              <w:t>11.5</w:t>
            </w:r>
          </w:p>
        </w:tc>
      </w:tr>
      <w:tr w:rsidR="00BC59AA" w:rsidRPr="009B72F2" w14:paraId="5D8422A7" w14:textId="77777777" w:rsidTr="007D444E">
        <w:trPr>
          <w:trHeight w:val="421"/>
          <w:jc w:val="center"/>
        </w:trPr>
        <w:tc>
          <w:tcPr>
            <w:tcW w:w="4391" w:type="dxa"/>
          </w:tcPr>
          <w:p w14:paraId="4CF6EE8B" w14:textId="77777777" w:rsidR="00BC59AA" w:rsidRPr="009B72F2" w:rsidRDefault="00BC59AA" w:rsidP="00667C61">
            <w:pPr>
              <w:pStyle w:val="TableParagraph"/>
              <w:spacing w:before="114"/>
              <w:ind w:left="103" w:right="142"/>
              <w:jc w:val="both"/>
              <w:rPr>
                <w:sz w:val="18"/>
                <w:szCs w:val="18"/>
              </w:rPr>
            </w:pPr>
            <w:r w:rsidRPr="009B72F2">
              <w:rPr>
                <w:sz w:val="18"/>
                <w:szCs w:val="18"/>
              </w:rPr>
              <w:t>Incorrecta aplicación de recursos</w:t>
            </w:r>
          </w:p>
        </w:tc>
        <w:tc>
          <w:tcPr>
            <w:tcW w:w="1849" w:type="dxa"/>
          </w:tcPr>
          <w:p w14:paraId="382A2F20" w14:textId="77777777" w:rsidR="00BC59AA" w:rsidRPr="009B72F2" w:rsidRDefault="00BC59AA" w:rsidP="005E0038">
            <w:pPr>
              <w:pStyle w:val="TableParagraph"/>
              <w:tabs>
                <w:tab w:val="left" w:pos="2359"/>
              </w:tabs>
              <w:spacing w:before="173"/>
              <w:ind w:left="263" w:right="180"/>
              <w:jc w:val="center"/>
              <w:rPr>
                <w:sz w:val="18"/>
                <w:szCs w:val="18"/>
              </w:rPr>
            </w:pPr>
            <w:r>
              <w:rPr>
                <w:sz w:val="18"/>
                <w:szCs w:val="18"/>
              </w:rPr>
              <w:t>11</w:t>
            </w:r>
          </w:p>
        </w:tc>
        <w:tc>
          <w:tcPr>
            <w:tcW w:w="1380" w:type="dxa"/>
          </w:tcPr>
          <w:p w14:paraId="455EB64B" w14:textId="77777777" w:rsidR="00BC59AA" w:rsidRPr="009B72F2" w:rsidRDefault="00CF11C2" w:rsidP="005E0038">
            <w:pPr>
              <w:pStyle w:val="TableParagraph"/>
              <w:tabs>
                <w:tab w:val="left" w:pos="2359"/>
              </w:tabs>
              <w:spacing w:before="173"/>
              <w:ind w:left="-180"/>
              <w:jc w:val="center"/>
              <w:rPr>
                <w:sz w:val="18"/>
                <w:szCs w:val="18"/>
              </w:rPr>
            </w:pPr>
            <w:r>
              <w:rPr>
                <w:sz w:val="18"/>
                <w:szCs w:val="18"/>
              </w:rPr>
              <w:t>5.8</w:t>
            </w:r>
          </w:p>
        </w:tc>
      </w:tr>
      <w:tr w:rsidR="00BC59AA" w:rsidRPr="009B72F2" w14:paraId="09D08B0A" w14:textId="77777777" w:rsidTr="005E0038">
        <w:trPr>
          <w:trHeight w:val="510"/>
          <w:jc w:val="center"/>
        </w:trPr>
        <w:tc>
          <w:tcPr>
            <w:tcW w:w="4391" w:type="dxa"/>
            <w:shd w:val="clear" w:color="auto" w:fill="F2F2F2"/>
            <w:vAlign w:val="center"/>
          </w:tcPr>
          <w:p w14:paraId="31323E7B" w14:textId="77777777" w:rsidR="00BC59AA" w:rsidRPr="009B72F2" w:rsidRDefault="00BC59AA" w:rsidP="00667C61">
            <w:pPr>
              <w:pStyle w:val="TableParagraph"/>
              <w:ind w:left="103" w:right="142"/>
              <w:jc w:val="both"/>
              <w:rPr>
                <w:sz w:val="18"/>
                <w:szCs w:val="18"/>
              </w:rPr>
            </w:pPr>
            <w:r w:rsidRPr="009B72F2">
              <w:rPr>
                <w:sz w:val="18"/>
                <w:szCs w:val="18"/>
              </w:rPr>
              <w:t>Inadecuada captación de recursos públicos</w:t>
            </w:r>
          </w:p>
        </w:tc>
        <w:tc>
          <w:tcPr>
            <w:tcW w:w="1849" w:type="dxa"/>
            <w:shd w:val="clear" w:color="auto" w:fill="F2F2F2"/>
            <w:vAlign w:val="center"/>
          </w:tcPr>
          <w:p w14:paraId="6F93B80B" w14:textId="77777777" w:rsidR="00BC59AA" w:rsidRPr="009B72F2" w:rsidRDefault="00BC59AA" w:rsidP="005E0038">
            <w:pPr>
              <w:pStyle w:val="TableParagraph"/>
              <w:ind w:left="263" w:right="180"/>
              <w:jc w:val="center"/>
              <w:rPr>
                <w:sz w:val="18"/>
                <w:szCs w:val="18"/>
              </w:rPr>
            </w:pPr>
            <w:r>
              <w:rPr>
                <w:sz w:val="18"/>
                <w:szCs w:val="18"/>
              </w:rPr>
              <w:t>2</w:t>
            </w:r>
          </w:p>
        </w:tc>
        <w:tc>
          <w:tcPr>
            <w:tcW w:w="1380" w:type="dxa"/>
            <w:shd w:val="clear" w:color="auto" w:fill="F2F2F2"/>
            <w:vAlign w:val="center"/>
          </w:tcPr>
          <w:p w14:paraId="11086327" w14:textId="77777777" w:rsidR="00BC59AA" w:rsidRPr="009B72F2" w:rsidRDefault="00BC59AA" w:rsidP="005E0038">
            <w:pPr>
              <w:pStyle w:val="TableParagraph"/>
              <w:ind w:left="-180" w:right="8"/>
              <w:jc w:val="center"/>
              <w:rPr>
                <w:sz w:val="18"/>
                <w:szCs w:val="18"/>
              </w:rPr>
            </w:pPr>
            <w:r>
              <w:rPr>
                <w:sz w:val="18"/>
                <w:szCs w:val="18"/>
              </w:rPr>
              <w:t>1</w:t>
            </w:r>
            <w:r w:rsidR="00CF11C2">
              <w:rPr>
                <w:sz w:val="18"/>
                <w:szCs w:val="18"/>
              </w:rPr>
              <w:t>.0</w:t>
            </w:r>
          </w:p>
        </w:tc>
      </w:tr>
      <w:tr w:rsidR="00BC59AA" w:rsidRPr="009B72F2" w14:paraId="0D9D93BC" w14:textId="77777777" w:rsidTr="005E0038">
        <w:trPr>
          <w:trHeight w:val="510"/>
          <w:jc w:val="center"/>
        </w:trPr>
        <w:tc>
          <w:tcPr>
            <w:tcW w:w="4391" w:type="dxa"/>
            <w:shd w:val="clear" w:color="auto" w:fill="auto"/>
            <w:vAlign w:val="center"/>
          </w:tcPr>
          <w:p w14:paraId="2072B722" w14:textId="77777777" w:rsidR="00BC59AA" w:rsidRPr="009B72F2" w:rsidRDefault="00BC59AA" w:rsidP="005E0038">
            <w:pPr>
              <w:pStyle w:val="TableParagraph"/>
              <w:spacing w:before="1"/>
              <w:ind w:left="103"/>
              <w:jc w:val="right"/>
              <w:rPr>
                <w:b/>
                <w:sz w:val="18"/>
                <w:szCs w:val="18"/>
              </w:rPr>
            </w:pPr>
            <w:r w:rsidRPr="009B72F2">
              <w:rPr>
                <w:b/>
                <w:sz w:val="18"/>
                <w:szCs w:val="18"/>
              </w:rPr>
              <w:t>Total</w:t>
            </w:r>
          </w:p>
        </w:tc>
        <w:tc>
          <w:tcPr>
            <w:tcW w:w="1849" w:type="dxa"/>
            <w:shd w:val="clear" w:color="auto" w:fill="auto"/>
            <w:vAlign w:val="center"/>
          </w:tcPr>
          <w:p w14:paraId="6BE8452D" w14:textId="77777777" w:rsidR="00BC59AA" w:rsidRPr="009B72F2" w:rsidRDefault="00BC59AA" w:rsidP="005E0038">
            <w:pPr>
              <w:pStyle w:val="TableParagraph"/>
              <w:ind w:left="263" w:right="180"/>
              <w:jc w:val="center"/>
              <w:rPr>
                <w:b/>
                <w:sz w:val="18"/>
                <w:szCs w:val="18"/>
              </w:rPr>
            </w:pPr>
            <w:r>
              <w:rPr>
                <w:b/>
                <w:sz w:val="18"/>
                <w:szCs w:val="18"/>
              </w:rPr>
              <w:t>191</w:t>
            </w:r>
          </w:p>
        </w:tc>
        <w:tc>
          <w:tcPr>
            <w:tcW w:w="1380" w:type="dxa"/>
            <w:shd w:val="clear" w:color="auto" w:fill="auto"/>
            <w:vAlign w:val="center"/>
          </w:tcPr>
          <w:p w14:paraId="48B2C788" w14:textId="77777777" w:rsidR="00BC59AA" w:rsidRPr="009B72F2" w:rsidRDefault="00BC59AA" w:rsidP="005E0038">
            <w:pPr>
              <w:pStyle w:val="TableParagraph"/>
              <w:ind w:left="-180" w:right="8"/>
              <w:jc w:val="center"/>
              <w:rPr>
                <w:b/>
                <w:sz w:val="18"/>
                <w:szCs w:val="18"/>
              </w:rPr>
            </w:pPr>
            <w:r w:rsidRPr="009B72F2">
              <w:rPr>
                <w:b/>
                <w:sz w:val="18"/>
                <w:szCs w:val="18"/>
              </w:rPr>
              <w:t>100</w:t>
            </w:r>
          </w:p>
        </w:tc>
      </w:tr>
      <w:tr w:rsidR="00BC59AA" w:rsidRPr="00F7194B" w14:paraId="4022EBA9" w14:textId="77777777" w:rsidTr="005E0038">
        <w:trPr>
          <w:trHeight w:val="283"/>
          <w:jc w:val="center"/>
        </w:trPr>
        <w:tc>
          <w:tcPr>
            <w:tcW w:w="7620" w:type="dxa"/>
            <w:gridSpan w:val="3"/>
            <w:shd w:val="clear" w:color="auto" w:fill="auto"/>
            <w:vAlign w:val="bottom"/>
          </w:tcPr>
          <w:p w14:paraId="71395947" w14:textId="77777777" w:rsidR="00BC59AA" w:rsidRPr="00C75AE2" w:rsidRDefault="0071701E" w:rsidP="00C75AE2">
            <w:pPr>
              <w:pStyle w:val="Textoindependiente"/>
              <w:spacing w:line="276" w:lineRule="auto"/>
              <w:rPr>
                <w:noProof/>
                <w:sz w:val="20"/>
                <w:szCs w:val="16"/>
                <w:lang w:eastAsia="es-MX"/>
              </w:rPr>
            </w:pPr>
            <w:r w:rsidRPr="00C75AE2">
              <w:rPr>
                <w:b/>
                <w:noProof/>
                <w:sz w:val="20"/>
                <w:szCs w:val="16"/>
                <w:lang w:eastAsia="es-MX"/>
              </w:rPr>
              <w:t>Tabla N°. 12</w:t>
            </w:r>
            <w:r w:rsidR="00BC59AA" w:rsidRPr="00C75AE2">
              <w:rPr>
                <w:b/>
                <w:noProof/>
                <w:sz w:val="20"/>
                <w:szCs w:val="16"/>
                <w:lang w:eastAsia="es-MX"/>
              </w:rPr>
              <w:t>:</w:t>
            </w:r>
            <w:r w:rsidR="00BC59AA" w:rsidRPr="00C75AE2">
              <w:rPr>
                <w:noProof/>
                <w:sz w:val="20"/>
                <w:szCs w:val="16"/>
                <w:lang w:eastAsia="es-MX"/>
              </w:rPr>
              <w:t xml:space="preserve"> Elaboración propia, datos provenientes de los cuestionarios aplicados.</w:t>
            </w:r>
          </w:p>
        </w:tc>
      </w:tr>
    </w:tbl>
    <w:p w14:paraId="16B77768" w14:textId="77777777" w:rsidR="00BC59AA" w:rsidRPr="00F7194B" w:rsidRDefault="00BC59AA" w:rsidP="00BC59AA">
      <w:pPr>
        <w:pStyle w:val="Textoindependiente"/>
        <w:spacing w:line="276" w:lineRule="auto"/>
        <w:ind w:left="624"/>
        <w:jc w:val="both"/>
      </w:pPr>
    </w:p>
    <w:p w14:paraId="176C8F6D" w14:textId="77777777" w:rsidR="00BC59AA" w:rsidRPr="00F7194B" w:rsidRDefault="00BC59AA" w:rsidP="00BC59AA">
      <w:pPr>
        <w:pStyle w:val="Textoindependiente"/>
        <w:spacing w:line="276" w:lineRule="auto"/>
        <w:ind w:left="624"/>
        <w:jc w:val="both"/>
      </w:pPr>
    </w:p>
    <w:p w14:paraId="3AC6F661" w14:textId="77777777" w:rsidR="00BC59AA" w:rsidRPr="00F7194B" w:rsidRDefault="00BC59AA" w:rsidP="00BC59AA">
      <w:pPr>
        <w:pStyle w:val="Textoindependiente"/>
        <w:spacing w:line="276" w:lineRule="auto"/>
        <w:ind w:left="284"/>
        <w:jc w:val="both"/>
      </w:pPr>
      <w:r w:rsidRPr="00F7194B">
        <w:t xml:space="preserve">De acuerdo con el análisis de resultados de las </w:t>
      </w:r>
      <w:r w:rsidR="000817B1">
        <w:t>191</w:t>
      </w:r>
      <w:r w:rsidRPr="00F7194B">
        <w:t xml:space="preserve"> encuestas con problemáticas relevantes, se observa lo siguiente:</w:t>
      </w:r>
    </w:p>
    <w:p w14:paraId="7DE6C066" w14:textId="77777777" w:rsidR="00BC59AA" w:rsidRPr="00F7194B" w:rsidRDefault="00BC59AA" w:rsidP="00BC59AA">
      <w:pPr>
        <w:pStyle w:val="Textoindependiente"/>
        <w:spacing w:line="276" w:lineRule="auto"/>
        <w:jc w:val="both"/>
      </w:pPr>
    </w:p>
    <w:p w14:paraId="18700F1B" w14:textId="77777777" w:rsidR="00BC59AA" w:rsidRPr="00F7194B" w:rsidRDefault="00BC59AA" w:rsidP="00BC59AA">
      <w:pPr>
        <w:pStyle w:val="Textoindependiente"/>
        <w:spacing w:line="276" w:lineRule="auto"/>
        <w:jc w:val="both"/>
      </w:pPr>
    </w:p>
    <w:p w14:paraId="1E0030A3" w14:textId="77777777" w:rsidR="00BC59AA" w:rsidRPr="00F7194B" w:rsidRDefault="00BC59AA" w:rsidP="00BC59AA">
      <w:pPr>
        <w:pStyle w:val="Prrafodelista"/>
        <w:widowControl w:val="0"/>
        <w:numPr>
          <w:ilvl w:val="0"/>
          <w:numId w:val="11"/>
        </w:numPr>
        <w:tabs>
          <w:tab w:val="left" w:pos="2489"/>
        </w:tabs>
        <w:autoSpaceDE w:val="0"/>
        <w:autoSpaceDN w:val="0"/>
        <w:spacing w:after="0" w:line="276" w:lineRule="auto"/>
        <w:ind w:left="709" w:right="142"/>
        <w:contextualSpacing w:val="0"/>
        <w:jc w:val="both"/>
        <w:rPr>
          <w:rFonts w:ascii="Arial" w:hAnsi="Arial" w:cs="Arial"/>
          <w:sz w:val="24"/>
        </w:rPr>
      </w:pPr>
      <w:r w:rsidRPr="00F7194B">
        <w:rPr>
          <w:rFonts w:ascii="Arial" w:hAnsi="Arial" w:cs="Arial"/>
          <w:sz w:val="24"/>
        </w:rPr>
        <w:t>Para el riesgo</w:t>
      </w:r>
      <w:r>
        <w:rPr>
          <w:rFonts w:ascii="Arial" w:hAnsi="Arial" w:cs="Arial"/>
          <w:sz w:val="24"/>
        </w:rPr>
        <w:t xml:space="preserve"> por</w:t>
      </w:r>
      <w:r w:rsidRPr="00F7194B">
        <w:rPr>
          <w:rFonts w:ascii="Arial" w:hAnsi="Arial" w:cs="Arial"/>
          <w:sz w:val="24"/>
        </w:rPr>
        <w:t xml:space="preserve"> “Fallas</w:t>
      </w:r>
      <w:r w:rsidRPr="00F7194B">
        <w:rPr>
          <w:rFonts w:ascii="Arial" w:hAnsi="Arial" w:cs="Arial"/>
          <w:spacing w:val="-10"/>
          <w:sz w:val="24"/>
        </w:rPr>
        <w:t xml:space="preserve"> </w:t>
      </w:r>
      <w:r w:rsidRPr="00F7194B">
        <w:rPr>
          <w:rFonts w:ascii="Arial" w:hAnsi="Arial" w:cs="Arial"/>
          <w:sz w:val="24"/>
        </w:rPr>
        <w:t>o</w:t>
      </w:r>
      <w:r w:rsidRPr="00F7194B">
        <w:rPr>
          <w:rFonts w:ascii="Arial" w:hAnsi="Arial" w:cs="Arial"/>
          <w:spacing w:val="-12"/>
          <w:sz w:val="24"/>
        </w:rPr>
        <w:t xml:space="preserve"> </w:t>
      </w:r>
      <w:r w:rsidRPr="00F7194B">
        <w:rPr>
          <w:rFonts w:ascii="Arial" w:hAnsi="Arial" w:cs="Arial"/>
          <w:sz w:val="24"/>
        </w:rPr>
        <w:t>errores</w:t>
      </w:r>
      <w:r w:rsidRPr="00F7194B">
        <w:rPr>
          <w:rFonts w:ascii="Arial" w:hAnsi="Arial" w:cs="Arial"/>
          <w:spacing w:val="-10"/>
          <w:sz w:val="24"/>
        </w:rPr>
        <w:t xml:space="preserve"> </w:t>
      </w:r>
      <w:r w:rsidRPr="00F7194B">
        <w:rPr>
          <w:rFonts w:ascii="Arial" w:hAnsi="Arial" w:cs="Arial"/>
          <w:sz w:val="24"/>
        </w:rPr>
        <w:t>en</w:t>
      </w:r>
      <w:r w:rsidRPr="00F7194B">
        <w:rPr>
          <w:rFonts w:ascii="Arial" w:hAnsi="Arial" w:cs="Arial"/>
          <w:spacing w:val="-12"/>
          <w:sz w:val="24"/>
        </w:rPr>
        <w:t xml:space="preserve"> </w:t>
      </w:r>
      <w:r w:rsidRPr="00F7194B">
        <w:rPr>
          <w:rFonts w:ascii="Arial" w:hAnsi="Arial" w:cs="Arial"/>
          <w:sz w:val="24"/>
        </w:rPr>
        <w:t>la</w:t>
      </w:r>
      <w:r w:rsidRPr="00F7194B">
        <w:rPr>
          <w:rFonts w:ascii="Arial" w:hAnsi="Arial" w:cs="Arial"/>
          <w:spacing w:val="-12"/>
          <w:sz w:val="24"/>
        </w:rPr>
        <w:t xml:space="preserve"> </w:t>
      </w:r>
      <w:r w:rsidRPr="00F7194B">
        <w:rPr>
          <w:rFonts w:ascii="Arial" w:hAnsi="Arial" w:cs="Arial"/>
          <w:sz w:val="24"/>
        </w:rPr>
        <w:t>gestión</w:t>
      </w:r>
      <w:r w:rsidRPr="00F7194B">
        <w:rPr>
          <w:rFonts w:ascii="Arial" w:hAnsi="Arial" w:cs="Arial"/>
          <w:spacing w:val="-12"/>
          <w:sz w:val="24"/>
        </w:rPr>
        <w:t xml:space="preserve"> </w:t>
      </w:r>
      <w:r w:rsidRPr="00F7194B">
        <w:rPr>
          <w:rFonts w:ascii="Arial" w:hAnsi="Arial" w:cs="Arial"/>
          <w:sz w:val="24"/>
        </w:rPr>
        <w:t>administrativa</w:t>
      </w:r>
      <w:r w:rsidRPr="00F7194B">
        <w:rPr>
          <w:rFonts w:ascii="Arial" w:hAnsi="Arial" w:cs="Arial"/>
          <w:spacing w:val="-12"/>
          <w:sz w:val="24"/>
        </w:rPr>
        <w:t xml:space="preserve"> </w:t>
      </w:r>
      <w:r w:rsidRPr="00F7194B">
        <w:rPr>
          <w:rFonts w:ascii="Arial" w:hAnsi="Arial" w:cs="Arial"/>
          <w:sz w:val="24"/>
        </w:rPr>
        <w:t>del</w:t>
      </w:r>
      <w:r w:rsidRPr="00F7194B">
        <w:rPr>
          <w:rFonts w:ascii="Arial" w:hAnsi="Arial" w:cs="Arial"/>
          <w:spacing w:val="-12"/>
          <w:sz w:val="24"/>
        </w:rPr>
        <w:t xml:space="preserve"> </w:t>
      </w:r>
      <w:r w:rsidRPr="00F7194B">
        <w:rPr>
          <w:rFonts w:ascii="Arial" w:hAnsi="Arial" w:cs="Arial"/>
          <w:sz w:val="24"/>
        </w:rPr>
        <w:t>ente</w:t>
      </w:r>
      <w:r w:rsidRPr="00F7194B">
        <w:rPr>
          <w:rFonts w:ascii="Arial" w:hAnsi="Arial" w:cs="Arial"/>
          <w:spacing w:val="-12"/>
          <w:sz w:val="24"/>
        </w:rPr>
        <w:t xml:space="preserve"> </w:t>
      </w:r>
      <w:r w:rsidRPr="00F7194B">
        <w:rPr>
          <w:rFonts w:ascii="Arial" w:hAnsi="Arial" w:cs="Arial"/>
          <w:sz w:val="24"/>
        </w:rPr>
        <w:t>auditado”</w:t>
      </w:r>
      <w:r>
        <w:rPr>
          <w:rFonts w:ascii="Arial" w:hAnsi="Arial" w:cs="Arial"/>
          <w:sz w:val="24"/>
        </w:rPr>
        <w:t>;</w:t>
      </w:r>
      <w:r w:rsidRPr="00F7194B">
        <w:rPr>
          <w:rFonts w:ascii="Arial" w:hAnsi="Arial" w:cs="Arial"/>
          <w:spacing w:val="-9"/>
          <w:sz w:val="24"/>
        </w:rPr>
        <w:t xml:space="preserve"> s</w:t>
      </w:r>
      <w:r w:rsidRPr="00F7194B">
        <w:rPr>
          <w:rFonts w:ascii="Arial" w:hAnsi="Arial" w:cs="Arial"/>
          <w:sz w:val="24"/>
        </w:rPr>
        <w:t>e</w:t>
      </w:r>
      <w:r w:rsidRPr="00F7194B">
        <w:rPr>
          <w:rFonts w:ascii="Arial" w:hAnsi="Arial" w:cs="Arial"/>
          <w:spacing w:val="-12"/>
          <w:sz w:val="24"/>
        </w:rPr>
        <w:t xml:space="preserve"> </w:t>
      </w:r>
      <w:r w:rsidRPr="00F7194B">
        <w:rPr>
          <w:rFonts w:ascii="Arial" w:hAnsi="Arial" w:cs="Arial"/>
          <w:sz w:val="24"/>
        </w:rPr>
        <w:t>obtuvieron</w:t>
      </w:r>
      <w:r w:rsidRPr="00F7194B">
        <w:rPr>
          <w:rFonts w:ascii="Arial" w:hAnsi="Arial" w:cs="Arial"/>
          <w:spacing w:val="-8"/>
          <w:sz w:val="24"/>
        </w:rPr>
        <w:t xml:space="preserve"> </w:t>
      </w:r>
      <w:r>
        <w:rPr>
          <w:rFonts w:ascii="Arial" w:hAnsi="Arial" w:cs="Arial"/>
          <w:sz w:val="24"/>
        </w:rPr>
        <w:t>156</w:t>
      </w:r>
      <w:r w:rsidRPr="00F7194B">
        <w:rPr>
          <w:rFonts w:ascii="Arial" w:hAnsi="Arial" w:cs="Arial"/>
          <w:sz w:val="24"/>
        </w:rPr>
        <w:t xml:space="preserve"> registros, que representa el </w:t>
      </w:r>
      <w:r>
        <w:rPr>
          <w:rFonts w:ascii="Arial" w:hAnsi="Arial" w:cs="Arial"/>
          <w:sz w:val="24"/>
        </w:rPr>
        <w:t>8</w:t>
      </w:r>
      <w:r w:rsidR="00CF11C2">
        <w:rPr>
          <w:rFonts w:ascii="Arial" w:hAnsi="Arial" w:cs="Arial"/>
          <w:sz w:val="24"/>
        </w:rPr>
        <w:t>1.7</w:t>
      </w:r>
      <w:r w:rsidRPr="00F7194B">
        <w:rPr>
          <w:rFonts w:ascii="Arial" w:hAnsi="Arial" w:cs="Arial"/>
          <w:sz w:val="24"/>
        </w:rPr>
        <w:t xml:space="preserve"> por ciento del total de las</w:t>
      </w:r>
      <w:r w:rsidRPr="00F7194B">
        <w:rPr>
          <w:rFonts w:ascii="Arial" w:hAnsi="Arial" w:cs="Arial"/>
          <w:spacing w:val="-14"/>
          <w:sz w:val="24"/>
        </w:rPr>
        <w:t xml:space="preserve"> </w:t>
      </w:r>
      <w:r w:rsidRPr="00F7194B">
        <w:rPr>
          <w:rFonts w:ascii="Arial" w:hAnsi="Arial" w:cs="Arial"/>
          <w:sz w:val="24"/>
        </w:rPr>
        <w:t>encuestas aplicadas, resultando ser el de mayor recurrencia.</w:t>
      </w:r>
    </w:p>
    <w:p w14:paraId="0856AF0A" w14:textId="77777777" w:rsidR="00BC59AA" w:rsidRPr="00F7194B" w:rsidRDefault="00BC59AA" w:rsidP="00BC59AA">
      <w:pPr>
        <w:tabs>
          <w:tab w:val="left" w:pos="2489"/>
        </w:tabs>
        <w:spacing w:line="360" w:lineRule="auto"/>
        <w:ind w:left="349" w:right="142"/>
        <w:jc w:val="both"/>
        <w:rPr>
          <w:rFonts w:ascii="Arial" w:hAnsi="Arial" w:cs="Arial"/>
          <w:sz w:val="24"/>
        </w:rPr>
      </w:pPr>
    </w:p>
    <w:p w14:paraId="0085D39A" w14:textId="77777777" w:rsidR="00BC59AA" w:rsidRPr="00F7194B" w:rsidRDefault="00BC59AA" w:rsidP="00BC59AA">
      <w:pPr>
        <w:pStyle w:val="Prrafodelista"/>
        <w:widowControl w:val="0"/>
        <w:numPr>
          <w:ilvl w:val="0"/>
          <w:numId w:val="11"/>
        </w:numPr>
        <w:tabs>
          <w:tab w:val="left" w:pos="2489"/>
        </w:tabs>
        <w:autoSpaceDE w:val="0"/>
        <w:autoSpaceDN w:val="0"/>
        <w:spacing w:after="0" w:line="276" w:lineRule="auto"/>
        <w:ind w:left="709" w:right="142"/>
        <w:contextualSpacing w:val="0"/>
        <w:jc w:val="both"/>
        <w:rPr>
          <w:rFonts w:ascii="Arial" w:hAnsi="Arial" w:cs="Arial"/>
          <w:sz w:val="24"/>
        </w:rPr>
      </w:pPr>
      <w:r w:rsidRPr="00F7194B">
        <w:rPr>
          <w:rFonts w:ascii="Arial" w:hAnsi="Arial" w:cs="Arial"/>
          <w:sz w:val="24"/>
        </w:rPr>
        <w:t>Por</w:t>
      </w:r>
      <w:r>
        <w:rPr>
          <w:rFonts w:ascii="Arial" w:hAnsi="Arial" w:cs="Arial"/>
          <w:sz w:val="24"/>
        </w:rPr>
        <w:t xml:space="preserve"> la </w:t>
      </w:r>
      <w:r w:rsidRPr="00F7194B">
        <w:rPr>
          <w:rFonts w:ascii="Arial" w:hAnsi="Arial" w:cs="Arial"/>
          <w:sz w:val="24"/>
        </w:rPr>
        <w:t xml:space="preserve">“Incumplimiento de metas y objetivos </w:t>
      </w:r>
      <w:r w:rsidRPr="00F7194B">
        <w:rPr>
          <w:rFonts w:ascii="Arial" w:hAnsi="Arial" w:cs="Arial"/>
          <w:spacing w:val="2"/>
          <w:sz w:val="24"/>
        </w:rPr>
        <w:t xml:space="preserve">de </w:t>
      </w:r>
      <w:r w:rsidR="00CF11C2">
        <w:rPr>
          <w:rFonts w:ascii="Arial" w:hAnsi="Arial" w:cs="Arial"/>
          <w:spacing w:val="2"/>
          <w:sz w:val="24"/>
        </w:rPr>
        <w:t xml:space="preserve">fondos, </w:t>
      </w:r>
      <w:r w:rsidRPr="00F7194B">
        <w:rPr>
          <w:rFonts w:ascii="Arial" w:hAnsi="Arial" w:cs="Arial"/>
          <w:sz w:val="24"/>
        </w:rPr>
        <w:t>programas o políticas públicas”</w:t>
      </w:r>
      <w:r>
        <w:rPr>
          <w:rFonts w:ascii="Arial" w:hAnsi="Arial" w:cs="Arial"/>
          <w:sz w:val="24"/>
        </w:rPr>
        <w:t>;</w:t>
      </w:r>
      <w:r w:rsidRPr="00F7194B">
        <w:rPr>
          <w:rFonts w:ascii="Arial" w:hAnsi="Arial" w:cs="Arial"/>
          <w:sz w:val="24"/>
        </w:rPr>
        <w:t xml:space="preserve"> se obtuvieron </w:t>
      </w:r>
      <w:r w:rsidRPr="009B72F2">
        <w:rPr>
          <w:rFonts w:ascii="Arial" w:hAnsi="Arial" w:cs="Arial"/>
          <w:sz w:val="24"/>
        </w:rPr>
        <w:t>2</w:t>
      </w:r>
      <w:r>
        <w:rPr>
          <w:rFonts w:ascii="Arial" w:hAnsi="Arial" w:cs="Arial"/>
          <w:sz w:val="24"/>
        </w:rPr>
        <w:t>2</w:t>
      </w:r>
      <w:r w:rsidRPr="00F7194B">
        <w:rPr>
          <w:rFonts w:ascii="Arial" w:hAnsi="Arial" w:cs="Arial"/>
          <w:sz w:val="24"/>
        </w:rPr>
        <w:t xml:space="preserve"> registros, que representan el </w:t>
      </w:r>
      <w:r w:rsidR="00CF11C2">
        <w:rPr>
          <w:rFonts w:ascii="Arial" w:hAnsi="Arial" w:cs="Arial"/>
          <w:sz w:val="24"/>
        </w:rPr>
        <w:t>11.5</w:t>
      </w:r>
      <w:r w:rsidRPr="00F7194B">
        <w:rPr>
          <w:rFonts w:ascii="Arial" w:hAnsi="Arial" w:cs="Arial"/>
          <w:sz w:val="24"/>
        </w:rPr>
        <w:t xml:space="preserve"> por ciento del total de las</w:t>
      </w:r>
      <w:r w:rsidRPr="00F7194B">
        <w:rPr>
          <w:rFonts w:ascii="Arial" w:hAnsi="Arial" w:cs="Arial"/>
          <w:spacing w:val="-15"/>
          <w:sz w:val="24"/>
        </w:rPr>
        <w:t xml:space="preserve"> </w:t>
      </w:r>
      <w:r w:rsidRPr="00F7194B">
        <w:rPr>
          <w:rFonts w:ascii="Arial" w:hAnsi="Arial" w:cs="Arial"/>
          <w:sz w:val="24"/>
        </w:rPr>
        <w:t>encuestas.</w:t>
      </w:r>
    </w:p>
    <w:p w14:paraId="29135A91" w14:textId="77777777" w:rsidR="00BC59AA" w:rsidRPr="00F7194B" w:rsidRDefault="00BC59AA" w:rsidP="00BC59AA">
      <w:pPr>
        <w:rPr>
          <w:rFonts w:ascii="Arial" w:hAnsi="Arial" w:cs="Arial"/>
          <w:sz w:val="24"/>
        </w:rPr>
      </w:pPr>
    </w:p>
    <w:p w14:paraId="6686392D" w14:textId="77777777" w:rsidR="00BC59AA" w:rsidRPr="00F7194B" w:rsidRDefault="00BC59AA" w:rsidP="00BC59AA">
      <w:pPr>
        <w:pStyle w:val="Prrafodelista"/>
        <w:widowControl w:val="0"/>
        <w:numPr>
          <w:ilvl w:val="0"/>
          <w:numId w:val="11"/>
        </w:numPr>
        <w:tabs>
          <w:tab w:val="left" w:pos="2489"/>
        </w:tabs>
        <w:autoSpaceDE w:val="0"/>
        <w:autoSpaceDN w:val="0"/>
        <w:spacing w:after="0" w:line="276" w:lineRule="auto"/>
        <w:ind w:left="709" w:right="142"/>
        <w:contextualSpacing w:val="0"/>
        <w:jc w:val="both"/>
        <w:rPr>
          <w:rFonts w:ascii="Arial" w:hAnsi="Arial" w:cs="Arial"/>
          <w:sz w:val="24"/>
        </w:rPr>
      </w:pPr>
      <w:r>
        <w:rPr>
          <w:rFonts w:ascii="Arial" w:hAnsi="Arial" w:cs="Arial"/>
          <w:sz w:val="24"/>
        </w:rPr>
        <w:t xml:space="preserve">El </w:t>
      </w:r>
      <w:r w:rsidRPr="00F7194B">
        <w:rPr>
          <w:rFonts w:ascii="Arial" w:hAnsi="Arial" w:cs="Arial"/>
          <w:sz w:val="24"/>
        </w:rPr>
        <w:t>“Incorrecta aplicación de recursos”</w:t>
      </w:r>
      <w:r>
        <w:rPr>
          <w:rFonts w:ascii="Arial" w:hAnsi="Arial" w:cs="Arial"/>
          <w:sz w:val="24"/>
        </w:rPr>
        <w:t>;</w:t>
      </w:r>
      <w:r w:rsidRPr="00F7194B">
        <w:rPr>
          <w:rFonts w:ascii="Arial" w:hAnsi="Arial" w:cs="Arial"/>
          <w:sz w:val="24"/>
        </w:rPr>
        <w:t xml:space="preserve"> obtuvo el </w:t>
      </w:r>
      <w:r w:rsidR="00CF11C2">
        <w:rPr>
          <w:rFonts w:ascii="Arial" w:hAnsi="Arial" w:cs="Arial"/>
          <w:sz w:val="24"/>
        </w:rPr>
        <w:t>5.8</w:t>
      </w:r>
      <w:r w:rsidRPr="00F7194B">
        <w:rPr>
          <w:rFonts w:ascii="Arial" w:hAnsi="Arial" w:cs="Arial"/>
          <w:sz w:val="24"/>
        </w:rPr>
        <w:t xml:space="preserve"> por ciento del total de encuestas.</w:t>
      </w:r>
    </w:p>
    <w:p w14:paraId="464C6A25" w14:textId="77777777" w:rsidR="00BC59AA" w:rsidRPr="00F7194B" w:rsidRDefault="00BC59AA" w:rsidP="00BC59AA">
      <w:pPr>
        <w:tabs>
          <w:tab w:val="left" w:pos="2489"/>
        </w:tabs>
        <w:spacing w:line="276" w:lineRule="auto"/>
        <w:ind w:left="349" w:right="142"/>
        <w:jc w:val="both"/>
        <w:rPr>
          <w:rFonts w:ascii="Arial" w:hAnsi="Arial" w:cs="Arial"/>
          <w:sz w:val="24"/>
        </w:rPr>
      </w:pPr>
    </w:p>
    <w:p w14:paraId="7C90FA16" w14:textId="77777777" w:rsidR="00BC59AA" w:rsidRDefault="00BC59AA" w:rsidP="00BC59AA">
      <w:pPr>
        <w:pStyle w:val="Prrafodelista"/>
        <w:widowControl w:val="0"/>
        <w:numPr>
          <w:ilvl w:val="0"/>
          <w:numId w:val="11"/>
        </w:numPr>
        <w:tabs>
          <w:tab w:val="left" w:pos="2489"/>
        </w:tabs>
        <w:autoSpaceDE w:val="0"/>
        <w:autoSpaceDN w:val="0"/>
        <w:spacing w:after="0" w:line="276" w:lineRule="auto"/>
        <w:ind w:left="709" w:right="142"/>
        <w:contextualSpacing w:val="0"/>
        <w:jc w:val="both"/>
        <w:rPr>
          <w:rFonts w:ascii="Arial" w:hAnsi="Arial" w:cs="Arial"/>
          <w:sz w:val="24"/>
        </w:rPr>
      </w:pPr>
      <w:r w:rsidRPr="00F7194B">
        <w:rPr>
          <w:rFonts w:ascii="Arial" w:hAnsi="Arial" w:cs="Arial"/>
          <w:sz w:val="24"/>
        </w:rPr>
        <w:t>Finalmente, la “Inadecuada captación de recursos públicos”</w:t>
      </w:r>
      <w:r>
        <w:rPr>
          <w:rFonts w:ascii="Arial" w:hAnsi="Arial" w:cs="Arial"/>
          <w:sz w:val="24"/>
        </w:rPr>
        <w:t>;</w:t>
      </w:r>
      <w:r w:rsidRPr="00F7194B">
        <w:rPr>
          <w:rFonts w:ascii="Arial" w:hAnsi="Arial" w:cs="Arial"/>
          <w:sz w:val="24"/>
        </w:rPr>
        <w:t xml:space="preserve"> resultó con el </w:t>
      </w:r>
      <w:r>
        <w:rPr>
          <w:rFonts w:ascii="Arial" w:hAnsi="Arial" w:cs="Arial"/>
          <w:sz w:val="24"/>
        </w:rPr>
        <w:t>1</w:t>
      </w:r>
      <w:r w:rsidRPr="00F7194B">
        <w:rPr>
          <w:rFonts w:ascii="Arial" w:hAnsi="Arial" w:cs="Arial"/>
          <w:sz w:val="24"/>
        </w:rPr>
        <w:t xml:space="preserve"> por</w:t>
      </w:r>
      <w:r w:rsidRPr="00F7194B">
        <w:rPr>
          <w:rFonts w:ascii="Arial" w:hAnsi="Arial" w:cs="Arial"/>
          <w:spacing w:val="-3"/>
          <w:sz w:val="24"/>
        </w:rPr>
        <w:t xml:space="preserve"> </w:t>
      </w:r>
      <w:r w:rsidRPr="00F7194B">
        <w:rPr>
          <w:rFonts w:ascii="Arial" w:hAnsi="Arial" w:cs="Arial"/>
          <w:sz w:val="24"/>
        </w:rPr>
        <w:t>ciento de relevancia.</w:t>
      </w:r>
    </w:p>
    <w:p w14:paraId="60D7065E" w14:textId="77777777" w:rsidR="00BC59AA" w:rsidRDefault="00BC59AA" w:rsidP="00BC59AA">
      <w:pPr>
        <w:widowControl w:val="0"/>
        <w:tabs>
          <w:tab w:val="left" w:pos="2489"/>
        </w:tabs>
        <w:autoSpaceDE w:val="0"/>
        <w:autoSpaceDN w:val="0"/>
        <w:spacing w:after="0" w:line="276" w:lineRule="auto"/>
        <w:ind w:right="142"/>
        <w:jc w:val="both"/>
        <w:rPr>
          <w:rFonts w:ascii="Arial" w:hAnsi="Arial" w:cs="Arial"/>
          <w:sz w:val="24"/>
        </w:rPr>
      </w:pPr>
    </w:p>
    <w:p w14:paraId="341C1F0A" w14:textId="77777777" w:rsidR="00BC59AA" w:rsidRDefault="00BC59AA" w:rsidP="00BC59AA">
      <w:pPr>
        <w:widowControl w:val="0"/>
        <w:tabs>
          <w:tab w:val="left" w:pos="2489"/>
        </w:tabs>
        <w:autoSpaceDE w:val="0"/>
        <w:autoSpaceDN w:val="0"/>
        <w:spacing w:after="0" w:line="276" w:lineRule="auto"/>
        <w:ind w:right="142"/>
        <w:jc w:val="both"/>
        <w:rPr>
          <w:rFonts w:ascii="Arial" w:hAnsi="Arial" w:cs="Arial"/>
          <w:sz w:val="24"/>
        </w:rPr>
      </w:pPr>
    </w:p>
    <w:p w14:paraId="35DF82C6" w14:textId="77777777" w:rsidR="00BC59AA" w:rsidRDefault="00BC59AA" w:rsidP="00BC59AA">
      <w:pPr>
        <w:widowControl w:val="0"/>
        <w:tabs>
          <w:tab w:val="left" w:pos="2489"/>
        </w:tabs>
        <w:autoSpaceDE w:val="0"/>
        <w:autoSpaceDN w:val="0"/>
        <w:spacing w:after="0" w:line="276" w:lineRule="auto"/>
        <w:ind w:right="142"/>
        <w:jc w:val="both"/>
        <w:rPr>
          <w:rFonts w:ascii="Arial" w:hAnsi="Arial" w:cs="Arial"/>
          <w:sz w:val="24"/>
        </w:rPr>
      </w:pPr>
    </w:p>
    <w:p w14:paraId="5AA8ABFD" w14:textId="77777777" w:rsidR="00BC59AA" w:rsidRDefault="00BC59AA" w:rsidP="00BC59AA">
      <w:pPr>
        <w:widowControl w:val="0"/>
        <w:tabs>
          <w:tab w:val="left" w:pos="2489"/>
        </w:tabs>
        <w:autoSpaceDE w:val="0"/>
        <w:autoSpaceDN w:val="0"/>
        <w:spacing w:after="0" w:line="276" w:lineRule="auto"/>
        <w:ind w:right="142"/>
        <w:jc w:val="both"/>
        <w:rPr>
          <w:rFonts w:ascii="Arial" w:hAnsi="Arial" w:cs="Arial"/>
          <w:sz w:val="24"/>
        </w:rPr>
      </w:pPr>
      <w:r>
        <w:rPr>
          <w:noProof/>
          <w:lang w:eastAsia="es-MX"/>
        </w:rPr>
        <w:lastRenderedPageBreak/>
        <mc:AlternateContent>
          <mc:Choice Requires="wpg">
            <w:drawing>
              <wp:anchor distT="0" distB="0" distL="114300" distR="114300" simplePos="0" relativeHeight="251667456" behindDoc="0" locked="0" layoutInCell="1" allowOverlap="1" wp14:anchorId="5EF94595" wp14:editId="1BEF475D">
                <wp:simplePos x="0" y="0"/>
                <wp:positionH relativeFrom="column">
                  <wp:posOffset>2798445</wp:posOffset>
                </wp:positionH>
                <wp:positionV relativeFrom="paragraph">
                  <wp:posOffset>2735580</wp:posOffset>
                </wp:positionV>
                <wp:extent cx="2493645" cy="662940"/>
                <wp:effectExtent l="0" t="0" r="1905" b="3810"/>
                <wp:wrapNone/>
                <wp:docPr id="898" name="Grupo 898"/>
                <wp:cNvGraphicFramePr/>
                <a:graphic xmlns:a="http://schemas.openxmlformats.org/drawingml/2006/main">
                  <a:graphicData uri="http://schemas.microsoft.com/office/word/2010/wordprocessingGroup">
                    <wpg:wgp>
                      <wpg:cNvGrpSpPr/>
                      <wpg:grpSpPr>
                        <a:xfrm>
                          <a:off x="0" y="0"/>
                          <a:ext cx="2493645" cy="662940"/>
                          <a:chOff x="0" y="38100"/>
                          <a:chExt cx="2446020" cy="777240"/>
                        </a:xfrm>
                      </wpg:grpSpPr>
                      <wps:wsp>
                        <wps:cNvPr id="896" name="Cuadro de texto 896"/>
                        <wps:cNvSpPr txBox="1"/>
                        <wps:spPr>
                          <a:xfrm>
                            <a:off x="0" y="38100"/>
                            <a:ext cx="1242060" cy="769620"/>
                          </a:xfrm>
                          <a:prstGeom prst="rect">
                            <a:avLst/>
                          </a:prstGeom>
                          <a:solidFill>
                            <a:sysClr val="window" lastClr="FFFFFF"/>
                          </a:solidFill>
                          <a:ln w="6350">
                            <a:noFill/>
                          </a:ln>
                        </wps:spPr>
                        <wps:txbx>
                          <w:txbxContent>
                            <w:p w14:paraId="1630F936" w14:textId="77777777" w:rsidR="00D33739" w:rsidRPr="00C75AE2" w:rsidRDefault="00D33739" w:rsidP="00BC59AA">
                              <w:pPr>
                                <w:jc w:val="center"/>
                                <w:rPr>
                                  <w:rFonts w:ascii="Arial" w:hAnsi="Arial" w:cs="Arial"/>
                                  <w:sz w:val="18"/>
                                </w:rPr>
                              </w:pPr>
                              <w:r w:rsidRPr="00C75AE2">
                                <w:rPr>
                                  <w:rFonts w:ascii="Arial" w:hAnsi="Arial" w:cs="Arial"/>
                                  <w:sz w:val="18"/>
                                </w:rPr>
                                <w:t>Incumplimiento de metas y objetivos de fondos, programas o políticas 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 name="Cuadro de texto 897"/>
                        <wps:cNvSpPr txBox="1"/>
                        <wps:spPr>
                          <a:xfrm>
                            <a:off x="1203960" y="45720"/>
                            <a:ext cx="1242060" cy="769620"/>
                          </a:xfrm>
                          <a:prstGeom prst="rect">
                            <a:avLst/>
                          </a:prstGeom>
                          <a:solidFill>
                            <a:sysClr val="window" lastClr="FFFFFF"/>
                          </a:solidFill>
                          <a:ln w="6350">
                            <a:noFill/>
                          </a:ln>
                        </wps:spPr>
                        <wps:txbx>
                          <w:txbxContent>
                            <w:p w14:paraId="63E6006E" w14:textId="77777777" w:rsidR="00D33739" w:rsidRPr="00C75AE2" w:rsidRDefault="00D33739" w:rsidP="00BC59AA">
                              <w:pPr>
                                <w:jc w:val="center"/>
                                <w:rPr>
                                  <w:rFonts w:ascii="Arial" w:hAnsi="Arial" w:cs="Arial"/>
                                  <w:sz w:val="18"/>
                                </w:rPr>
                              </w:pPr>
                              <w:r w:rsidRPr="00C75AE2">
                                <w:rPr>
                                  <w:rFonts w:ascii="Arial" w:hAnsi="Arial" w:cs="Arial"/>
                                  <w:sz w:val="18"/>
                                </w:rPr>
                                <w:t>Fallas o errores en la gestión administrativa del ente auditado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F94595" id="Grupo 898" o:spid="_x0000_s1031" style="position:absolute;left:0;text-align:left;margin-left:220.35pt;margin-top:215.4pt;width:196.35pt;height:52.2pt;z-index:251667456;mso-width-relative:margin;mso-height-relative:margin" coordorigin=",381" coordsize="24460,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">
                <v:shape id="Cuadro de texto 896" o:spid="_x0000_s1032" type="#_x0000_t202" style="position:absolute;top:381;width:12420;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" fillcolor="window" stroked="f" strokeweight=".5pt">
                  <v:textbox>
                    <w:txbxContent>
                      <w:p w14:paraId="1630F936" w14:textId="77777777" w:rsidR="00D33739" w:rsidRPr="00C75AE2" w:rsidRDefault="00D33739" w:rsidP="00BC59AA">
                        <w:pPr>
                          <w:jc w:val="center"/>
                          <w:rPr>
                            <w:rFonts w:ascii="Arial" w:hAnsi="Arial" w:cs="Arial"/>
                            <w:sz w:val="18"/>
                          </w:rPr>
                        </w:pPr>
                        <w:r w:rsidRPr="00C75AE2">
                          <w:rPr>
                            <w:rFonts w:ascii="Arial" w:hAnsi="Arial" w:cs="Arial"/>
                            <w:sz w:val="18"/>
                          </w:rPr>
                          <w:t>Incumplimiento de metas y objetivos de fondos, programas o políticas públicas</w:t>
                        </w:r>
                      </w:p>
                    </w:txbxContent>
                  </v:textbox>
                </v:shape>
                <v:shape id="Cuadro de texto 897" o:spid="_x0000_s1033" type="#_x0000_t202" style="position:absolute;left:12039;top:457;width:12421;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" fillcolor="window" stroked="f" strokeweight=".5pt">
                  <v:textbox>
                    <w:txbxContent>
                      <w:p w14:paraId="63E6006E" w14:textId="77777777" w:rsidR="00D33739" w:rsidRPr="00C75AE2" w:rsidRDefault="00D33739" w:rsidP="00BC59AA">
                        <w:pPr>
                          <w:jc w:val="center"/>
                          <w:rPr>
                            <w:rFonts w:ascii="Arial" w:hAnsi="Arial" w:cs="Arial"/>
                            <w:sz w:val="18"/>
                          </w:rPr>
                        </w:pPr>
                        <w:r w:rsidRPr="00C75AE2">
                          <w:rPr>
                            <w:rFonts w:ascii="Arial" w:hAnsi="Arial" w:cs="Arial"/>
                            <w:sz w:val="18"/>
                          </w:rPr>
                          <w:t>Fallas o errores en la gestión administrativa del ente auditado</w:t>
                        </w:r>
                      </w:p>
                    </w:txbxContent>
                  </v:textbox>
                </v:shape>
              </v:group>
            </w:pict>
          </mc:Fallback>
        </mc:AlternateContent>
      </w:r>
      <w:r w:rsidRPr="00070830">
        <w:rPr>
          <w:noProof/>
          <w:shd w:val="clear" w:color="auto" w:fill="FFFFFF" w:themeFill="background1"/>
          <w:lang w:eastAsia="es-MX"/>
        </w:rPr>
        <w:drawing>
          <wp:inline distT="0" distB="0" distL="0" distR="0" wp14:anchorId="45917348" wp14:editId="78006958">
            <wp:extent cx="5716905" cy="3467100"/>
            <wp:effectExtent l="0" t="0" r="0" b="0"/>
            <wp:docPr id="1652696112" name="Gráfico 1">
              <a:extLst xmlns:a="http://schemas.openxmlformats.org/drawingml/2006/main">
                <a:ext uri="{FF2B5EF4-FFF2-40B4-BE49-F238E27FC236}">
                  <a16:creationId xmlns:a16="http://schemas.microsoft.com/office/drawing/2014/main" id="{9B431356-D8A4-4196-9ACF-DAA08B284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DADC62" w14:textId="77777777" w:rsidR="00BC59AA" w:rsidRPr="00C75AE2" w:rsidRDefault="00BC59AA" w:rsidP="00BC59AA">
      <w:pPr>
        <w:pStyle w:val="Textoindependiente"/>
        <w:spacing w:line="276" w:lineRule="auto"/>
        <w:ind w:left="-76"/>
        <w:jc w:val="center"/>
        <w:rPr>
          <w:noProof/>
          <w:sz w:val="18"/>
          <w:szCs w:val="16"/>
          <w:lang w:eastAsia="es-MX"/>
        </w:rPr>
      </w:pPr>
      <w:r w:rsidRPr="00C75AE2">
        <w:rPr>
          <w:b/>
          <w:noProof/>
          <w:sz w:val="18"/>
          <w:szCs w:val="16"/>
          <w:lang w:eastAsia="es-MX"/>
        </w:rPr>
        <w:t>Gráfica N° 12:</w:t>
      </w:r>
      <w:r w:rsidRPr="00C75AE2">
        <w:rPr>
          <w:noProof/>
          <w:sz w:val="18"/>
          <w:szCs w:val="16"/>
          <w:lang w:eastAsia="es-MX"/>
        </w:rPr>
        <w:t xml:space="preserve"> Elaboración propia, Principales Problemáticas de Auditoría.</w:t>
      </w:r>
    </w:p>
    <w:p w14:paraId="4E455C6A" w14:textId="77777777" w:rsidR="00BC59AA" w:rsidRPr="000E172F" w:rsidRDefault="00BC59AA" w:rsidP="00BC59AA">
      <w:pPr>
        <w:spacing w:before="149"/>
        <w:ind w:left="1325" w:right="936"/>
        <w:jc w:val="center"/>
        <w:rPr>
          <w:rFonts w:ascii="Arial" w:hAnsi="Arial" w:cs="Arial"/>
          <w:sz w:val="20"/>
          <w:szCs w:val="24"/>
        </w:rPr>
      </w:pPr>
    </w:p>
    <w:p w14:paraId="55F72CEB" w14:textId="77777777" w:rsidR="00BC59AA" w:rsidRPr="00F7194B" w:rsidRDefault="00BC59AA" w:rsidP="00BC59AA">
      <w:pPr>
        <w:pStyle w:val="Textoindependiente"/>
        <w:numPr>
          <w:ilvl w:val="0"/>
          <w:numId w:val="16"/>
        </w:numPr>
        <w:spacing w:line="276" w:lineRule="auto"/>
        <w:ind w:left="284"/>
        <w:jc w:val="both"/>
      </w:pPr>
      <w:r w:rsidRPr="00F7194B">
        <w:t>Es importante para el análisis en un primer nivel</w:t>
      </w:r>
      <w:r>
        <w:t xml:space="preserve"> de lo</w:t>
      </w:r>
      <w:r w:rsidRPr="00F7194B">
        <w:t>s</w:t>
      </w:r>
      <w:r>
        <w:t xml:space="preserve"> cuatro principales riesgos detectados para identificar </w:t>
      </w:r>
      <w:r w:rsidRPr="00F7194B">
        <w:t>la Causa-Raíz de los riesgos/problemáticas relevantes detectadas en cada una de las auditorías,</w:t>
      </w:r>
      <w:r>
        <w:t xml:space="preserve"> las cuales se clasifican en tres aspectos representativos de acuerdo a la siguiente tabla:</w:t>
      </w:r>
    </w:p>
    <w:p w14:paraId="0683081E" w14:textId="77777777" w:rsidR="00BC59AA" w:rsidRPr="000E172F" w:rsidRDefault="00BC59AA" w:rsidP="00BC59AA">
      <w:pPr>
        <w:pStyle w:val="Textoindependiente"/>
        <w:spacing w:line="276" w:lineRule="auto"/>
        <w:jc w:val="both"/>
        <w:rPr>
          <w:sz w:val="6"/>
        </w:rPr>
      </w:pPr>
    </w:p>
    <w:p w14:paraId="6BDB2B15" w14:textId="77777777" w:rsidR="00BC59AA" w:rsidRDefault="00BC59AA" w:rsidP="00BC59AA">
      <w:pPr>
        <w:pStyle w:val="Textoindependiente"/>
        <w:spacing w:line="276" w:lineRule="auto"/>
        <w:jc w:val="both"/>
      </w:pPr>
    </w:p>
    <w:p w14:paraId="5210A9B5" w14:textId="77777777" w:rsidR="00BC59AA" w:rsidRPr="00F7194B" w:rsidRDefault="00BC59AA" w:rsidP="00BC59AA">
      <w:pPr>
        <w:pStyle w:val="Textoindependiente"/>
        <w:spacing w:line="276" w:lineRule="auto"/>
        <w:jc w:val="both"/>
      </w:pPr>
    </w:p>
    <w:tbl>
      <w:tblPr>
        <w:tblStyle w:val="TableNormal"/>
        <w:tblW w:w="0" w:type="auto"/>
        <w:jc w:val="center"/>
        <w:tblInd w:w="0" w:type="dxa"/>
        <w:tblBorders>
          <w:insideH w:val="single" w:sz="4" w:space="0" w:color="FFFFFF" w:themeColor="background1"/>
        </w:tblBorders>
        <w:tblLayout w:type="fixed"/>
        <w:tblLook w:val="01E0" w:firstRow="1" w:lastRow="1" w:firstColumn="1" w:lastColumn="1" w:noHBand="0" w:noVBand="0"/>
      </w:tblPr>
      <w:tblGrid>
        <w:gridCol w:w="4533"/>
        <w:gridCol w:w="1958"/>
        <w:gridCol w:w="1158"/>
      </w:tblGrid>
      <w:tr w:rsidR="00BC59AA" w:rsidRPr="00DD68C6" w14:paraId="3AAC7C90" w14:textId="77777777" w:rsidTr="005E0038">
        <w:trPr>
          <w:trHeight w:val="454"/>
          <w:jc w:val="center"/>
        </w:trPr>
        <w:tc>
          <w:tcPr>
            <w:tcW w:w="7649" w:type="dxa"/>
            <w:gridSpan w:val="3"/>
            <w:shd w:val="clear" w:color="auto" w:fill="A5A5A5" w:themeFill="accent3"/>
            <w:vAlign w:val="center"/>
          </w:tcPr>
          <w:p w14:paraId="644B5FF1" w14:textId="77777777" w:rsidR="00BC59AA" w:rsidRPr="00DD68C6" w:rsidRDefault="00BC59AA" w:rsidP="005E0038">
            <w:pPr>
              <w:pStyle w:val="TableParagraph"/>
              <w:spacing w:before="24"/>
              <w:ind w:left="571"/>
              <w:jc w:val="center"/>
              <w:rPr>
                <w:b/>
                <w:color w:val="FFFFFF" w:themeColor="background1"/>
                <w:sz w:val="18"/>
              </w:rPr>
            </w:pPr>
            <w:r w:rsidRPr="00DD68C6">
              <w:rPr>
                <w:b/>
                <w:color w:val="FFFFFF" w:themeColor="background1"/>
                <w:sz w:val="18"/>
              </w:rPr>
              <w:t>Causa-Raíz de la principal problemática identificada en la auditoría</w:t>
            </w:r>
          </w:p>
        </w:tc>
      </w:tr>
      <w:tr w:rsidR="00BC59AA" w:rsidRPr="00DD68C6" w14:paraId="0B1ADC0B" w14:textId="77777777" w:rsidTr="005E0038">
        <w:trPr>
          <w:trHeight w:val="850"/>
          <w:jc w:val="center"/>
        </w:trPr>
        <w:tc>
          <w:tcPr>
            <w:tcW w:w="4533" w:type="dxa"/>
            <w:tcBorders>
              <w:right w:val="single" w:sz="4" w:space="0" w:color="FFFFFF" w:themeColor="background1"/>
            </w:tcBorders>
            <w:shd w:val="clear" w:color="auto" w:fill="A5A5A5" w:themeFill="accent3"/>
            <w:vAlign w:val="center"/>
          </w:tcPr>
          <w:p w14:paraId="06337C41" w14:textId="77777777" w:rsidR="00BC59AA" w:rsidRPr="00DD68C6" w:rsidRDefault="00BC59AA" w:rsidP="005E0038">
            <w:pPr>
              <w:pStyle w:val="TableParagraph"/>
              <w:spacing w:line="276" w:lineRule="auto"/>
              <w:ind w:left="323" w:right="322" w:firstLine="2"/>
              <w:jc w:val="center"/>
              <w:rPr>
                <w:b/>
                <w:color w:val="FFFFFF" w:themeColor="background1"/>
                <w:sz w:val="18"/>
              </w:rPr>
            </w:pPr>
            <w:r w:rsidRPr="00DD68C6">
              <w:rPr>
                <w:b/>
                <w:color w:val="FFFFFF" w:themeColor="background1"/>
                <w:sz w:val="18"/>
              </w:rPr>
              <w:t>Causa-raíz problemática principal identificada en la auditoría se relaciona con:</w:t>
            </w:r>
          </w:p>
        </w:tc>
        <w:tc>
          <w:tcPr>
            <w:tcW w:w="1958" w:type="dxa"/>
            <w:tcBorders>
              <w:left w:val="single" w:sz="4" w:space="0" w:color="FFFFFF" w:themeColor="background1"/>
              <w:right w:val="single" w:sz="4" w:space="0" w:color="FFFFFF" w:themeColor="background1"/>
            </w:tcBorders>
            <w:shd w:val="clear" w:color="auto" w:fill="A5A5A5" w:themeFill="accent3"/>
            <w:vAlign w:val="center"/>
          </w:tcPr>
          <w:p w14:paraId="00327839" w14:textId="77777777" w:rsidR="00BC59AA" w:rsidRPr="00DD68C6" w:rsidRDefault="00BC59AA" w:rsidP="005E0038">
            <w:pPr>
              <w:pStyle w:val="TableParagraph"/>
              <w:ind w:left="91" w:right="91"/>
              <w:jc w:val="center"/>
              <w:rPr>
                <w:b/>
                <w:color w:val="FFFFFF" w:themeColor="background1"/>
                <w:sz w:val="18"/>
              </w:rPr>
            </w:pPr>
            <w:r w:rsidRPr="00DD68C6">
              <w:rPr>
                <w:b/>
                <w:color w:val="FFFFFF" w:themeColor="background1"/>
                <w:sz w:val="18"/>
              </w:rPr>
              <w:t>Frecuencia</w:t>
            </w:r>
          </w:p>
        </w:tc>
        <w:tc>
          <w:tcPr>
            <w:tcW w:w="1158" w:type="dxa"/>
            <w:tcBorders>
              <w:left w:val="single" w:sz="4" w:space="0" w:color="FFFFFF" w:themeColor="background1"/>
            </w:tcBorders>
            <w:shd w:val="clear" w:color="auto" w:fill="A5A5A5" w:themeFill="accent3"/>
            <w:vAlign w:val="center"/>
          </w:tcPr>
          <w:p w14:paraId="2B3AD56F" w14:textId="77777777" w:rsidR="00BC59AA" w:rsidRPr="00DD68C6" w:rsidRDefault="00BC59AA" w:rsidP="005E0038">
            <w:pPr>
              <w:pStyle w:val="TableParagraph"/>
              <w:ind w:right="6"/>
              <w:jc w:val="center"/>
              <w:rPr>
                <w:b/>
                <w:color w:val="FFFFFF" w:themeColor="background1"/>
                <w:sz w:val="18"/>
              </w:rPr>
            </w:pPr>
            <w:r w:rsidRPr="00DD68C6">
              <w:rPr>
                <w:b/>
                <w:color w:val="FFFFFF" w:themeColor="background1"/>
                <w:sz w:val="18"/>
              </w:rPr>
              <w:t>%</w:t>
            </w:r>
          </w:p>
        </w:tc>
      </w:tr>
      <w:tr w:rsidR="00BC59AA" w:rsidRPr="00DD68C6" w14:paraId="404E4C62" w14:textId="77777777" w:rsidTr="005E0038">
        <w:trPr>
          <w:trHeight w:val="397"/>
          <w:jc w:val="center"/>
        </w:trPr>
        <w:tc>
          <w:tcPr>
            <w:tcW w:w="4533" w:type="dxa"/>
            <w:vAlign w:val="center"/>
          </w:tcPr>
          <w:p w14:paraId="20785642" w14:textId="77777777" w:rsidR="00BC59AA" w:rsidRPr="00DD68C6" w:rsidRDefault="00BC59AA" w:rsidP="005E0038">
            <w:pPr>
              <w:pStyle w:val="TableParagraph"/>
              <w:spacing w:before="8"/>
              <w:ind w:left="103"/>
              <w:rPr>
                <w:sz w:val="20"/>
              </w:rPr>
            </w:pPr>
            <w:r w:rsidRPr="00DD68C6">
              <w:rPr>
                <w:sz w:val="20"/>
              </w:rPr>
              <w:t>Contexto Institucional</w:t>
            </w:r>
          </w:p>
        </w:tc>
        <w:tc>
          <w:tcPr>
            <w:tcW w:w="1958" w:type="dxa"/>
            <w:vAlign w:val="center"/>
          </w:tcPr>
          <w:p w14:paraId="4391E7A9" w14:textId="77777777" w:rsidR="00BC59AA" w:rsidRPr="00DD68C6" w:rsidRDefault="00BC59AA" w:rsidP="005E0038">
            <w:pPr>
              <w:pStyle w:val="TableParagraph"/>
              <w:tabs>
                <w:tab w:val="left" w:pos="2359"/>
              </w:tabs>
              <w:spacing w:before="8"/>
              <w:ind w:left="263" w:right="143"/>
              <w:jc w:val="center"/>
              <w:rPr>
                <w:sz w:val="20"/>
              </w:rPr>
            </w:pPr>
            <w:r>
              <w:rPr>
                <w:sz w:val="20"/>
              </w:rPr>
              <w:t>132</w:t>
            </w:r>
          </w:p>
        </w:tc>
        <w:tc>
          <w:tcPr>
            <w:tcW w:w="1158" w:type="dxa"/>
            <w:vAlign w:val="center"/>
          </w:tcPr>
          <w:p w14:paraId="4F711563" w14:textId="77777777" w:rsidR="00BC59AA" w:rsidRPr="00DD68C6" w:rsidRDefault="00BC59AA" w:rsidP="005E0038">
            <w:pPr>
              <w:pStyle w:val="TableParagraph"/>
              <w:tabs>
                <w:tab w:val="left" w:pos="2359"/>
              </w:tabs>
              <w:spacing w:before="8"/>
              <w:ind w:right="22"/>
              <w:jc w:val="center"/>
              <w:rPr>
                <w:sz w:val="20"/>
              </w:rPr>
            </w:pPr>
            <w:r>
              <w:rPr>
                <w:sz w:val="20"/>
              </w:rPr>
              <w:t>69</w:t>
            </w:r>
          </w:p>
        </w:tc>
      </w:tr>
      <w:tr w:rsidR="00BC59AA" w:rsidRPr="00DD68C6" w14:paraId="6C75861B" w14:textId="77777777" w:rsidTr="005E0038">
        <w:trPr>
          <w:trHeight w:val="397"/>
          <w:jc w:val="center"/>
        </w:trPr>
        <w:tc>
          <w:tcPr>
            <w:tcW w:w="4533" w:type="dxa"/>
            <w:shd w:val="clear" w:color="auto" w:fill="F2F2F2"/>
            <w:vAlign w:val="center"/>
          </w:tcPr>
          <w:p w14:paraId="16D52824" w14:textId="77777777" w:rsidR="00BC59AA" w:rsidRPr="00DD68C6" w:rsidRDefault="00BC59AA" w:rsidP="005E0038">
            <w:pPr>
              <w:pStyle w:val="TableParagraph"/>
              <w:spacing w:before="1"/>
              <w:ind w:left="103"/>
              <w:rPr>
                <w:sz w:val="20"/>
              </w:rPr>
            </w:pPr>
            <w:r w:rsidRPr="00DD68C6">
              <w:rPr>
                <w:sz w:val="20"/>
              </w:rPr>
              <w:t>Contexto Institucional y decisiones individuales</w:t>
            </w:r>
          </w:p>
        </w:tc>
        <w:tc>
          <w:tcPr>
            <w:tcW w:w="1958" w:type="dxa"/>
            <w:shd w:val="clear" w:color="auto" w:fill="F2F2F2"/>
            <w:vAlign w:val="center"/>
          </w:tcPr>
          <w:p w14:paraId="0A71AD12" w14:textId="77777777" w:rsidR="00BC59AA" w:rsidRPr="00DD68C6" w:rsidRDefault="00BC59AA" w:rsidP="005E0038">
            <w:pPr>
              <w:pStyle w:val="TableParagraph"/>
              <w:spacing w:before="1"/>
              <w:ind w:left="263" w:right="143"/>
              <w:jc w:val="center"/>
              <w:rPr>
                <w:sz w:val="20"/>
              </w:rPr>
            </w:pPr>
            <w:r>
              <w:rPr>
                <w:sz w:val="20"/>
              </w:rPr>
              <w:t>42</w:t>
            </w:r>
          </w:p>
        </w:tc>
        <w:tc>
          <w:tcPr>
            <w:tcW w:w="1158" w:type="dxa"/>
            <w:shd w:val="clear" w:color="auto" w:fill="F2F2F2"/>
            <w:vAlign w:val="center"/>
          </w:tcPr>
          <w:p w14:paraId="460943A9" w14:textId="77777777" w:rsidR="00BC59AA" w:rsidRPr="00DD68C6" w:rsidRDefault="00BC59AA" w:rsidP="005E0038">
            <w:pPr>
              <w:pStyle w:val="TableParagraph"/>
              <w:spacing w:before="1"/>
              <w:ind w:right="22"/>
              <w:jc w:val="center"/>
              <w:rPr>
                <w:sz w:val="20"/>
              </w:rPr>
            </w:pPr>
            <w:r>
              <w:rPr>
                <w:sz w:val="20"/>
              </w:rPr>
              <w:t>22</w:t>
            </w:r>
          </w:p>
        </w:tc>
      </w:tr>
      <w:tr w:rsidR="00BC59AA" w:rsidRPr="00DD68C6" w14:paraId="4DF7B9AB" w14:textId="77777777" w:rsidTr="005E0038">
        <w:trPr>
          <w:trHeight w:val="397"/>
          <w:jc w:val="center"/>
        </w:trPr>
        <w:tc>
          <w:tcPr>
            <w:tcW w:w="4533" w:type="dxa"/>
            <w:vAlign w:val="center"/>
          </w:tcPr>
          <w:p w14:paraId="73A6A03C" w14:textId="77777777" w:rsidR="00BC59AA" w:rsidRPr="00DD68C6" w:rsidRDefault="00BC59AA" w:rsidP="005E0038">
            <w:pPr>
              <w:pStyle w:val="TableParagraph"/>
              <w:ind w:left="103"/>
              <w:rPr>
                <w:sz w:val="20"/>
              </w:rPr>
            </w:pPr>
            <w:r>
              <w:rPr>
                <w:sz w:val="20"/>
              </w:rPr>
              <w:t>D</w:t>
            </w:r>
            <w:r w:rsidRPr="00DD68C6">
              <w:rPr>
                <w:sz w:val="20"/>
              </w:rPr>
              <w:t>ecisiones individuales</w:t>
            </w:r>
          </w:p>
        </w:tc>
        <w:tc>
          <w:tcPr>
            <w:tcW w:w="1958" w:type="dxa"/>
            <w:vAlign w:val="center"/>
          </w:tcPr>
          <w:p w14:paraId="5A5E0353" w14:textId="77777777" w:rsidR="00BC59AA" w:rsidRPr="00DD68C6" w:rsidRDefault="00BC59AA" w:rsidP="005E0038">
            <w:pPr>
              <w:pStyle w:val="TableParagraph"/>
              <w:tabs>
                <w:tab w:val="left" w:pos="2359"/>
              </w:tabs>
              <w:ind w:left="263" w:right="143"/>
              <w:jc w:val="center"/>
              <w:rPr>
                <w:sz w:val="20"/>
              </w:rPr>
            </w:pPr>
            <w:r>
              <w:rPr>
                <w:sz w:val="20"/>
              </w:rPr>
              <w:t>17</w:t>
            </w:r>
          </w:p>
        </w:tc>
        <w:tc>
          <w:tcPr>
            <w:tcW w:w="1158" w:type="dxa"/>
            <w:vAlign w:val="center"/>
          </w:tcPr>
          <w:p w14:paraId="63B265C9" w14:textId="77777777" w:rsidR="00BC59AA" w:rsidRPr="00DD68C6" w:rsidRDefault="00BC59AA" w:rsidP="005E0038">
            <w:pPr>
              <w:pStyle w:val="TableParagraph"/>
              <w:tabs>
                <w:tab w:val="left" w:pos="2359"/>
              </w:tabs>
              <w:ind w:right="22"/>
              <w:jc w:val="center"/>
              <w:rPr>
                <w:sz w:val="20"/>
              </w:rPr>
            </w:pPr>
            <w:r>
              <w:rPr>
                <w:sz w:val="20"/>
              </w:rPr>
              <w:t>9</w:t>
            </w:r>
          </w:p>
        </w:tc>
      </w:tr>
      <w:tr w:rsidR="00BC59AA" w:rsidRPr="00DD68C6" w14:paraId="2CEF022B" w14:textId="77777777" w:rsidTr="005E0038">
        <w:trPr>
          <w:trHeight w:val="397"/>
          <w:jc w:val="center"/>
        </w:trPr>
        <w:tc>
          <w:tcPr>
            <w:tcW w:w="4533" w:type="dxa"/>
            <w:shd w:val="clear" w:color="auto" w:fill="F2F2F2"/>
            <w:vAlign w:val="center"/>
          </w:tcPr>
          <w:p w14:paraId="339AB34F" w14:textId="77777777" w:rsidR="00BC59AA" w:rsidRPr="00DD68C6" w:rsidRDefault="00BC59AA" w:rsidP="005E0038">
            <w:pPr>
              <w:pStyle w:val="TableParagraph"/>
              <w:ind w:right="93"/>
              <w:jc w:val="right"/>
              <w:rPr>
                <w:b/>
                <w:sz w:val="20"/>
              </w:rPr>
            </w:pPr>
            <w:r w:rsidRPr="00DD68C6">
              <w:rPr>
                <w:b/>
                <w:sz w:val="20"/>
              </w:rPr>
              <w:t>Total</w:t>
            </w:r>
          </w:p>
        </w:tc>
        <w:tc>
          <w:tcPr>
            <w:tcW w:w="1958" w:type="dxa"/>
            <w:shd w:val="clear" w:color="auto" w:fill="F2F2F2"/>
            <w:vAlign w:val="center"/>
          </w:tcPr>
          <w:p w14:paraId="50DD9D8A" w14:textId="77777777" w:rsidR="00BC59AA" w:rsidRPr="00DD68C6" w:rsidRDefault="00BC59AA" w:rsidP="005E0038">
            <w:pPr>
              <w:pStyle w:val="TableParagraph"/>
              <w:ind w:left="263" w:right="143"/>
              <w:jc w:val="center"/>
              <w:rPr>
                <w:b/>
                <w:sz w:val="20"/>
              </w:rPr>
            </w:pPr>
            <w:r>
              <w:rPr>
                <w:b/>
                <w:sz w:val="20"/>
              </w:rPr>
              <w:t>191</w:t>
            </w:r>
          </w:p>
        </w:tc>
        <w:tc>
          <w:tcPr>
            <w:tcW w:w="1158" w:type="dxa"/>
            <w:shd w:val="clear" w:color="auto" w:fill="F2F2F2"/>
            <w:vAlign w:val="center"/>
          </w:tcPr>
          <w:p w14:paraId="60F187AE" w14:textId="77777777" w:rsidR="00BC59AA" w:rsidRPr="00DD68C6" w:rsidRDefault="00BC59AA" w:rsidP="005E0038">
            <w:pPr>
              <w:pStyle w:val="TableParagraph"/>
              <w:ind w:right="22"/>
              <w:jc w:val="center"/>
              <w:rPr>
                <w:b/>
                <w:sz w:val="20"/>
              </w:rPr>
            </w:pPr>
            <w:r w:rsidRPr="00DD68C6">
              <w:rPr>
                <w:b/>
                <w:sz w:val="20"/>
              </w:rPr>
              <w:t>100</w:t>
            </w:r>
          </w:p>
        </w:tc>
      </w:tr>
      <w:tr w:rsidR="00BC59AA" w:rsidRPr="00F7194B" w14:paraId="046BBF53" w14:textId="77777777" w:rsidTr="005E0038">
        <w:trPr>
          <w:trHeight w:val="283"/>
          <w:jc w:val="center"/>
        </w:trPr>
        <w:tc>
          <w:tcPr>
            <w:tcW w:w="7649" w:type="dxa"/>
            <w:gridSpan w:val="3"/>
            <w:shd w:val="clear" w:color="auto" w:fill="auto"/>
            <w:vAlign w:val="bottom"/>
          </w:tcPr>
          <w:p w14:paraId="6832EAEF" w14:textId="77777777" w:rsidR="00BC59AA" w:rsidRPr="00C75AE2" w:rsidRDefault="00BC59AA" w:rsidP="0071701E">
            <w:pPr>
              <w:pStyle w:val="Textoindependiente"/>
              <w:spacing w:line="276" w:lineRule="auto"/>
              <w:ind w:left="-76"/>
              <w:rPr>
                <w:sz w:val="18"/>
                <w:lang w:val="es-MX"/>
              </w:rPr>
            </w:pPr>
            <w:r w:rsidRPr="00C75AE2">
              <w:rPr>
                <w:b/>
                <w:noProof/>
                <w:sz w:val="18"/>
                <w:szCs w:val="16"/>
                <w:lang w:eastAsia="es-MX"/>
              </w:rPr>
              <w:t xml:space="preserve">  Tabla N°. 1</w:t>
            </w:r>
            <w:r w:rsidR="0071701E" w:rsidRPr="00C75AE2">
              <w:rPr>
                <w:b/>
                <w:noProof/>
                <w:sz w:val="18"/>
                <w:szCs w:val="16"/>
                <w:lang w:eastAsia="es-MX"/>
              </w:rPr>
              <w:t>3</w:t>
            </w:r>
            <w:r w:rsidRPr="00C75AE2">
              <w:rPr>
                <w:b/>
                <w:noProof/>
                <w:sz w:val="18"/>
                <w:szCs w:val="16"/>
                <w:lang w:eastAsia="es-MX"/>
              </w:rPr>
              <w:t>:</w:t>
            </w:r>
            <w:r w:rsidRPr="00C75AE2">
              <w:rPr>
                <w:noProof/>
                <w:sz w:val="18"/>
                <w:szCs w:val="16"/>
                <w:lang w:eastAsia="es-MX"/>
              </w:rPr>
              <w:t xml:space="preserve"> Elaboración propia, datos provenientes de los cuestionarios aplicados.</w:t>
            </w:r>
          </w:p>
        </w:tc>
      </w:tr>
    </w:tbl>
    <w:p w14:paraId="3497873B" w14:textId="77777777" w:rsidR="00BC59AA" w:rsidRDefault="00BC59AA" w:rsidP="00BC59AA">
      <w:pPr>
        <w:rPr>
          <w:rFonts w:ascii="Arial" w:hAnsi="Arial" w:cs="Arial"/>
        </w:rPr>
      </w:pPr>
    </w:p>
    <w:p w14:paraId="342B9F20" w14:textId="77777777" w:rsidR="00BC59AA" w:rsidRDefault="00BC59AA" w:rsidP="00BC59AA">
      <w:pPr>
        <w:spacing w:line="276" w:lineRule="auto"/>
        <w:ind w:left="284"/>
        <w:jc w:val="both"/>
        <w:rPr>
          <w:rFonts w:ascii="Arial" w:hAnsi="Arial" w:cs="Arial"/>
          <w:sz w:val="24"/>
          <w:szCs w:val="24"/>
        </w:rPr>
      </w:pPr>
      <w:r w:rsidRPr="00F7194B">
        <w:rPr>
          <w:rFonts w:ascii="Arial" w:hAnsi="Arial" w:cs="Arial"/>
          <w:sz w:val="24"/>
          <w:szCs w:val="24"/>
        </w:rPr>
        <w:t xml:space="preserve">Los equipos de auditoría coinciden que el </w:t>
      </w:r>
      <w:r>
        <w:rPr>
          <w:rFonts w:ascii="Arial" w:hAnsi="Arial" w:cs="Arial"/>
          <w:sz w:val="24"/>
          <w:szCs w:val="24"/>
        </w:rPr>
        <w:t>69</w:t>
      </w:r>
      <w:r w:rsidRPr="00F7194B">
        <w:rPr>
          <w:rFonts w:ascii="Arial" w:hAnsi="Arial" w:cs="Arial"/>
          <w:sz w:val="24"/>
          <w:szCs w:val="24"/>
        </w:rPr>
        <w:t xml:space="preserve"> por ciento de las entidades fiscalizadas, identifican como Causa-Raíz de la problemática al Contexto </w:t>
      </w:r>
      <w:r w:rsidRPr="00F7194B">
        <w:rPr>
          <w:rFonts w:ascii="Arial" w:hAnsi="Arial" w:cs="Arial"/>
          <w:sz w:val="24"/>
          <w:szCs w:val="24"/>
        </w:rPr>
        <w:lastRenderedPageBreak/>
        <w:t xml:space="preserve">Institucional y es aquí en donde se concentra el mayor número de irregularidades detectadas teniendo </w:t>
      </w:r>
      <w:r>
        <w:rPr>
          <w:rFonts w:ascii="Arial" w:hAnsi="Arial" w:cs="Arial"/>
          <w:sz w:val="24"/>
          <w:szCs w:val="24"/>
        </w:rPr>
        <w:t>132</w:t>
      </w:r>
      <w:r w:rsidRPr="00F7194B">
        <w:rPr>
          <w:rFonts w:ascii="Arial" w:hAnsi="Arial" w:cs="Arial"/>
          <w:sz w:val="24"/>
          <w:szCs w:val="24"/>
        </w:rPr>
        <w:t xml:space="preserve"> registros, mientras que un 2</w:t>
      </w:r>
      <w:r>
        <w:rPr>
          <w:rFonts w:ascii="Arial" w:hAnsi="Arial" w:cs="Arial"/>
          <w:sz w:val="24"/>
          <w:szCs w:val="24"/>
        </w:rPr>
        <w:t>2</w:t>
      </w:r>
      <w:r w:rsidRPr="00F7194B">
        <w:rPr>
          <w:rFonts w:ascii="Arial" w:hAnsi="Arial" w:cs="Arial"/>
          <w:sz w:val="24"/>
          <w:szCs w:val="24"/>
        </w:rPr>
        <w:t xml:space="preserve"> por ciento consideran como Causa-Raíz de la problemática</w:t>
      </w:r>
      <w:r>
        <w:rPr>
          <w:rFonts w:ascii="Arial" w:hAnsi="Arial" w:cs="Arial"/>
          <w:sz w:val="24"/>
          <w:szCs w:val="24"/>
        </w:rPr>
        <w:t xml:space="preserve"> al</w:t>
      </w:r>
      <w:r w:rsidRPr="00F7194B">
        <w:rPr>
          <w:rFonts w:ascii="Arial" w:hAnsi="Arial" w:cs="Arial"/>
          <w:sz w:val="24"/>
          <w:szCs w:val="24"/>
        </w:rPr>
        <w:t xml:space="preserve"> Contexto Institucional en combinación con las Decisiones Individuales del servidor público, y finalmente corresponde el </w:t>
      </w:r>
      <w:r>
        <w:rPr>
          <w:rFonts w:ascii="Arial" w:hAnsi="Arial" w:cs="Arial"/>
          <w:sz w:val="24"/>
          <w:szCs w:val="24"/>
        </w:rPr>
        <w:t>9</w:t>
      </w:r>
      <w:r w:rsidRPr="00F7194B">
        <w:rPr>
          <w:rFonts w:ascii="Arial" w:hAnsi="Arial" w:cs="Arial"/>
          <w:sz w:val="24"/>
          <w:szCs w:val="24"/>
        </w:rPr>
        <w:t xml:space="preserve"> por ciento restante al</w:t>
      </w:r>
      <w:r w:rsidRPr="00AA1664">
        <w:rPr>
          <w:rFonts w:ascii="Arial" w:hAnsi="Arial" w:cs="Arial"/>
          <w:sz w:val="24"/>
          <w:szCs w:val="24"/>
        </w:rPr>
        <w:t xml:space="preserve"> </w:t>
      </w:r>
      <w:r>
        <w:rPr>
          <w:rFonts w:ascii="Arial" w:hAnsi="Arial" w:cs="Arial"/>
          <w:sz w:val="24"/>
          <w:szCs w:val="24"/>
        </w:rPr>
        <w:t xml:space="preserve"> factor: </w:t>
      </w:r>
      <w:r w:rsidRPr="00F7194B">
        <w:rPr>
          <w:rFonts w:ascii="Arial" w:hAnsi="Arial" w:cs="Arial"/>
          <w:sz w:val="24"/>
          <w:szCs w:val="24"/>
        </w:rPr>
        <w:t>Decisiones Individuales.</w:t>
      </w:r>
    </w:p>
    <w:p w14:paraId="08846D6A" w14:textId="77777777" w:rsidR="00BC59AA" w:rsidRDefault="00BC59AA" w:rsidP="00BC59AA">
      <w:pPr>
        <w:spacing w:line="276" w:lineRule="auto"/>
        <w:ind w:left="284"/>
        <w:jc w:val="both"/>
        <w:rPr>
          <w:rFonts w:ascii="Arial" w:hAnsi="Arial" w:cs="Arial"/>
          <w:sz w:val="24"/>
          <w:szCs w:val="24"/>
        </w:rPr>
      </w:pPr>
    </w:p>
    <w:p w14:paraId="5B66265E" w14:textId="77777777" w:rsidR="00BC59AA" w:rsidRDefault="00BC59AA" w:rsidP="00BC59AA">
      <w:pPr>
        <w:spacing w:line="276" w:lineRule="auto"/>
        <w:jc w:val="center"/>
        <w:rPr>
          <w:rFonts w:ascii="Arial" w:hAnsi="Arial" w:cs="Arial"/>
          <w:sz w:val="24"/>
          <w:szCs w:val="24"/>
        </w:rPr>
      </w:pPr>
      <w:r>
        <w:rPr>
          <w:noProof/>
          <w:lang w:eastAsia="es-MX"/>
        </w:rPr>
        <w:drawing>
          <wp:inline distT="0" distB="0" distL="0" distR="0" wp14:anchorId="42D64D27" wp14:editId="325AB87F">
            <wp:extent cx="5509260" cy="3724275"/>
            <wp:effectExtent l="0" t="0" r="15240" b="9525"/>
            <wp:docPr id="1619551006" name="Gráfico 1">
              <a:extLst xmlns:a="http://schemas.openxmlformats.org/drawingml/2006/main">
                <a:ext uri="{FF2B5EF4-FFF2-40B4-BE49-F238E27FC236}">
                  <a16:creationId xmlns:a16="http://schemas.microsoft.com/office/drawing/2014/main" id="{9883CA2E-E5D5-6E4B-E238-F8C753BB4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DABA17" w14:textId="77777777" w:rsidR="00BC59AA" w:rsidRPr="006268C4" w:rsidRDefault="00BC59AA" w:rsidP="00BC59AA">
      <w:pPr>
        <w:pStyle w:val="Textoindependiente"/>
        <w:spacing w:line="276" w:lineRule="auto"/>
        <w:ind w:left="-76"/>
        <w:rPr>
          <w:noProof/>
          <w:sz w:val="18"/>
          <w:szCs w:val="18"/>
          <w:lang w:eastAsia="es-MX"/>
        </w:rPr>
      </w:pPr>
      <w:r w:rsidRPr="006268C4">
        <w:rPr>
          <w:b/>
          <w:noProof/>
          <w:sz w:val="18"/>
          <w:szCs w:val="18"/>
          <w:lang w:eastAsia="es-MX"/>
        </w:rPr>
        <w:t xml:space="preserve">           Gráfica N° 13:</w:t>
      </w:r>
      <w:r w:rsidRPr="006268C4">
        <w:rPr>
          <w:noProof/>
          <w:sz w:val="18"/>
          <w:szCs w:val="18"/>
          <w:lang w:eastAsia="es-MX"/>
        </w:rPr>
        <w:t xml:space="preserve"> Elaboración propia, Causa-Raíz de la Problemática.</w:t>
      </w:r>
    </w:p>
    <w:p w14:paraId="7A21EB4E" w14:textId="77777777" w:rsidR="00BC59AA" w:rsidRDefault="00BC59AA" w:rsidP="00BC59AA">
      <w:pPr>
        <w:spacing w:line="276" w:lineRule="auto"/>
        <w:ind w:left="624"/>
        <w:jc w:val="center"/>
        <w:rPr>
          <w:rFonts w:ascii="Arial" w:hAnsi="Arial" w:cs="Arial"/>
          <w:sz w:val="44"/>
          <w:szCs w:val="24"/>
          <w:lang w:val="es-ES"/>
        </w:rPr>
      </w:pPr>
    </w:p>
    <w:p w14:paraId="024CFF5C" w14:textId="77777777" w:rsidR="00BC59AA" w:rsidRDefault="00BC59AA" w:rsidP="00BC59AA">
      <w:pPr>
        <w:spacing w:line="276" w:lineRule="auto"/>
        <w:ind w:left="624"/>
        <w:jc w:val="center"/>
        <w:rPr>
          <w:rFonts w:ascii="Arial" w:hAnsi="Arial" w:cs="Arial"/>
          <w:sz w:val="44"/>
          <w:szCs w:val="24"/>
          <w:lang w:val="es-ES"/>
        </w:rPr>
      </w:pPr>
    </w:p>
    <w:p w14:paraId="5EED0ED0" w14:textId="77777777" w:rsidR="00BC59AA" w:rsidRDefault="00BC59AA" w:rsidP="00BC59AA">
      <w:pPr>
        <w:spacing w:line="276" w:lineRule="auto"/>
        <w:ind w:left="624"/>
        <w:jc w:val="center"/>
        <w:rPr>
          <w:rFonts w:ascii="Arial" w:hAnsi="Arial" w:cs="Arial"/>
          <w:sz w:val="44"/>
          <w:szCs w:val="24"/>
          <w:lang w:val="es-ES"/>
        </w:rPr>
      </w:pPr>
    </w:p>
    <w:p w14:paraId="475E29B7" w14:textId="77777777" w:rsidR="00C75AE2" w:rsidRDefault="00C75AE2" w:rsidP="00BC59AA">
      <w:pPr>
        <w:spacing w:line="276" w:lineRule="auto"/>
        <w:ind w:left="624"/>
        <w:jc w:val="center"/>
        <w:rPr>
          <w:rFonts w:ascii="Arial" w:hAnsi="Arial" w:cs="Arial"/>
          <w:sz w:val="44"/>
          <w:szCs w:val="24"/>
          <w:lang w:val="es-ES"/>
        </w:rPr>
      </w:pPr>
    </w:p>
    <w:p w14:paraId="02732E65" w14:textId="77777777" w:rsidR="00BC59AA" w:rsidRDefault="00BC59AA" w:rsidP="00BC59AA">
      <w:pPr>
        <w:spacing w:line="276" w:lineRule="auto"/>
        <w:ind w:left="624"/>
        <w:jc w:val="center"/>
        <w:rPr>
          <w:rFonts w:ascii="Arial" w:hAnsi="Arial" w:cs="Arial"/>
          <w:sz w:val="44"/>
          <w:szCs w:val="24"/>
          <w:lang w:val="es-ES"/>
        </w:rPr>
      </w:pPr>
    </w:p>
    <w:p w14:paraId="17C79529" w14:textId="77777777" w:rsidR="00BC59AA" w:rsidRDefault="00BC59AA" w:rsidP="00BC59AA">
      <w:pPr>
        <w:pStyle w:val="Textoindependiente"/>
        <w:spacing w:line="276" w:lineRule="auto"/>
        <w:jc w:val="both"/>
      </w:pPr>
    </w:p>
    <w:p w14:paraId="5EB20FC6" w14:textId="77777777" w:rsidR="00BC59AA" w:rsidRDefault="00BC59AA" w:rsidP="00BC59AA">
      <w:pPr>
        <w:pStyle w:val="Textoindependiente"/>
        <w:numPr>
          <w:ilvl w:val="0"/>
          <w:numId w:val="16"/>
        </w:numPr>
        <w:spacing w:line="276" w:lineRule="auto"/>
        <w:ind w:left="284"/>
        <w:jc w:val="both"/>
      </w:pPr>
      <w:r w:rsidRPr="00F7194B">
        <w:lastRenderedPageBreak/>
        <w:t>Asociación entre la problemática identificada con la Causa-Raíz.</w:t>
      </w:r>
    </w:p>
    <w:p w14:paraId="70141384" w14:textId="77777777" w:rsidR="00BC59AA" w:rsidRPr="00F7194B" w:rsidRDefault="00BC59AA" w:rsidP="00BC59AA">
      <w:pPr>
        <w:pStyle w:val="Textoindependiente"/>
        <w:spacing w:line="276" w:lineRule="auto"/>
        <w:ind w:left="-76"/>
        <w:jc w:val="both"/>
      </w:pPr>
    </w:p>
    <w:p w14:paraId="4D3DA112" w14:textId="77777777" w:rsidR="00BC59AA" w:rsidRPr="00F7194B" w:rsidRDefault="00BC59AA" w:rsidP="00BC59AA">
      <w:pPr>
        <w:pStyle w:val="Textoindependiente"/>
        <w:spacing w:line="276" w:lineRule="auto"/>
        <w:ind w:left="643"/>
        <w:jc w:val="both"/>
      </w:pPr>
    </w:p>
    <w:tbl>
      <w:tblPr>
        <w:tblStyle w:val="TableNormal"/>
        <w:tblpPr w:leftFromText="141" w:rightFromText="141" w:vertAnchor="text" w:horzAnchor="margin" w:tblpXSpec="right" w:tblpY="-76"/>
        <w:tblW w:w="8936" w:type="dxa"/>
        <w:tblInd w:w="0" w:type="dxa"/>
        <w:tblLayout w:type="fixed"/>
        <w:tblLook w:val="01E0" w:firstRow="1" w:lastRow="1" w:firstColumn="1" w:lastColumn="1" w:noHBand="0" w:noVBand="0"/>
      </w:tblPr>
      <w:tblGrid>
        <w:gridCol w:w="4255"/>
        <w:gridCol w:w="1565"/>
        <w:gridCol w:w="1697"/>
        <w:gridCol w:w="1419"/>
      </w:tblGrid>
      <w:tr w:rsidR="00BC59AA" w:rsidRPr="00DD68C6" w14:paraId="00B8B7B6" w14:textId="77777777" w:rsidTr="005E0038">
        <w:trPr>
          <w:trHeight w:val="411"/>
        </w:trPr>
        <w:tc>
          <w:tcPr>
            <w:tcW w:w="8936" w:type="dxa"/>
            <w:gridSpan w:val="4"/>
            <w:tcBorders>
              <w:top w:val="single" w:sz="4" w:space="0" w:color="FFFFFF" w:themeColor="background1"/>
              <w:left w:val="single" w:sz="4" w:space="0" w:color="FFFFFF" w:themeColor="background1"/>
              <w:right w:val="single" w:sz="4" w:space="0" w:color="FFFFFF" w:themeColor="background1"/>
            </w:tcBorders>
            <w:shd w:val="clear" w:color="auto" w:fill="A5A5A5" w:themeFill="accent3"/>
            <w:vAlign w:val="center"/>
          </w:tcPr>
          <w:p w14:paraId="5058FB97" w14:textId="77777777" w:rsidR="00BC59AA" w:rsidRPr="00DD68C6" w:rsidRDefault="00BC59AA" w:rsidP="005E0038">
            <w:pPr>
              <w:pStyle w:val="TableParagraph"/>
              <w:spacing w:before="24"/>
              <w:ind w:left="571"/>
              <w:jc w:val="center"/>
              <w:rPr>
                <w:b/>
                <w:color w:val="FFFFFF" w:themeColor="background1"/>
                <w:sz w:val="20"/>
                <w:lang w:val="es-MX"/>
              </w:rPr>
            </w:pPr>
            <w:r w:rsidRPr="00DD68C6">
              <w:rPr>
                <w:b/>
                <w:color w:val="FFFFFF" w:themeColor="background1"/>
                <w:sz w:val="20"/>
                <w:lang w:val="es-MX"/>
              </w:rPr>
              <w:t>Causa-Raíz de la principal problemática identificada en la auditoría</w:t>
            </w:r>
          </w:p>
        </w:tc>
      </w:tr>
      <w:tr w:rsidR="00BC59AA" w:rsidRPr="00DD68C6" w14:paraId="29FA8689" w14:textId="77777777" w:rsidTr="005E0038">
        <w:trPr>
          <w:trHeight w:val="272"/>
        </w:trPr>
        <w:tc>
          <w:tcPr>
            <w:tcW w:w="425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A5A5A5" w:themeFill="accent3"/>
          </w:tcPr>
          <w:p w14:paraId="496C6B27" w14:textId="77777777" w:rsidR="00BC59AA" w:rsidRPr="00DD68C6" w:rsidRDefault="00BC59AA" w:rsidP="005E0038">
            <w:pPr>
              <w:jc w:val="center"/>
              <w:rPr>
                <w:rFonts w:ascii="Arial" w:hAnsi="Arial" w:cs="Arial"/>
                <w:b/>
                <w:color w:val="FFFFFF" w:themeColor="background1"/>
                <w:sz w:val="20"/>
                <w:lang w:val="es-MX"/>
              </w:rPr>
            </w:pPr>
          </w:p>
          <w:p w14:paraId="5F578D2F" w14:textId="77777777" w:rsidR="00BC59AA" w:rsidRPr="00DD68C6" w:rsidRDefault="00BC59AA" w:rsidP="005E0038">
            <w:pPr>
              <w:jc w:val="center"/>
              <w:rPr>
                <w:rFonts w:ascii="Arial" w:hAnsi="Arial" w:cs="Arial"/>
                <w:b/>
                <w:color w:val="FFFFFF" w:themeColor="background1"/>
                <w:sz w:val="20"/>
                <w:lang w:val="es-MX"/>
              </w:rPr>
            </w:pPr>
          </w:p>
          <w:p w14:paraId="3CD03D75" w14:textId="77777777" w:rsidR="00BC59AA" w:rsidRPr="00DD68C6" w:rsidRDefault="00BC59AA" w:rsidP="005E0038">
            <w:pPr>
              <w:jc w:val="center"/>
              <w:rPr>
                <w:rFonts w:ascii="Arial" w:hAnsi="Arial" w:cs="Arial"/>
                <w:b/>
                <w:color w:val="FFFFFF" w:themeColor="background1"/>
                <w:sz w:val="20"/>
                <w:lang w:val="es-MX"/>
              </w:rPr>
            </w:pPr>
          </w:p>
          <w:p w14:paraId="1BD2953C" w14:textId="77777777" w:rsidR="00BC59AA" w:rsidRPr="00DD68C6" w:rsidRDefault="00BC59AA" w:rsidP="005E0038">
            <w:pPr>
              <w:jc w:val="center"/>
              <w:rPr>
                <w:rFonts w:ascii="Arial" w:hAnsi="Arial" w:cs="Arial"/>
                <w:color w:val="FFFFFF" w:themeColor="background1"/>
                <w:sz w:val="20"/>
                <w:lang w:val="es-MX"/>
              </w:rPr>
            </w:pPr>
            <w:r w:rsidRPr="00DD68C6">
              <w:rPr>
                <w:rFonts w:ascii="Arial" w:hAnsi="Arial" w:cs="Arial"/>
                <w:b/>
                <w:color w:val="FFFFFF" w:themeColor="background1"/>
                <w:sz w:val="20"/>
                <w:lang w:val="es-MX"/>
              </w:rPr>
              <w:t>Problemática</w:t>
            </w:r>
          </w:p>
        </w:tc>
        <w:tc>
          <w:tcPr>
            <w:tcW w:w="4681" w:type="dxa"/>
            <w:gridSpan w:val="3"/>
            <w:tcBorders>
              <w:top w:val="single" w:sz="4" w:space="0" w:color="FFFFFF" w:themeColor="background1"/>
              <w:left w:val="single" w:sz="4" w:space="0" w:color="FFFFFF" w:themeColor="background1"/>
              <w:right w:val="single" w:sz="4" w:space="0" w:color="FFFFFF" w:themeColor="background1"/>
            </w:tcBorders>
            <w:shd w:val="clear" w:color="auto" w:fill="A5A5A5" w:themeFill="accent3"/>
            <w:vAlign w:val="center"/>
          </w:tcPr>
          <w:p w14:paraId="78B3EF91" w14:textId="77777777" w:rsidR="00BC59AA" w:rsidRPr="00DD68C6" w:rsidRDefault="00BC59AA" w:rsidP="005E0038">
            <w:pPr>
              <w:jc w:val="center"/>
              <w:rPr>
                <w:rFonts w:ascii="Arial" w:hAnsi="Arial" w:cs="Arial"/>
                <w:b/>
                <w:color w:val="FFFFFF" w:themeColor="background1"/>
                <w:sz w:val="20"/>
                <w:szCs w:val="18"/>
                <w:lang w:val="es-MX"/>
              </w:rPr>
            </w:pPr>
            <w:r w:rsidRPr="00DD68C6">
              <w:rPr>
                <w:rFonts w:ascii="Arial" w:hAnsi="Arial" w:cs="Arial"/>
                <w:b/>
                <w:color w:val="FFFFFF" w:themeColor="background1"/>
                <w:sz w:val="20"/>
                <w:szCs w:val="18"/>
                <w:lang w:val="es-MX"/>
              </w:rPr>
              <w:t>Causa - Raíz</w:t>
            </w:r>
          </w:p>
        </w:tc>
      </w:tr>
      <w:tr w:rsidR="00BC59AA" w:rsidRPr="00DD68C6" w14:paraId="04EB6711" w14:textId="77777777" w:rsidTr="005E0038">
        <w:trPr>
          <w:trHeight w:val="1031"/>
        </w:trPr>
        <w:tc>
          <w:tcPr>
            <w:tcW w:w="4255" w:type="dxa"/>
            <w:vMerge/>
            <w:tcBorders>
              <w:left w:val="single" w:sz="4" w:space="0" w:color="FFFFFF" w:themeColor="background1"/>
              <w:bottom w:val="single" w:sz="4" w:space="0" w:color="FFFFFF" w:themeColor="background1"/>
              <w:right w:val="single" w:sz="4" w:space="0" w:color="FFFFFF" w:themeColor="background1"/>
            </w:tcBorders>
            <w:shd w:val="clear" w:color="auto" w:fill="A5A5A5" w:themeFill="accent3"/>
          </w:tcPr>
          <w:p w14:paraId="0B080F2A" w14:textId="77777777" w:rsidR="00BC59AA" w:rsidRPr="00DD68C6" w:rsidRDefault="00BC59AA" w:rsidP="005E0038">
            <w:pPr>
              <w:rPr>
                <w:rFonts w:ascii="Arial" w:hAnsi="Arial" w:cs="Arial"/>
                <w:color w:val="FFFFFF" w:themeColor="background1"/>
                <w:sz w:val="20"/>
                <w:szCs w:val="2"/>
                <w:lang w:val="es-MX"/>
              </w:rPr>
            </w:pP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vAlign w:val="center"/>
          </w:tcPr>
          <w:p w14:paraId="4F3A661E" w14:textId="77777777" w:rsidR="00BC59AA" w:rsidRPr="00DD68C6" w:rsidRDefault="00BC59AA" w:rsidP="005E0038">
            <w:pPr>
              <w:jc w:val="center"/>
              <w:rPr>
                <w:rFonts w:ascii="Arial" w:hAnsi="Arial" w:cs="Arial"/>
                <w:b/>
                <w:color w:val="FFFFFF" w:themeColor="background1"/>
                <w:sz w:val="20"/>
                <w:lang w:val="es-MX"/>
              </w:rPr>
            </w:pPr>
            <w:r w:rsidRPr="00DD68C6">
              <w:rPr>
                <w:rFonts w:ascii="Arial" w:hAnsi="Arial" w:cs="Arial"/>
                <w:b/>
                <w:color w:val="FFFFFF" w:themeColor="background1"/>
                <w:sz w:val="20"/>
                <w:lang w:val="es-MX"/>
              </w:rPr>
              <w:t>Contexto Institucional</w:t>
            </w:r>
          </w:p>
        </w:tc>
        <w:tc>
          <w:tcPr>
            <w:tcW w:w="16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vAlign w:val="center"/>
          </w:tcPr>
          <w:p w14:paraId="0E6C7F04" w14:textId="77777777" w:rsidR="00BC59AA" w:rsidRPr="00DD68C6" w:rsidRDefault="00BC59AA" w:rsidP="005E0038">
            <w:pPr>
              <w:jc w:val="center"/>
              <w:rPr>
                <w:rFonts w:ascii="Arial" w:hAnsi="Arial" w:cs="Arial"/>
                <w:b/>
                <w:color w:val="FFFFFF" w:themeColor="background1"/>
                <w:sz w:val="20"/>
                <w:lang w:val="es-MX"/>
              </w:rPr>
            </w:pPr>
            <w:r w:rsidRPr="00DD68C6">
              <w:rPr>
                <w:rFonts w:ascii="Arial" w:hAnsi="Arial" w:cs="Arial"/>
                <w:b/>
                <w:color w:val="FFFFFF" w:themeColor="background1"/>
                <w:sz w:val="20"/>
                <w:lang w:val="es-MX"/>
              </w:rPr>
              <w:t>Contexto Institucional y Decisiones</w:t>
            </w:r>
          </w:p>
          <w:p w14:paraId="7351886D" w14:textId="77777777" w:rsidR="00BC59AA" w:rsidRPr="00DD68C6" w:rsidRDefault="00BC59AA" w:rsidP="005E0038">
            <w:pPr>
              <w:jc w:val="center"/>
              <w:rPr>
                <w:rFonts w:ascii="Arial" w:hAnsi="Arial" w:cs="Arial"/>
                <w:b/>
                <w:color w:val="FFFFFF" w:themeColor="background1"/>
                <w:sz w:val="20"/>
                <w:lang w:val="es-MX"/>
              </w:rPr>
            </w:pPr>
            <w:r w:rsidRPr="00DD68C6">
              <w:rPr>
                <w:rFonts w:ascii="Arial" w:hAnsi="Arial" w:cs="Arial"/>
                <w:b/>
                <w:color w:val="FFFFFF" w:themeColor="background1"/>
                <w:sz w:val="20"/>
                <w:lang w:val="es-MX"/>
              </w:rPr>
              <w:t>Individuales</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A5A5" w:themeFill="accent3"/>
            <w:vAlign w:val="center"/>
          </w:tcPr>
          <w:p w14:paraId="19EBC4D9" w14:textId="77777777" w:rsidR="00BC59AA" w:rsidRPr="00DD68C6" w:rsidRDefault="00BC59AA" w:rsidP="005E0038">
            <w:pPr>
              <w:jc w:val="center"/>
              <w:rPr>
                <w:rFonts w:ascii="Arial" w:hAnsi="Arial" w:cs="Arial"/>
                <w:b/>
                <w:color w:val="FFFFFF" w:themeColor="background1"/>
                <w:sz w:val="20"/>
                <w:lang w:val="es-MX"/>
              </w:rPr>
            </w:pPr>
            <w:r w:rsidRPr="00DD68C6">
              <w:rPr>
                <w:rFonts w:ascii="Arial" w:hAnsi="Arial" w:cs="Arial"/>
                <w:b/>
                <w:color w:val="FFFFFF" w:themeColor="background1"/>
                <w:sz w:val="20"/>
                <w:lang w:val="es-MX"/>
              </w:rPr>
              <w:t>Decisiones Individuales</w:t>
            </w:r>
          </w:p>
        </w:tc>
      </w:tr>
      <w:tr w:rsidR="00BC59AA" w:rsidRPr="00DD68C6" w14:paraId="2F94F2C4" w14:textId="77777777" w:rsidTr="005E0038">
        <w:trPr>
          <w:trHeight w:val="510"/>
        </w:trPr>
        <w:tc>
          <w:tcPr>
            <w:tcW w:w="4255" w:type="dxa"/>
            <w:tcBorders>
              <w:top w:val="single" w:sz="4" w:space="0" w:color="FFFFFF" w:themeColor="background1"/>
              <w:right w:val="single" w:sz="6" w:space="0" w:color="FFFFFF"/>
            </w:tcBorders>
            <w:vAlign w:val="center"/>
          </w:tcPr>
          <w:p w14:paraId="55DDAD6C" w14:textId="77777777" w:rsidR="00BC59AA" w:rsidRPr="00DD68C6" w:rsidRDefault="00BC59AA" w:rsidP="005E0038">
            <w:pPr>
              <w:pStyle w:val="TableParagraph"/>
              <w:ind w:left="132"/>
              <w:rPr>
                <w:sz w:val="20"/>
                <w:lang w:val="es-MX"/>
              </w:rPr>
            </w:pPr>
            <w:r w:rsidRPr="00DD68C6">
              <w:rPr>
                <w:sz w:val="20"/>
                <w:lang w:val="es-MX"/>
              </w:rPr>
              <w:t>Fallas o errores en la gestión administrativa del ente auditado</w:t>
            </w:r>
          </w:p>
        </w:tc>
        <w:tc>
          <w:tcPr>
            <w:tcW w:w="1565" w:type="dxa"/>
            <w:tcBorders>
              <w:top w:val="single" w:sz="4" w:space="0" w:color="FFFFFF" w:themeColor="background1"/>
              <w:right w:val="single" w:sz="6" w:space="0" w:color="FFFFFF"/>
            </w:tcBorders>
            <w:vAlign w:val="center"/>
          </w:tcPr>
          <w:p w14:paraId="3452F58E" w14:textId="77777777" w:rsidR="00BC59AA" w:rsidRPr="00DD68C6" w:rsidRDefault="00BC59AA" w:rsidP="005E0038">
            <w:pPr>
              <w:pStyle w:val="TableParagraph"/>
              <w:tabs>
                <w:tab w:val="right" w:pos="5269"/>
              </w:tabs>
              <w:spacing w:before="12"/>
              <w:ind w:left="132"/>
              <w:jc w:val="center"/>
              <w:rPr>
                <w:sz w:val="20"/>
                <w:lang w:val="es-MX"/>
              </w:rPr>
            </w:pPr>
            <w:r>
              <w:rPr>
                <w:sz w:val="20"/>
                <w:lang w:val="es-MX"/>
              </w:rPr>
              <w:t>103</w:t>
            </w:r>
          </w:p>
        </w:tc>
        <w:tc>
          <w:tcPr>
            <w:tcW w:w="1697" w:type="dxa"/>
            <w:tcBorders>
              <w:top w:val="single" w:sz="4" w:space="0" w:color="FFFFFF" w:themeColor="background1"/>
              <w:left w:val="single" w:sz="6" w:space="0" w:color="FFFFFF"/>
              <w:right w:val="single" w:sz="6" w:space="0" w:color="FFFFFF"/>
            </w:tcBorders>
            <w:vAlign w:val="center"/>
          </w:tcPr>
          <w:p w14:paraId="6DA322F2" w14:textId="77777777" w:rsidR="00BC59AA" w:rsidRPr="00DD68C6" w:rsidRDefault="00BC59AA" w:rsidP="005E0038">
            <w:pPr>
              <w:pStyle w:val="TableParagraph"/>
              <w:spacing w:before="12"/>
              <w:ind w:left="80"/>
              <w:jc w:val="center"/>
              <w:rPr>
                <w:sz w:val="20"/>
                <w:lang w:val="es-MX"/>
              </w:rPr>
            </w:pPr>
            <w:r>
              <w:rPr>
                <w:sz w:val="20"/>
                <w:lang w:val="es-MX"/>
              </w:rPr>
              <w:t>36</w:t>
            </w:r>
          </w:p>
        </w:tc>
        <w:tc>
          <w:tcPr>
            <w:tcW w:w="1419" w:type="dxa"/>
            <w:tcBorders>
              <w:top w:val="single" w:sz="4" w:space="0" w:color="FFFFFF" w:themeColor="background1"/>
              <w:left w:val="single" w:sz="6" w:space="0" w:color="FFFFFF"/>
            </w:tcBorders>
            <w:vAlign w:val="center"/>
          </w:tcPr>
          <w:p w14:paraId="2680A05E" w14:textId="77777777" w:rsidR="00BC59AA" w:rsidRPr="00DD68C6" w:rsidRDefault="00BC59AA" w:rsidP="005E0038">
            <w:pPr>
              <w:pStyle w:val="TableParagraph"/>
              <w:spacing w:before="12"/>
              <w:ind w:left="139"/>
              <w:jc w:val="center"/>
              <w:rPr>
                <w:sz w:val="20"/>
                <w:lang w:val="es-MX"/>
              </w:rPr>
            </w:pPr>
            <w:r>
              <w:rPr>
                <w:sz w:val="20"/>
                <w:lang w:val="es-MX"/>
              </w:rPr>
              <w:t>17</w:t>
            </w:r>
          </w:p>
        </w:tc>
      </w:tr>
      <w:tr w:rsidR="00BC59AA" w:rsidRPr="00DD68C6" w14:paraId="336D87E3" w14:textId="77777777" w:rsidTr="005E0038">
        <w:trPr>
          <w:trHeight w:val="567"/>
        </w:trPr>
        <w:tc>
          <w:tcPr>
            <w:tcW w:w="4255" w:type="dxa"/>
            <w:tcBorders>
              <w:right w:val="single" w:sz="4" w:space="0" w:color="FFFFFF"/>
            </w:tcBorders>
            <w:shd w:val="clear" w:color="auto" w:fill="F2F2F2"/>
            <w:vAlign w:val="center"/>
          </w:tcPr>
          <w:p w14:paraId="00322106" w14:textId="77777777" w:rsidR="00BC59AA" w:rsidRPr="00DD68C6" w:rsidRDefault="00BC59AA" w:rsidP="005E0038">
            <w:pPr>
              <w:pStyle w:val="TableParagraph"/>
              <w:spacing w:before="118"/>
              <w:ind w:left="132"/>
              <w:rPr>
                <w:sz w:val="20"/>
                <w:lang w:val="es-MX"/>
              </w:rPr>
            </w:pPr>
            <w:r w:rsidRPr="00DD68C6">
              <w:rPr>
                <w:sz w:val="20"/>
                <w:lang w:val="es-MX"/>
              </w:rPr>
              <w:t xml:space="preserve">Incumplimiento de metas y objetivos de programas o políticas públicas </w:t>
            </w:r>
          </w:p>
        </w:tc>
        <w:tc>
          <w:tcPr>
            <w:tcW w:w="1565" w:type="dxa"/>
            <w:tcBorders>
              <w:left w:val="single" w:sz="4" w:space="0" w:color="FFFFFF"/>
              <w:right w:val="single" w:sz="6" w:space="0" w:color="FFFFFF"/>
            </w:tcBorders>
            <w:shd w:val="clear" w:color="auto" w:fill="F2F2F2"/>
          </w:tcPr>
          <w:p w14:paraId="1E29922A" w14:textId="77777777" w:rsidR="00BC59AA" w:rsidRPr="00DD68C6" w:rsidRDefault="00BC59AA" w:rsidP="005E0038">
            <w:pPr>
              <w:pStyle w:val="TableParagraph"/>
              <w:spacing w:before="176"/>
              <w:ind w:left="132"/>
              <w:jc w:val="center"/>
              <w:rPr>
                <w:sz w:val="20"/>
                <w:lang w:val="es-MX"/>
              </w:rPr>
            </w:pPr>
            <w:r>
              <w:rPr>
                <w:sz w:val="20"/>
                <w:lang w:val="es-MX"/>
              </w:rPr>
              <w:t>22</w:t>
            </w:r>
          </w:p>
        </w:tc>
        <w:tc>
          <w:tcPr>
            <w:tcW w:w="1697" w:type="dxa"/>
            <w:tcBorders>
              <w:left w:val="single" w:sz="6" w:space="0" w:color="FFFFFF"/>
              <w:right w:val="single" w:sz="6" w:space="0" w:color="FFFFFF"/>
            </w:tcBorders>
            <w:shd w:val="clear" w:color="auto" w:fill="F2F2F2"/>
          </w:tcPr>
          <w:p w14:paraId="3BD90477" w14:textId="77777777" w:rsidR="00BC59AA" w:rsidRPr="00DD68C6" w:rsidRDefault="00BC59AA" w:rsidP="005E0038">
            <w:pPr>
              <w:pStyle w:val="TableParagraph"/>
              <w:spacing w:before="176"/>
              <w:ind w:left="80"/>
              <w:jc w:val="center"/>
              <w:rPr>
                <w:sz w:val="20"/>
                <w:lang w:val="es-MX"/>
              </w:rPr>
            </w:pPr>
            <w:r w:rsidRPr="00DD68C6">
              <w:rPr>
                <w:sz w:val="20"/>
                <w:lang w:val="es-MX"/>
              </w:rPr>
              <w:t>0</w:t>
            </w:r>
          </w:p>
        </w:tc>
        <w:tc>
          <w:tcPr>
            <w:tcW w:w="1419" w:type="dxa"/>
            <w:tcBorders>
              <w:left w:val="single" w:sz="6" w:space="0" w:color="FFFFFF"/>
            </w:tcBorders>
            <w:shd w:val="clear" w:color="auto" w:fill="F2F2F2"/>
          </w:tcPr>
          <w:p w14:paraId="0F8D1BBB" w14:textId="77777777" w:rsidR="00BC59AA" w:rsidRPr="00DD68C6" w:rsidRDefault="00BC59AA" w:rsidP="005E0038">
            <w:pPr>
              <w:pStyle w:val="TableParagraph"/>
              <w:spacing w:before="176"/>
              <w:ind w:left="139"/>
              <w:jc w:val="center"/>
              <w:rPr>
                <w:sz w:val="20"/>
                <w:lang w:val="es-MX"/>
              </w:rPr>
            </w:pPr>
            <w:r w:rsidRPr="00DD68C6">
              <w:rPr>
                <w:sz w:val="20"/>
                <w:lang w:val="es-MX"/>
              </w:rPr>
              <w:t>0</w:t>
            </w:r>
          </w:p>
        </w:tc>
      </w:tr>
      <w:tr w:rsidR="00BC59AA" w:rsidRPr="00DD68C6" w14:paraId="4F8285DE" w14:textId="77777777" w:rsidTr="005E0038">
        <w:trPr>
          <w:trHeight w:val="447"/>
        </w:trPr>
        <w:tc>
          <w:tcPr>
            <w:tcW w:w="4255" w:type="dxa"/>
            <w:tcBorders>
              <w:right w:val="single" w:sz="6" w:space="0" w:color="FFFFFF"/>
            </w:tcBorders>
            <w:vAlign w:val="center"/>
          </w:tcPr>
          <w:p w14:paraId="0C02D6BA" w14:textId="77777777" w:rsidR="00BC59AA" w:rsidRPr="00DD68C6" w:rsidRDefault="00BC59AA" w:rsidP="005E0038">
            <w:pPr>
              <w:pStyle w:val="TableParagraph"/>
              <w:spacing w:before="8" w:line="203" w:lineRule="exact"/>
              <w:ind w:left="132"/>
              <w:rPr>
                <w:sz w:val="20"/>
                <w:lang w:val="es-MX"/>
              </w:rPr>
            </w:pPr>
            <w:r w:rsidRPr="00DD68C6">
              <w:rPr>
                <w:sz w:val="20"/>
                <w:lang w:val="es-MX"/>
              </w:rPr>
              <w:t xml:space="preserve">Incorrecta aplicación de recursos </w:t>
            </w:r>
          </w:p>
        </w:tc>
        <w:tc>
          <w:tcPr>
            <w:tcW w:w="1565" w:type="dxa"/>
            <w:tcBorders>
              <w:right w:val="single" w:sz="6" w:space="0" w:color="FFFFFF"/>
            </w:tcBorders>
            <w:vAlign w:val="center"/>
          </w:tcPr>
          <w:p w14:paraId="63F44714" w14:textId="77777777" w:rsidR="00BC59AA" w:rsidRPr="00DD68C6" w:rsidRDefault="00BC59AA" w:rsidP="005E0038">
            <w:pPr>
              <w:pStyle w:val="TableParagraph"/>
              <w:spacing w:line="201" w:lineRule="exact"/>
              <w:ind w:left="132"/>
              <w:jc w:val="center"/>
              <w:rPr>
                <w:sz w:val="20"/>
                <w:lang w:val="es-MX"/>
              </w:rPr>
            </w:pPr>
            <w:r>
              <w:rPr>
                <w:sz w:val="20"/>
                <w:lang w:val="es-MX"/>
              </w:rPr>
              <w:t>6</w:t>
            </w:r>
          </w:p>
        </w:tc>
        <w:tc>
          <w:tcPr>
            <w:tcW w:w="1697" w:type="dxa"/>
            <w:tcBorders>
              <w:left w:val="single" w:sz="6" w:space="0" w:color="FFFFFF"/>
              <w:right w:val="single" w:sz="6" w:space="0" w:color="FFFFFF"/>
            </w:tcBorders>
            <w:vAlign w:val="center"/>
          </w:tcPr>
          <w:p w14:paraId="2D57BC3C" w14:textId="77777777" w:rsidR="00BC59AA" w:rsidRPr="00DD68C6" w:rsidRDefault="00BC59AA" w:rsidP="005E0038">
            <w:pPr>
              <w:pStyle w:val="TableParagraph"/>
              <w:spacing w:line="201" w:lineRule="exact"/>
              <w:ind w:left="132"/>
              <w:jc w:val="center"/>
              <w:rPr>
                <w:sz w:val="20"/>
                <w:lang w:val="es-MX"/>
              </w:rPr>
            </w:pPr>
            <w:r>
              <w:rPr>
                <w:sz w:val="20"/>
                <w:lang w:val="es-MX"/>
              </w:rPr>
              <w:t>5</w:t>
            </w:r>
          </w:p>
        </w:tc>
        <w:tc>
          <w:tcPr>
            <w:tcW w:w="1419" w:type="dxa"/>
            <w:tcBorders>
              <w:left w:val="single" w:sz="6" w:space="0" w:color="FFFFFF"/>
            </w:tcBorders>
            <w:vAlign w:val="center"/>
          </w:tcPr>
          <w:p w14:paraId="19DD07D7" w14:textId="77777777" w:rsidR="00BC59AA" w:rsidRPr="00DD68C6" w:rsidRDefault="00BC59AA" w:rsidP="005E0038">
            <w:pPr>
              <w:pStyle w:val="TableParagraph"/>
              <w:spacing w:line="201" w:lineRule="exact"/>
              <w:ind w:left="132"/>
              <w:jc w:val="center"/>
              <w:rPr>
                <w:sz w:val="20"/>
                <w:lang w:val="es-MX"/>
              </w:rPr>
            </w:pPr>
            <w:r>
              <w:rPr>
                <w:sz w:val="20"/>
                <w:lang w:val="es-MX"/>
              </w:rPr>
              <w:t>0</w:t>
            </w:r>
          </w:p>
        </w:tc>
      </w:tr>
      <w:tr w:rsidR="00BC59AA" w:rsidRPr="00DD68C6" w14:paraId="67FC79DC" w14:textId="77777777" w:rsidTr="005E0038">
        <w:trPr>
          <w:trHeight w:val="283"/>
        </w:trPr>
        <w:tc>
          <w:tcPr>
            <w:tcW w:w="4255" w:type="dxa"/>
            <w:tcBorders>
              <w:right w:val="single" w:sz="4" w:space="0" w:color="FFFFFF"/>
            </w:tcBorders>
            <w:shd w:val="clear" w:color="auto" w:fill="F2F2F2"/>
            <w:vAlign w:val="center"/>
          </w:tcPr>
          <w:p w14:paraId="5D56696B" w14:textId="77777777" w:rsidR="00BC59AA" w:rsidRPr="00DD68C6" w:rsidRDefault="00BC59AA" w:rsidP="005E0038">
            <w:pPr>
              <w:pStyle w:val="TableParagraph"/>
              <w:spacing w:before="8" w:line="203" w:lineRule="exact"/>
              <w:ind w:left="132"/>
              <w:rPr>
                <w:sz w:val="20"/>
                <w:lang w:val="es-MX"/>
              </w:rPr>
            </w:pPr>
            <w:r w:rsidRPr="00DD68C6">
              <w:rPr>
                <w:sz w:val="20"/>
                <w:lang w:val="es-MX"/>
              </w:rPr>
              <w:t>Inadecuada captación de recursos públicos</w:t>
            </w:r>
          </w:p>
        </w:tc>
        <w:tc>
          <w:tcPr>
            <w:tcW w:w="1565" w:type="dxa"/>
            <w:tcBorders>
              <w:left w:val="single" w:sz="4" w:space="0" w:color="FFFFFF"/>
              <w:right w:val="single" w:sz="6" w:space="0" w:color="FFFFFF"/>
            </w:tcBorders>
            <w:shd w:val="clear" w:color="auto" w:fill="F2F2F2"/>
            <w:vAlign w:val="center"/>
          </w:tcPr>
          <w:p w14:paraId="57170A8E" w14:textId="77777777" w:rsidR="00BC59AA" w:rsidRPr="00DD68C6" w:rsidRDefault="00BC59AA" w:rsidP="005E0038">
            <w:pPr>
              <w:pStyle w:val="TableParagraph"/>
              <w:ind w:left="132"/>
              <w:jc w:val="center"/>
              <w:rPr>
                <w:sz w:val="20"/>
                <w:lang w:val="es-MX"/>
              </w:rPr>
            </w:pPr>
            <w:r>
              <w:rPr>
                <w:sz w:val="20"/>
                <w:lang w:val="es-MX"/>
              </w:rPr>
              <w:t>1</w:t>
            </w:r>
          </w:p>
        </w:tc>
        <w:tc>
          <w:tcPr>
            <w:tcW w:w="1697" w:type="dxa"/>
            <w:tcBorders>
              <w:left w:val="single" w:sz="6" w:space="0" w:color="FFFFFF"/>
              <w:right w:val="single" w:sz="6" w:space="0" w:color="FFFFFF"/>
            </w:tcBorders>
            <w:shd w:val="clear" w:color="auto" w:fill="F2F2F2"/>
            <w:vAlign w:val="center"/>
          </w:tcPr>
          <w:p w14:paraId="29FCDDE0" w14:textId="77777777" w:rsidR="00BC59AA" w:rsidRPr="00DD68C6" w:rsidRDefault="00BC59AA" w:rsidP="005E0038">
            <w:pPr>
              <w:pStyle w:val="TableParagraph"/>
              <w:ind w:left="80"/>
              <w:jc w:val="center"/>
              <w:rPr>
                <w:sz w:val="20"/>
                <w:lang w:val="es-MX"/>
              </w:rPr>
            </w:pPr>
            <w:r>
              <w:rPr>
                <w:sz w:val="20"/>
                <w:lang w:val="es-MX"/>
              </w:rPr>
              <w:t>1</w:t>
            </w:r>
          </w:p>
        </w:tc>
        <w:tc>
          <w:tcPr>
            <w:tcW w:w="1419" w:type="dxa"/>
            <w:tcBorders>
              <w:left w:val="single" w:sz="6" w:space="0" w:color="FFFFFF"/>
            </w:tcBorders>
            <w:shd w:val="clear" w:color="auto" w:fill="F2F2F2"/>
            <w:vAlign w:val="center"/>
          </w:tcPr>
          <w:p w14:paraId="64D8B09E" w14:textId="77777777" w:rsidR="00BC59AA" w:rsidRPr="00DD68C6" w:rsidRDefault="00BC59AA" w:rsidP="005E0038">
            <w:pPr>
              <w:pStyle w:val="TableParagraph"/>
              <w:ind w:left="139"/>
              <w:jc w:val="center"/>
              <w:rPr>
                <w:sz w:val="20"/>
                <w:lang w:val="es-MX"/>
              </w:rPr>
            </w:pPr>
            <w:r>
              <w:rPr>
                <w:sz w:val="20"/>
                <w:lang w:val="es-MX"/>
              </w:rPr>
              <w:t>0</w:t>
            </w:r>
          </w:p>
        </w:tc>
      </w:tr>
      <w:tr w:rsidR="00BC59AA" w:rsidRPr="00DD68C6" w14:paraId="78184A33" w14:textId="77777777" w:rsidTr="005E0038">
        <w:trPr>
          <w:trHeight w:val="348"/>
        </w:trPr>
        <w:tc>
          <w:tcPr>
            <w:tcW w:w="4255" w:type="dxa"/>
            <w:tcBorders>
              <w:right w:val="single" w:sz="4" w:space="0" w:color="FFFFFF"/>
            </w:tcBorders>
            <w:shd w:val="clear" w:color="auto" w:fill="auto"/>
          </w:tcPr>
          <w:p w14:paraId="5BDBCC4E" w14:textId="77777777" w:rsidR="00BC59AA" w:rsidRPr="00DD68C6" w:rsidRDefault="00BC59AA" w:rsidP="005E0038">
            <w:pPr>
              <w:pStyle w:val="TableParagraph"/>
              <w:spacing w:before="8" w:line="203" w:lineRule="exact"/>
              <w:ind w:left="132"/>
              <w:jc w:val="right"/>
              <w:rPr>
                <w:sz w:val="18"/>
                <w:lang w:val="es-MX"/>
              </w:rPr>
            </w:pPr>
            <w:r w:rsidRPr="00DD68C6">
              <w:rPr>
                <w:b/>
                <w:sz w:val="20"/>
                <w:lang w:val="es-MX"/>
              </w:rPr>
              <w:t>Total</w:t>
            </w:r>
          </w:p>
        </w:tc>
        <w:tc>
          <w:tcPr>
            <w:tcW w:w="1565" w:type="dxa"/>
            <w:tcBorders>
              <w:left w:val="single" w:sz="4" w:space="0" w:color="FFFFFF"/>
              <w:right w:val="single" w:sz="6" w:space="0" w:color="FFFFFF"/>
            </w:tcBorders>
            <w:shd w:val="clear" w:color="auto" w:fill="auto"/>
          </w:tcPr>
          <w:p w14:paraId="1A39AEF2" w14:textId="77777777" w:rsidR="00BC59AA" w:rsidRPr="00DD68C6" w:rsidRDefault="00BC59AA" w:rsidP="005E0038">
            <w:pPr>
              <w:pStyle w:val="TableParagraph"/>
              <w:ind w:left="132"/>
              <w:jc w:val="center"/>
              <w:rPr>
                <w:sz w:val="20"/>
                <w:lang w:val="es-MX"/>
              </w:rPr>
            </w:pPr>
            <w:r>
              <w:rPr>
                <w:b/>
                <w:sz w:val="20"/>
                <w:lang w:val="es-MX"/>
              </w:rPr>
              <w:t>132</w:t>
            </w:r>
          </w:p>
        </w:tc>
        <w:tc>
          <w:tcPr>
            <w:tcW w:w="1697" w:type="dxa"/>
            <w:tcBorders>
              <w:left w:val="single" w:sz="6" w:space="0" w:color="FFFFFF"/>
              <w:right w:val="single" w:sz="6" w:space="0" w:color="FFFFFF"/>
            </w:tcBorders>
            <w:shd w:val="clear" w:color="auto" w:fill="auto"/>
          </w:tcPr>
          <w:p w14:paraId="31F92EE4" w14:textId="77777777" w:rsidR="00BC59AA" w:rsidRPr="00DD68C6" w:rsidRDefault="00BC59AA" w:rsidP="005E0038">
            <w:pPr>
              <w:pStyle w:val="TableParagraph"/>
              <w:ind w:left="80"/>
              <w:jc w:val="center"/>
              <w:rPr>
                <w:sz w:val="20"/>
                <w:lang w:val="es-MX"/>
              </w:rPr>
            </w:pPr>
            <w:r>
              <w:rPr>
                <w:b/>
                <w:sz w:val="20"/>
                <w:lang w:val="es-MX"/>
              </w:rPr>
              <w:t>42</w:t>
            </w:r>
          </w:p>
        </w:tc>
        <w:tc>
          <w:tcPr>
            <w:tcW w:w="1419" w:type="dxa"/>
            <w:tcBorders>
              <w:left w:val="single" w:sz="6" w:space="0" w:color="FFFFFF"/>
            </w:tcBorders>
            <w:shd w:val="clear" w:color="auto" w:fill="auto"/>
          </w:tcPr>
          <w:p w14:paraId="3F88A46A" w14:textId="77777777" w:rsidR="00BC59AA" w:rsidRPr="00DD68C6" w:rsidRDefault="00BC59AA" w:rsidP="005E0038">
            <w:pPr>
              <w:pStyle w:val="TableParagraph"/>
              <w:ind w:left="139"/>
              <w:jc w:val="center"/>
              <w:rPr>
                <w:sz w:val="20"/>
                <w:lang w:val="es-MX"/>
              </w:rPr>
            </w:pPr>
            <w:r>
              <w:rPr>
                <w:b/>
                <w:sz w:val="20"/>
                <w:lang w:val="es-MX"/>
              </w:rPr>
              <w:t>17</w:t>
            </w:r>
          </w:p>
        </w:tc>
      </w:tr>
      <w:tr w:rsidR="00BC59AA" w:rsidRPr="00F7194B" w14:paraId="0455A4B7" w14:textId="77777777" w:rsidTr="005E0038">
        <w:trPr>
          <w:trHeight w:val="348"/>
        </w:trPr>
        <w:tc>
          <w:tcPr>
            <w:tcW w:w="8936" w:type="dxa"/>
            <w:gridSpan w:val="4"/>
            <w:shd w:val="clear" w:color="auto" w:fill="auto"/>
          </w:tcPr>
          <w:p w14:paraId="56E3829C" w14:textId="77777777" w:rsidR="00BC59AA" w:rsidRPr="00D55C54" w:rsidRDefault="00BC59AA" w:rsidP="005E0038">
            <w:pPr>
              <w:pStyle w:val="Textoindependiente"/>
              <w:spacing w:line="276" w:lineRule="auto"/>
              <w:ind w:left="-76"/>
              <w:rPr>
                <w:noProof/>
                <w:color w:val="262626" w:themeColor="text1" w:themeTint="D9"/>
                <w:sz w:val="16"/>
                <w:szCs w:val="16"/>
                <w:lang w:eastAsia="es-MX"/>
              </w:rPr>
            </w:pPr>
            <w:r w:rsidRPr="00D55C54">
              <w:rPr>
                <w:b/>
                <w:noProof/>
                <w:color w:val="262626" w:themeColor="text1" w:themeTint="D9"/>
                <w:sz w:val="16"/>
                <w:szCs w:val="16"/>
                <w:lang w:eastAsia="es-MX"/>
              </w:rPr>
              <w:t xml:space="preserve">  Tabla N°. 1</w:t>
            </w:r>
            <w:r w:rsidR="0071701E">
              <w:rPr>
                <w:b/>
                <w:noProof/>
                <w:color w:val="262626" w:themeColor="text1" w:themeTint="D9"/>
                <w:sz w:val="16"/>
                <w:szCs w:val="16"/>
                <w:lang w:eastAsia="es-MX"/>
              </w:rPr>
              <w:t>4</w:t>
            </w:r>
            <w:r w:rsidRPr="00D55C54">
              <w:rPr>
                <w:b/>
                <w:noProof/>
                <w:color w:val="262626" w:themeColor="text1" w:themeTint="D9"/>
                <w:sz w:val="16"/>
                <w:szCs w:val="16"/>
                <w:lang w:eastAsia="es-MX"/>
              </w:rPr>
              <w:t>:</w:t>
            </w:r>
            <w:r w:rsidRPr="00D55C54">
              <w:rPr>
                <w:noProof/>
                <w:color w:val="262626" w:themeColor="text1" w:themeTint="D9"/>
                <w:sz w:val="16"/>
                <w:szCs w:val="16"/>
                <w:lang w:eastAsia="es-MX"/>
              </w:rPr>
              <w:t xml:space="preserve"> Elaboración propia, datos provenientes de los cuestionarios aplicados.</w:t>
            </w:r>
          </w:p>
          <w:p w14:paraId="71166CB7" w14:textId="77777777" w:rsidR="00BC59AA" w:rsidRPr="000E172F" w:rsidRDefault="00BC59AA" w:rsidP="005E0038">
            <w:pPr>
              <w:pStyle w:val="Textoindependiente"/>
              <w:spacing w:line="276" w:lineRule="auto"/>
              <w:ind w:left="-76"/>
              <w:jc w:val="center"/>
              <w:rPr>
                <w:noProof/>
                <w:color w:val="404040" w:themeColor="text1" w:themeTint="BF"/>
                <w:sz w:val="16"/>
                <w:szCs w:val="16"/>
                <w:lang w:eastAsia="es-MX"/>
              </w:rPr>
            </w:pPr>
          </w:p>
        </w:tc>
      </w:tr>
    </w:tbl>
    <w:p w14:paraId="649CBA40" w14:textId="77777777" w:rsidR="00BC59AA" w:rsidRPr="000E172F" w:rsidRDefault="00BC59AA" w:rsidP="00BC59AA">
      <w:pPr>
        <w:widowControl w:val="0"/>
        <w:tabs>
          <w:tab w:val="left" w:pos="2489"/>
        </w:tabs>
        <w:autoSpaceDE w:val="0"/>
        <w:autoSpaceDN w:val="0"/>
        <w:spacing w:after="0" w:line="276" w:lineRule="auto"/>
        <w:ind w:right="142"/>
        <w:jc w:val="both"/>
        <w:rPr>
          <w:rFonts w:ascii="Arial" w:hAnsi="Arial" w:cs="Arial"/>
          <w:sz w:val="2"/>
        </w:rPr>
      </w:pPr>
    </w:p>
    <w:p w14:paraId="6BA204CF" w14:textId="77777777" w:rsidR="00BC59AA" w:rsidRPr="00F7194B" w:rsidRDefault="00BC59AA" w:rsidP="00BC59AA">
      <w:pPr>
        <w:pStyle w:val="Prrafodelista"/>
        <w:widowControl w:val="0"/>
        <w:numPr>
          <w:ilvl w:val="0"/>
          <w:numId w:val="11"/>
        </w:numPr>
        <w:tabs>
          <w:tab w:val="left" w:pos="2489"/>
        </w:tabs>
        <w:autoSpaceDE w:val="0"/>
        <w:autoSpaceDN w:val="0"/>
        <w:spacing w:before="360" w:after="0" w:line="276" w:lineRule="auto"/>
        <w:ind w:left="1210" w:right="142"/>
        <w:contextualSpacing w:val="0"/>
        <w:jc w:val="both"/>
        <w:rPr>
          <w:rFonts w:ascii="Arial" w:hAnsi="Arial" w:cs="Arial"/>
          <w:sz w:val="24"/>
        </w:rPr>
      </w:pPr>
      <w:r w:rsidRPr="00F7194B">
        <w:rPr>
          <w:rFonts w:ascii="Arial" w:hAnsi="Arial" w:cs="Arial"/>
          <w:sz w:val="24"/>
        </w:rPr>
        <w:t>En los datos expresados en el cuadro anterior se puede observar que la problemática identificada corresponde a las fallas o errores en la gestión administrativa d</w:t>
      </w:r>
      <w:r w:rsidR="00CF732A">
        <w:rPr>
          <w:rFonts w:ascii="Arial" w:hAnsi="Arial" w:cs="Arial"/>
          <w:sz w:val="24"/>
        </w:rPr>
        <w:t>el ente auditado, y tiene como Causa-R</w:t>
      </w:r>
      <w:r w:rsidRPr="00F7194B">
        <w:rPr>
          <w:rFonts w:ascii="Arial" w:hAnsi="Arial" w:cs="Arial"/>
          <w:sz w:val="24"/>
        </w:rPr>
        <w:t xml:space="preserve">aíz el factor “Contexto Institucional", ya sea de manera aislada con </w:t>
      </w:r>
      <w:r>
        <w:rPr>
          <w:rFonts w:ascii="Arial" w:hAnsi="Arial" w:cs="Arial"/>
          <w:sz w:val="24"/>
        </w:rPr>
        <w:t>103</w:t>
      </w:r>
      <w:r w:rsidRPr="00F7194B">
        <w:rPr>
          <w:rFonts w:ascii="Arial" w:hAnsi="Arial" w:cs="Arial"/>
          <w:sz w:val="24"/>
        </w:rPr>
        <w:t xml:space="preserve"> resultados obtenidos, o en conjunto con las “Decisiones Individuales de los Servidores Públicos” alcanzando </w:t>
      </w:r>
      <w:r>
        <w:rPr>
          <w:rFonts w:ascii="Arial" w:hAnsi="Arial" w:cs="Arial"/>
          <w:sz w:val="24"/>
        </w:rPr>
        <w:t>36</w:t>
      </w:r>
      <w:r w:rsidRPr="00F7194B">
        <w:rPr>
          <w:rFonts w:ascii="Arial" w:hAnsi="Arial" w:cs="Arial"/>
          <w:sz w:val="24"/>
        </w:rPr>
        <w:t xml:space="preserve"> afirmaciones, resultados que representan el </w:t>
      </w:r>
      <w:r>
        <w:rPr>
          <w:rFonts w:ascii="Arial" w:hAnsi="Arial" w:cs="Arial"/>
          <w:sz w:val="24"/>
        </w:rPr>
        <w:t>73</w:t>
      </w:r>
      <w:r w:rsidRPr="00F7194B">
        <w:rPr>
          <w:rFonts w:ascii="Arial" w:hAnsi="Arial" w:cs="Arial"/>
          <w:sz w:val="24"/>
        </w:rPr>
        <w:t xml:space="preserve"> por ciento de la problemática determinada.</w:t>
      </w:r>
    </w:p>
    <w:p w14:paraId="419F780E" w14:textId="77777777" w:rsidR="00BC59AA" w:rsidRPr="00F7194B" w:rsidRDefault="00BC59AA" w:rsidP="00BC59AA">
      <w:pPr>
        <w:pStyle w:val="Prrafodelista"/>
        <w:widowControl w:val="0"/>
        <w:numPr>
          <w:ilvl w:val="0"/>
          <w:numId w:val="11"/>
        </w:numPr>
        <w:tabs>
          <w:tab w:val="left" w:pos="2489"/>
        </w:tabs>
        <w:autoSpaceDE w:val="0"/>
        <w:autoSpaceDN w:val="0"/>
        <w:spacing w:before="360" w:after="0" w:line="276" w:lineRule="auto"/>
        <w:ind w:left="1210" w:right="142"/>
        <w:contextualSpacing w:val="0"/>
        <w:jc w:val="both"/>
        <w:rPr>
          <w:rFonts w:ascii="Arial" w:hAnsi="Arial" w:cs="Arial"/>
          <w:sz w:val="24"/>
        </w:rPr>
      </w:pPr>
      <w:r w:rsidRPr="00F7194B">
        <w:rPr>
          <w:rFonts w:ascii="Arial" w:hAnsi="Arial" w:cs="Arial"/>
          <w:sz w:val="24"/>
        </w:rPr>
        <w:t>De igual forma, asociad</w:t>
      </w:r>
      <w:r w:rsidR="00CF732A">
        <w:rPr>
          <w:rFonts w:ascii="Arial" w:hAnsi="Arial" w:cs="Arial"/>
          <w:sz w:val="24"/>
        </w:rPr>
        <w:t>as con la misma Causa-R</w:t>
      </w:r>
      <w:r w:rsidRPr="00F7194B">
        <w:rPr>
          <w:rFonts w:ascii="Arial" w:hAnsi="Arial" w:cs="Arial"/>
          <w:sz w:val="24"/>
        </w:rPr>
        <w:t>aíz se observa que, en segundo lugar, de representatividad, se encuentra el factor “Incumplimiento de metas y objetivos de programas o políticas públicas”, teniendo el 100 por ciento de las repuestas asociadas al “Contexto Institucional” con 2</w:t>
      </w:r>
      <w:r>
        <w:rPr>
          <w:rFonts w:ascii="Arial" w:hAnsi="Arial" w:cs="Arial"/>
          <w:sz w:val="24"/>
        </w:rPr>
        <w:t>2</w:t>
      </w:r>
      <w:r w:rsidRPr="00F7194B">
        <w:rPr>
          <w:rFonts w:ascii="Arial" w:hAnsi="Arial" w:cs="Arial"/>
          <w:sz w:val="24"/>
        </w:rPr>
        <w:t xml:space="preserve"> registros realizados.</w:t>
      </w:r>
    </w:p>
    <w:p w14:paraId="1DCD787F" w14:textId="77777777" w:rsidR="00BC59AA" w:rsidRDefault="00BC59AA" w:rsidP="00BC59AA">
      <w:pPr>
        <w:tabs>
          <w:tab w:val="left" w:pos="2489"/>
        </w:tabs>
        <w:spacing w:before="360" w:line="276" w:lineRule="auto"/>
        <w:ind w:left="567" w:right="-8"/>
        <w:jc w:val="right"/>
        <w:rPr>
          <w:rFonts w:ascii="Arial" w:hAnsi="Arial" w:cs="Arial"/>
          <w:sz w:val="24"/>
        </w:rPr>
      </w:pPr>
    </w:p>
    <w:p w14:paraId="6E945795" w14:textId="77777777" w:rsidR="00BC59AA" w:rsidRDefault="00BC59AA" w:rsidP="00BC59AA">
      <w:pPr>
        <w:tabs>
          <w:tab w:val="left" w:pos="2489"/>
        </w:tabs>
        <w:spacing w:before="360" w:line="276" w:lineRule="auto"/>
        <w:ind w:left="567" w:right="-8"/>
        <w:jc w:val="right"/>
        <w:rPr>
          <w:rFonts w:ascii="Arial" w:hAnsi="Arial" w:cs="Arial"/>
          <w:sz w:val="24"/>
        </w:rPr>
      </w:pPr>
    </w:p>
    <w:p w14:paraId="4BF0D8DA" w14:textId="77777777" w:rsidR="00BC59AA" w:rsidRDefault="00BC59AA" w:rsidP="00BC59AA">
      <w:pPr>
        <w:tabs>
          <w:tab w:val="left" w:pos="2489"/>
        </w:tabs>
        <w:spacing w:before="360" w:line="276" w:lineRule="auto"/>
        <w:ind w:right="-8"/>
        <w:jc w:val="center"/>
        <w:rPr>
          <w:rFonts w:ascii="Arial" w:hAnsi="Arial" w:cs="Arial"/>
          <w:sz w:val="24"/>
        </w:rPr>
      </w:pPr>
      <w:r>
        <w:rPr>
          <w:noProof/>
          <w:lang w:eastAsia="es-MX"/>
        </w:rPr>
        <mc:AlternateContent>
          <mc:Choice Requires="wps">
            <w:drawing>
              <wp:anchor distT="0" distB="0" distL="114300" distR="114300" simplePos="0" relativeHeight="251669504" behindDoc="0" locked="0" layoutInCell="1" allowOverlap="1" wp14:anchorId="5D64A61E" wp14:editId="7945BFC3">
                <wp:simplePos x="0" y="0"/>
                <wp:positionH relativeFrom="column">
                  <wp:posOffset>1783080</wp:posOffset>
                </wp:positionH>
                <wp:positionV relativeFrom="paragraph">
                  <wp:posOffset>3021118</wp:posOffset>
                </wp:positionV>
                <wp:extent cx="1242060" cy="769620"/>
                <wp:effectExtent l="0" t="0" r="0" b="0"/>
                <wp:wrapNone/>
                <wp:docPr id="899" name="Cuadro de texto 899"/>
                <wp:cNvGraphicFramePr/>
                <a:graphic xmlns:a="http://schemas.openxmlformats.org/drawingml/2006/main">
                  <a:graphicData uri="http://schemas.microsoft.com/office/word/2010/wordprocessingShape">
                    <wps:wsp>
                      <wps:cNvSpPr txBox="1"/>
                      <wps:spPr>
                        <a:xfrm>
                          <a:off x="0" y="0"/>
                          <a:ext cx="1242060" cy="769620"/>
                        </a:xfrm>
                        <a:prstGeom prst="rect">
                          <a:avLst/>
                        </a:prstGeom>
                        <a:noFill/>
                        <a:ln w="6350">
                          <a:noFill/>
                        </a:ln>
                      </wps:spPr>
                      <wps:txbx>
                        <w:txbxContent>
                          <w:p w14:paraId="11293B8E" w14:textId="77777777" w:rsidR="00D33739" w:rsidRPr="00821E18" w:rsidRDefault="00D33739" w:rsidP="00BC59AA">
                            <w:pPr>
                              <w:jc w:val="center"/>
                              <w:rPr>
                                <w:rFonts w:cstheme="minorHAnsi"/>
                                <w:color w:val="595959" w:themeColor="text1" w:themeTint="A6"/>
                                <w:sz w:val="18"/>
                              </w:rPr>
                            </w:pPr>
                            <w:r w:rsidRPr="00821E18">
                              <w:rPr>
                                <w:rFonts w:cstheme="minorHAnsi"/>
                                <w:color w:val="595959" w:themeColor="text1" w:themeTint="A6"/>
                                <w:sz w:val="18"/>
                              </w:rPr>
                              <w:t>Incumplimiento de metas y objetivos de fondos, programas o políticas 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4A61E" id="Cuadro de texto 899" o:spid="_x0000_s1034" type="#_x0000_t202" style="position:absolute;left:0;text-align:left;margin-left:140.4pt;margin-top:237.9pt;width:97.8pt;height:60.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" filled="f" stroked="f" strokeweight=".5pt">
                <v:textbox>
                  <w:txbxContent>
                    <w:p w14:paraId="11293B8E" w14:textId="77777777" w:rsidR="00D33739" w:rsidRPr="00821E18" w:rsidRDefault="00D33739" w:rsidP="00BC59AA">
                      <w:pPr>
                        <w:jc w:val="center"/>
                        <w:rPr>
                          <w:rFonts w:cstheme="minorHAnsi"/>
                          <w:color w:val="595959" w:themeColor="text1" w:themeTint="A6"/>
                          <w:sz w:val="18"/>
                        </w:rPr>
                      </w:pPr>
                      <w:r w:rsidRPr="00821E18">
                        <w:rPr>
                          <w:rFonts w:cstheme="minorHAnsi"/>
                          <w:color w:val="595959" w:themeColor="text1" w:themeTint="A6"/>
                          <w:sz w:val="18"/>
                        </w:rPr>
                        <w:t>Incumplimiento de metas y objetivos de fondos, programas o políticas públicas</w:t>
                      </w:r>
                    </w:p>
                  </w:txbxContent>
                </v:textbox>
              </v:shape>
            </w:pict>
          </mc:Fallback>
        </mc:AlternateContent>
      </w:r>
      <w:r>
        <w:rPr>
          <w:noProof/>
          <w:lang w:eastAsia="es-MX"/>
        </w:rPr>
        <mc:AlternateContent>
          <mc:Choice Requires="wps">
            <w:drawing>
              <wp:anchor distT="0" distB="0" distL="114300" distR="114300" simplePos="0" relativeHeight="251668480" behindDoc="0" locked="0" layoutInCell="1" allowOverlap="1" wp14:anchorId="03DA8724" wp14:editId="717F27BF">
                <wp:simplePos x="0" y="0"/>
                <wp:positionH relativeFrom="column">
                  <wp:posOffset>1845945</wp:posOffset>
                </wp:positionH>
                <wp:positionV relativeFrom="paragraph">
                  <wp:posOffset>3124200</wp:posOffset>
                </wp:positionV>
                <wp:extent cx="1013460" cy="518160"/>
                <wp:effectExtent l="0" t="0" r="0" b="0"/>
                <wp:wrapNone/>
                <wp:docPr id="900" name="Rectángulo 900"/>
                <wp:cNvGraphicFramePr/>
                <a:graphic xmlns:a="http://schemas.openxmlformats.org/drawingml/2006/main">
                  <a:graphicData uri="http://schemas.microsoft.com/office/word/2010/wordprocessingShape">
                    <wps:wsp>
                      <wps:cNvSpPr/>
                      <wps:spPr>
                        <a:xfrm>
                          <a:off x="0" y="0"/>
                          <a:ext cx="1013460" cy="5181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B0133A" id="Rectángulo 900" o:spid="_x0000_s1026" style="position:absolute;margin-left:145.35pt;margin-top:246pt;width:79.8pt;height:40.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" fillcolor="window" stroked="f" strokeweight="1pt"/>
            </w:pict>
          </mc:Fallback>
        </mc:AlternateContent>
      </w:r>
    </w:p>
    <w:p w14:paraId="71BC086C" w14:textId="77777777" w:rsidR="00BC59AA" w:rsidRDefault="00BC59AA" w:rsidP="00BC59AA">
      <w:pPr>
        <w:tabs>
          <w:tab w:val="left" w:pos="2489"/>
        </w:tabs>
        <w:spacing w:before="360" w:line="276" w:lineRule="auto"/>
        <w:ind w:right="-8"/>
        <w:jc w:val="center"/>
        <w:rPr>
          <w:rFonts w:ascii="Arial" w:hAnsi="Arial" w:cs="Arial"/>
          <w:sz w:val="24"/>
        </w:rPr>
      </w:pPr>
      <w:r>
        <w:rPr>
          <w:noProof/>
          <w:lang w:eastAsia="es-MX"/>
        </w:rPr>
        <w:lastRenderedPageBreak/>
        <w:drawing>
          <wp:inline distT="0" distB="0" distL="0" distR="0" wp14:anchorId="3624C904" wp14:editId="3C407765">
            <wp:extent cx="5585460" cy="5791200"/>
            <wp:effectExtent l="0" t="0" r="15240" b="0"/>
            <wp:docPr id="1208474730" name="Gráfico 1">
              <a:extLst xmlns:a="http://schemas.openxmlformats.org/drawingml/2006/main">
                <a:ext uri="{FF2B5EF4-FFF2-40B4-BE49-F238E27FC236}">
                  <a16:creationId xmlns:a16="http://schemas.microsoft.com/office/drawing/2014/main" id="{52B2F05C-184A-9806-31D3-72A679758E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9C0048" w14:textId="77777777" w:rsidR="00BC59AA" w:rsidRPr="006268C4" w:rsidRDefault="00BC59AA" w:rsidP="00BC59AA">
      <w:pPr>
        <w:pStyle w:val="Textoindependiente"/>
        <w:spacing w:line="276" w:lineRule="auto"/>
        <w:ind w:left="-76"/>
        <w:jc w:val="center"/>
        <w:rPr>
          <w:noProof/>
          <w:sz w:val="18"/>
          <w:szCs w:val="16"/>
          <w:lang w:eastAsia="es-MX"/>
        </w:rPr>
      </w:pPr>
      <w:r w:rsidRPr="006268C4">
        <w:rPr>
          <w:b/>
          <w:noProof/>
          <w:sz w:val="18"/>
          <w:szCs w:val="16"/>
          <w:lang w:eastAsia="es-MX"/>
        </w:rPr>
        <w:t>Gráfica N° 14:</w:t>
      </w:r>
      <w:r w:rsidRPr="006268C4">
        <w:rPr>
          <w:noProof/>
          <w:sz w:val="18"/>
          <w:szCs w:val="16"/>
          <w:lang w:eastAsia="es-MX"/>
        </w:rPr>
        <w:t xml:space="preserve"> Elaboración propia, Causa-Raíz de la Principal Problemática Identificada en las Auditorías.</w:t>
      </w:r>
    </w:p>
    <w:p w14:paraId="5CC3BD78" w14:textId="77777777" w:rsidR="00BC59AA" w:rsidRDefault="00BC59AA" w:rsidP="00BC59AA">
      <w:pPr>
        <w:spacing w:after="0" w:line="276" w:lineRule="auto"/>
        <w:ind w:left="284"/>
        <w:jc w:val="both"/>
        <w:rPr>
          <w:rFonts w:ascii="Arial" w:hAnsi="Arial" w:cs="Arial"/>
          <w:sz w:val="24"/>
          <w:szCs w:val="24"/>
        </w:rPr>
      </w:pPr>
    </w:p>
    <w:p w14:paraId="5C489356" w14:textId="77777777" w:rsidR="00BC59AA" w:rsidRPr="00F7194B" w:rsidRDefault="00BC59AA" w:rsidP="00BC59AA">
      <w:pPr>
        <w:spacing w:after="0" w:line="276" w:lineRule="auto"/>
        <w:ind w:left="284"/>
        <w:jc w:val="both"/>
        <w:rPr>
          <w:rFonts w:ascii="Arial" w:hAnsi="Arial" w:cs="Arial"/>
          <w:sz w:val="24"/>
          <w:szCs w:val="24"/>
        </w:rPr>
      </w:pPr>
      <w:r w:rsidRPr="00F7194B">
        <w:rPr>
          <w:rFonts w:ascii="Arial" w:hAnsi="Arial" w:cs="Arial"/>
          <w:sz w:val="24"/>
          <w:szCs w:val="24"/>
        </w:rPr>
        <w:t>Profundizando el análisis en un segundo nivel, se desglosan lo elementos que definen el contexto institucional, solo o en combinación con las decisiones individuales de los servidores públicos, los auditores identifican lo siguiente:</w:t>
      </w:r>
    </w:p>
    <w:p w14:paraId="674935E9" w14:textId="77777777" w:rsidR="00BC59AA" w:rsidRPr="00F7194B" w:rsidRDefault="00BC59AA" w:rsidP="00BC59AA">
      <w:pPr>
        <w:spacing w:after="0" w:line="276" w:lineRule="auto"/>
        <w:ind w:left="624"/>
        <w:jc w:val="both"/>
        <w:rPr>
          <w:rFonts w:ascii="Arial" w:hAnsi="Arial" w:cs="Arial"/>
          <w:sz w:val="24"/>
          <w:szCs w:val="24"/>
        </w:rPr>
      </w:pPr>
    </w:p>
    <w:p w14:paraId="7EA62C85" w14:textId="77777777" w:rsidR="00BC59AA" w:rsidRDefault="00BC59AA" w:rsidP="00BC59AA">
      <w:pPr>
        <w:pStyle w:val="Prrafodelista"/>
        <w:widowControl w:val="0"/>
        <w:numPr>
          <w:ilvl w:val="0"/>
          <w:numId w:val="19"/>
        </w:numPr>
        <w:autoSpaceDE w:val="0"/>
        <w:autoSpaceDN w:val="0"/>
        <w:spacing w:after="0" w:line="276" w:lineRule="auto"/>
        <w:contextualSpacing w:val="0"/>
        <w:jc w:val="both"/>
        <w:rPr>
          <w:rFonts w:ascii="Arial" w:hAnsi="Arial" w:cs="Arial"/>
          <w:sz w:val="24"/>
          <w:szCs w:val="24"/>
        </w:rPr>
      </w:pPr>
      <w:r w:rsidRPr="00F7194B">
        <w:rPr>
          <w:rFonts w:ascii="Arial" w:hAnsi="Arial" w:cs="Arial"/>
          <w:sz w:val="24"/>
          <w:szCs w:val="24"/>
        </w:rPr>
        <w:t xml:space="preserve">La falta de controles administrativos adecuados, </w:t>
      </w:r>
    </w:p>
    <w:p w14:paraId="4806D457" w14:textId="77777777" w:rsidR="00BC59AA" w:rsidRPr="000E172F" w:rsidRDefault="00BC59AA" w:rsidP="00BC59AA">
      <w:pPr>
        <w:pStyle w:val="Prrafodelista"/>
        <w:widowControl w:val="0"/>
        <w:autoSpaceDE w:val="0"/>
        <w:autoSpaceDN w:val="0"/>
        <w:spacing w:after="0" w:line="276" w:lineRule="auto"/>
        <w:ind w:left="1344"/>
        <w:contextualSpacing w:val="0"/>
        <w:jc w:val="both"/>
        <w:rPr>
          <w:rFonts w:ascii="Arial" w:hAnsi="Arial" w:cs="Arial"/>
          <w:sz w:val="10"/>
          <w:szCs w:val="10"/>
        </w:rPr>
      </w:pPr>
    </w:p>
    <w:p w14:paraId="490CE858" w14:textId="77777777" w:rsidR="00BC59AA" w:rsidRDefault="00BC59AA" w:rsidP="00BC59AA">
      <w:pPr>
        <w:pStyle w:val="Prrafodelista"/>
        <w:widowControl w:val="0"/>
        <w:numPr>
          <w:ilvl w:val="0"/>
          <w:numId w:val="19"/>
        </w:numPr>
        <w:autoSpaceDE w:val="0"/>
        <w:autoSpaceDN w:val="0"/>
        <w:spacing w:after="0" w:line="276" w:lineRule="auto"/>
        <w:contextualSpacing w:val="0"/>
        <w:jc w:val="both"/>
        <w:rPr>
          <w:rFonts w:ascii="Arial" w:hAnsi="Arial" w:cs="Arial"/>
          <w:sz w:val="24"/>
          <w:szCs w:val="24"/>
        </w:rPr>
      </w:pPr>
      <w:r w:rsidRPr="00F7194B">
        <w:rPr>
          <w:rFonts w:ascii="Arial" w:hAnsi="Arial" w:cs="Arial"/>
          <w:sz w:val="24"/>
          <w:szCs w:val="24"/>
        </w:rPr>
        <w:t xml:space="preserve">El no contar con un proceso de planeación efectiva de las actividades sustantivas del ente y, </w:t>
      </w:r>
    </w:p>
    <w:p w14:paraId="0F3A508A" w14:textId="77777777" w:rsidR="00BC59AA" w:rsidRPr="000E172F" w:rsidRDefault="00BC59AA" w:rsidP="00BC59AA">
      <w:pPr>
        <w:widowControl w:val="0"/>
        <w:autoSpaceDE w:val="0"/>
        <w:autoSpaceDN w:val="0"/>
        <w:spacing w:after="0" w:line="276" w:lineRule="auto"/>
        <w:jc w:val="both"/>
        <w:rPr>
          <w:rFonts w:ascii="Arial" w:hAnsi="Arial" w:cs="Arial"/>
          <w:sz w:val="10"/>
          <w:szCs w:val="10"/>
        </w:rPr>
      </w:pPr>
    </w:p>
    <w:p w14:paraId="4B306612" w14:textId="77777777" w:rsidR="00BC59AA" w:rsidRPr="00F7194B" w:rsidRDefault="00BC59AA" w:rsidP="00BC59AA">
      <w:pPr>
        <w:pStyle w:val="Prrafodelista"/>
        <w:widowControl w:val="0"/>
        <w:numPr>
          <w:ilvl w:val="0"/>
          <w:numId w:val="19"/>
        </w:numPr>
        <w:autoSpaceDE w:val="0"/>
        <w:autoSpaceDN w:val="0"/>
        <w:spacing w:after="0" w:line="276" w:lineRule="auto"/>
        <w:contextualSpacing w:val="0"/>
        <w:jc w:val="both"/>
        <w:rPr>
          <w:rFonts w:ascii="Arial" w:hAnsi="Arial" w:cs="Arial"/>
          <w:sz w:val="24"/>
          <w:szCs w:val="24"/>
        </w:rPr>
      </w:pPr>
      <w:r w:rsidRPr="00F7194B">
        <w:rPr>
          <w:rFonts w:ascii="Arial" w:hAnsi="Arial" w:cs="Arial"/>
          <w:sz w:val="24"/>
          <w:szCs w:val="24"/>
        </w:rPr>
        <w:t>La falta o desactualización en materia de la normatividad aplicable.</w:t>
      </w:r>
    </w:p>
    <w:p w14:paraId="1AC89343" w14:textId="77777777" w:rsidR="00BC59AA" w:rsidRDefault="00BC59AA" w:rsidP="00BC59AA">
      <w:pPr>
        <w:spacing w:after="0" w:line="276" w:lineRule="auto"/>
        <w:ind w:left="284"/>
        <w:jc w:val="both"/>
        <w:rPr>
          <w:rFonts w:ascii="Arial" w:hAnsi="Arial" w:cs="Arial"/>
          <w:sz w:val="24"/>
          <w:szCs w:val="24"/>
        </w:rPr>
      </w:pPr>
      <w:r w:rsidRPr="00F7194B">
        <w:rPr>
          <w:rFonts w:ascii="Arial" w:hAnsi="Arial" w:cs="Arial"/>
          <w:sz w:val="24"/>
          <w:szCs w:val="24"/>
        </w:rPr>
        <w:lastRenderedPageBreak/>
        <w:t xml:space="preserve">Son los factores de mayor relevancia en donde se presentan las irregularidades en la gestión de los entes fiscalizados. Estos factores están representados en </w:t>
      </w:r>
      <w:r>
        <w:rPr>
          <w:rFonts w:ascii="Arial" w:hAnsi="Arial" w:cs="Arial"/>
          <w:sz w:val="24"/>
          <w:szCs w:val="24"/>
        </w:rPr>
        <w:t>169</w:t>
      </w:r>
      <w:r w:rsidRPr="00F7194B">
        <w:rPr>
          <w:rFonts w:ascii="Arial" w:hAnsi="Arial" w:cs="Arial"/>
          <w:sz w:val="24"/>
          <w:szCs w:val="24"/>
        </w:rPr>
        <w:t xml:space="preserve"> respuestas correspondientes a la suma de los valores obtenidos en las encuestas (*) y que representan el </w:t>
      </w:r>
      <w:r>
        <w:rPr>
          <w:rFonts w:ascii="Arial" w:hAnsi="Arial" w:cs="Arial"/>
          <w:sz w:val="24"/>
          <w:szCs w:val="24"/>
        </w:rPr>
        <w:t>97</w:t>
      </w:r>
      <w:r w:rsidRPr="00F7194B">
        <w:rPr>
          <w:rFonts w:ascii="Arial" w:hAnsi="Arial" w:cs="Arial"/>
          <w:sz w:val="24"/>
          <w:szCs w:val="24"/>
        </w:rPr>
        <w:t xml:space="preserve"> por ciento de las vulnerabilidades del “Contexto Institucional” en conjunto con las “Decisiones Individuales de los Servidores Públicos”, de acuerdo con lo descrito en la siguiente tabla.</w:t>
      </w:r>
    </w:p>
    <w:p w14:paraId="1BC63933" w14:textId="77777777" w:rsidR="00BC59AA" w:rsidRPr="009372EE" w:rsidRDefault="00BC59AA" w:rsidP="00BC59AA">
      <w:pPr>
        <w:pStyle w:val="Prrafodelista"/>
        <w:spacing w:after="0" w:line="360" w:lineRule="auto"/>
        <w:ind w:left="0" w:right="142"/>
        <w:jc w:val="both"/>
        <w:rPr>
          <w:rFonts w:ascii="Arial" w:hAnsi="Arial" w:cs="Arial"/>
          <w:sz w:val="6"/>
          <w:szCs w:val="12"/>
        </w:rPr>
      </w:pPr>
    </w:p>
    <w:p w14:paraId="1E8D146C" w14:textId="77777777" w:rsidR="00BC59AA" w:rsidRPr="00F7194B" w:rsidRDefault="00BC59AA" w:rsidP="00BC59AA">
      <w:pPr>
        <w:pStyle w:val="Prrafodelista"/>
        <w:spacing w:line="360" w:lineRule="auto"/>
        <w:ind w:left="0" w:right="142"/>
        <w:jc w:val="both"/>
        <w:rPr>
          <w:rFonts w:ascii="Arial" w:hAnsi="Arial" w:cs="Arial"/>
          <w:sz w:val="4"/>
          <w:szCs w:val="4"/>
        </w:rPr>
      </w:pPr>
    </w:p>
    <w:tbl>
      <w:tblPr>
        <w:tblStyle w:val="TableNormal"/>
        <w:tblW w:w="0" w:type="auto"/>
        <w:jc w:val="right"/>
        <w:tblInd w:w="0" w:type="dxa"/>
        <w:tblLayout w:type="fixed"/>
        <w:tblLook w:val="01E0" w:firstRow="1" w:lastRow="1" w:firstColumn="1" w:lastColumn="1" w:noHBand="0" w:noVBand="0"/>
      </w:tblPr>
      <w:tblGrid>
        <w:gridCol w:w="6382"/>
        <w:gridCol w:w="1150"/>
        <w:gridCol w:w="61"/>
        <w:gridCol w:w="1090"/>
      </w:tblGrid>
      <w:tr w:rsidR="00BC59AA" w:rsidRPr="00B55593" w14:paraId="532772D5" w14:textId="77777777" w:rsidTr="005E0038">
        <w:trPr>
          <w:trHeight w:val="460"/>
          <w:jc w:val="right"/>
        </w:trPr>
        <w:tc>
          <w:tcPr>
            <w:tcW w:w="8683" w:type="dxa"/>
            <w:gridSpan w:val="4"/>
            <w:shd w:val="clear" w:color="auto" w:fill="A5A5A5" w:themeFill="accent3"/>
            <w:vAlign w:val="center"/>
          </w:tcPr>
          <w:p w14:paraId="2555443C" w14:textId="77777777" w:rsidR="00BC59AA" w:rsidRPr="00B55593" w:rsidRDefault="00BC59AA" w:rsidP="005E0038">
            <w:pPr>
              <w:pStyle w:val="TableParagraph"/>
              <w:ind w:right="39"/>
              <w:jc w:val="center"/>
              <w:rPr>
                <w:b/>
                <w:color w:val="FFFFFF" w:themeColor="background1"/>
                <w:sz w:val="18"/>
              </w:rPr>
            </w:pPr>
            <w:r w:rsidRPr="00B55593">
              <w:rPr>
                <w:b/>
                <w:color w:val="FFFFFF" w:themeColor="background1"/>
                <w:sz w:val="18"/>
              </w:rPr>
              <w:t>Conformación del Contexto Institucional</w:t>
            </w:r>
          </w:p>
        </w:tc>
      </w:tr>
      <w:tr w:rsidR="00BC59AA" w:rsidRPr="00B55593" w14:paraId="68B56CA2" w14:textId="77777777" w:rsidTr="005E0038">
        <w:trPr>
          <w:trHeight w:val="424"/>
          <w:jc w:val="right"/>
        </w:trPr>
        <w:tc>
          <w:tcPr>
            <w:tcW w:w="6382" w:type="dxa"/>
            <w:shd w:val="clear" w:color="auto" w:fill="A5A5A5" w:themeFill="accent3"/>
            <w:vAlign w:val="center"/>
          </w:tcPr>
          <w:p w14:paraId="2B6D48B2" w14:textId="77777777" w:rsidR="00BC59AA" w:rsidRPr="00B55593" w:rsidRDefault="00BC59AA" w:rsidP="005E0038">
            <w:pPr>
              <w:pStyle w:val="TableParagraph"/>
              <w:ind w:left="142"/>
              <w:jc w:val="center"/>
              <w:rPr>
                <w:b/>
                <w:color w:val="FFFFFF" w:themeColor="background1"/>
                <w:sz w:val="18"/>
              </w:rPr>
            </w:pPr>
            <w:r w:rsidRPr="00B55593">
              <w:rPr>
                <w:b/>
                <w:color w:val="FFFFFF" w:themeColor="background1"/>
                <w:sz w:val="18"/>
              </w:rPr>
              <w:t>Causa-Raíz Vinculada con el Contexto Institucional</w:t>
            </w:r>
          </w:p>
        </w:tc>
        <w:tc>
          <w:tcPr>
            <w:tcW w:w="1150" w:type="dxa"/>
            <w:shd w:val="clear" w:color="auto" w:fill="A5A5A5" w:themeFill="accent3"/>
            <w:vAlign w:val="center"/>
          </w:tcPr>
          <w:p w14:paraId="1A8A9D0C" w14:textId="77777777" w:rsidR="00BC59AA" w:rsidRPr="00B55593" w:rsidRDefault="00BC59AA" w:rsidP="005E0038">
            <w:pPr>
              <w:pStyle w:val="TableParagraph"/>
              <w:jc w:val="center"/>
              <w:rPr>
                <w:b/>
                <w:color w:val="FFFFFF" w:themeColor="background1"/>
                <w:sz w:val="18"/>
              </w:rPr>
            </w:pPr>
            <w:r w:rsidRPr="00B55593">
              <w:rPr>
                <w:b/>
                <w:color w:val="FFFFFF" w:themeColor="background1"/>
                <w:sz w:val="18"/>
              </w:rPr>
              <w:t>Frecuencia</w:t>
            </w:r>
          </w:p>
        </w:tc>
        <w:tc>
          <w:tcPr>
            <w:tcW w:w="1151" w:type="dxa"/>
            <w:gridSpan w:val="2"/>
            <w:shd w:val="clear" w:color="auto" w:fill="A5A5A5" w:themeFill="accent3"/>
            <w:vAlign w:val="center"/>
          </w:tcPr>
          <w:p w14:paraId="52B79AAB" w14:textId="77777777" w:rsidR="00BC59AA" w:rsidRPr="00B55593" w:rsidRDefault="00BC59AA" w:rsidP="005E0038">
            <w:pPr>
              <w:pStyle w:val="TableParagraph"/>
              <w:tabs>
                <w:tab w:val="left" w:pos="1697"/>
              </w:tabs>
              <w:spacing w:before="1"/>
              <w:ind w:left="108"/>
              <w:jc w:val="center"/>
              <w:rPr>
                <w:b/>
                <w:color w:val="FFFFFF" w:themeColor="background1"/>
                <w:sz w:val="18"/>
              </w:rPr>
            </w:pPr>
            <w:r w:rsidRPr="00B55593">
              <w:rPr>
                <w:b/>
                <w:color w:val="FFFFFF" w:themeColor="background1"/>
                <w:sz w:val="18"/>
              </w:rPr>
              <w:t>%</w:t>
            </w:r>
          </w:p>
        </w:tc>
      </w:tr>
      <w:tr w:rsidR="00BC59AA" w:rsidRPr="00B55593" w14:paraId="6048FEDA" w14:textId="77777777" w:rsidTr="005E0038">
        <w:trPr>
          <w:trHeight w:val="340"/>
          <w:jc w:val="right"/>
        </w:trPr>
        <w:tc>
          <w:tcPr>
            <w:tcW w:w="6382" w:type="dxa"/>
            <w:tcBorders>
              <w:right w:val="single" w:sz="4" w:space="0" w:color="7F7F7F"/>
            </w:tcBorders>
            <w:shd w:val="clear" w:color="auto" w:fill="F2F2F2"/>
            <w:vAlign w:val="center"/>
          </w:tcPr>
          <w:p w14:paraId="13156CE1" w14:textId="77777777" w:rsidR="00BC59AA" w:rsidRPr="00B55593" w:rsidRDefault="00BC59AA" w:rsidP="005E0038">
            <w:pPr>
              <w:pStyle w:val="TableParagraph"/>
              <w:spacing w:line="205" w:lineRule="exact"/>
              <w:ind w:left="107"/>
              <w:rPr>
                <w:b/>
                <w:sz w:val="18"/>
              </w:rPr>
            </w:pPr>
            <w:r w:rsidRPr="00B55593">
              <w:rPr>
                <w:b/>
                <w:sz w:val="18"/>
              </w:rPr>
              <w:t>Contexto institucional</w:t>
            </w:r>
          </w:p>
        </w:tc>
        <w:tc>
          <w:tcPr>
            <w:tcW w:w="1211" w:type="dxa"/>
            <w:gridSpan w:val="2"/>
            <w:tcBorders>
              <w:left w:val="single" w:sz="4" w:space="0" w:color="7F7F7F"/>
            </w:tcBorders>
            <w:shd w:val="clear" w:color="auto" w:fill="F2F2F2"/>
            <w:vAlign w:val="center"/>
          </w:tcPr>
          <w:p w14:paraId="37FEA80A" w14:textId="77777777" w:rsidR="00BC59AA" w:rsidRPr="00B55593" w:rsidRDefault="007505CA" w:rsidP="005E0038">
            <w:pPr>
              <w:pStyle w:val="TableParagraph"/>
              <w:spacing w:line="205" w:lineRule="exact"/>
              <w:ind w:left="458" w:right="402"/>
              <w:jc w:val="center"/>
              <w:rPr>
                <w:b/>
                <w:sz w:val="18"/>
              </w:rPr>
            </w:pPr>
            <w:r>
              <w:rPr>
                <w:b/>
                <w:sz w:val="18"/>
              </w:rPr>
              <w:t>132</w:t>
            </w:r>
          </w:p>
        </w:tc>
        <w:tc>
          <w:tcPr>
            <w:tcW w:w="1090" w:type="dxa"/>
            <w:shd w:val="clear" w:color="auto" w:fill="F2F2F2"/>
            <w:vAlign w:val="center"/>
          </w:tcPr>
          <w:p w14:paraId="3F81593B" w14:textId="77777777" w:rsidR="00BC59AA" w:rsidRPr="00B55593" w:rsidRDefault="00BC59AA" w:rsidP="005E0038">
            <w:pPr>
              <w:pStyle w:val="TableParagraph"/>
              <w:spacing w:line="205" w:lineRule="exact"/>
              <w:ind w:left="65"/>
              <w:jc w:val="center"/>
              <w:rPr>
                <w:b/>
                <w:sz w:val="18"/>
              </w:rPr>
            </w:pPr>
            <w:r>
              <w:rPr>
                <w:b/>
                <w:sz w:val="18"/>
              </w:rPr>
              <w:t>76%</w:t>
            </w:r>
          </w:p>
        </w:tc>
      </w:tr>
      <w:tr w:rsidR="00BC59AA" w:rsidRPr="00B55593" w14:paraId="090B0E10" w14:textId="77777777" w:rsidTr="005E0038">
        <w:trPr>
          <w:trHeight w:val="397"/>
          <w:jc w:val="right"/>
        </w:trPr>
        <w:tc>
          <w:tcPr>
            <w:tcW w:w="6382" w:type="dxa"/>
            <w:tcBorders>
              <w:right w:val="single" w:sz="4" w:space="0" w:color="7F7F7F"/>
            </w:tcBorders>
            <w:vAlign w:val="center"/>
          </w:tcPr>
          <w:p w14:paraId="6B65E9E7" w14:textId="77777777" w:rsidR="00BC59AA" w:rsidRPr="00B07D89" w:rsidRDefault="00BC59AA" w:rsidP="005E0038">
            <w:pPr>
              <w:pStyle w:val="TableParagraph"/>
              <w:spacing w:line="206" w:lineRule="exact"/>
              <w:ind w:left="107"/>
              <w:rPr>
                <w:sz w:val="18"/>
                <w:szCs w:val="18"/>
              </w:rPr>
            </w:pPr>
            <w:r w:rsidRPr="00B07D89">
              <w:rPr>
                <w:color w:val="000000"/>
                <w:sz w:val="18"/>
                <w:szCs w:val="18"/>
              </w:rPr>
              <w:t>5.4. Controles administrativos inadecuados.</w:t>
            </w:r>
          </w:p>
        </w:tc>
        <w:tc>
          <w:tcPr>
            <w:tcW w:w="1211" w:type="dxa"/>
            <w:gridSpan w:val="2"/>
            <w:tcBorders>
              <w:left w:val="single" w:sz="4" w:space="0" w:color="7F7F7F"/>
            </w:tcBorders>
            <w:vAlign w:val="bottom"/>
          </w:tcPr>
          <w:p w14:paraId="3FCB34A9" w14:textId="77777777" w:rsidR="00BC59AA" w:rsidRPr="00802C62" w:rsidRDefault="00BC59AA" w:rsidP="005E0038">
            <w:pPr>
              <w:pStyle w:val="TableParagraph"/>
              <w:spacing w:line="206" w:lineRule="exact"/>
              <w:ind w:left="458" w:right="402"/>
              <w:jc w:val="center"/>
              <w:rPr>
                <w:sz w:val="18"/>
                <w:szCs w:val="18"/>
              </w:rPr>
            </w:pPr>
            <w:r>
              <w:rPr>
                <w:color w:val="000000"/>
                <w:sz w:val="18"/>
                <w:szCs w:val="18"/>
              </w:rPr>
              <w:t>79*</w:t>
            </w:r>
          </w:p>
        </w:tc>
        <w:tc>
          <w:tcPr>
            <w:tcW w:w="1090" w:type="dxa"/>
            <w:vAlign w:val="bottom"/>
          </w:tcPr>
          <w:p w14:paraId="71B0070A" w14:textId="77777777" w:rsidR="00BC59AA" w:rsidRPr="00802C62" w:rsidRDefault="00BC59AA" w:rsidP="005E0038">
            <w:pPr>
              <w:pStyle w:val="TableParagraph"/>
              <w:spacing w:line="206" w:lineRule="exact"/>
              <w:ind w:left="65"/>
              <w:jc w:val="center"/>
              <w:rPr>
                <w:sz w:val="18"/>
                <w:szCs w:val="18"/>
              </w:rPr>
            </w:pPr>
            <w:r w:rsidRPr="00802C62">
              <w:rPr>
                <w:color w:val="000000"/>
                <w:sz w:val="18"/>
                <w:szCs w:val="18"/>
              </w:rPr>
              <w:t>4</w:t>
            </w:r>
            <w:r>
              <w:rPr>
                <w:color w:val="000000"/>
                <w:sz w:val="18"/>
                <w:szCs w:val="18"/>
              </w:rPr>
              <w:t>5</w:t>
            </w:r>
            <w:r w:rsidRPr="00802C62">
              <w:rPr>
                <w:color w:val="000000"/>
                <w:sz w:val="18"/>
                <w:szCs w:val="18"/>
              </w:rPr>
              <w:t>%</w:t>
            </w:r>
          </w:p>
        </w:tc>
      </w:tr>
      <w:tr w:rsidR="00BC59AA" w:rsidRPr="00B55593" w14:paraId="6D110EAE" w14:textId="77777777" w:rsidTr="005E0038">
        <w:trPr>
          <w:trHeight w:val="397"/>
          <w:jc w:val="right"/>
        </w:trPr>
        <w:tc>
          <w:tcPr>
            <w:tcW w:w="6382" w:type="dxa"/>
            <w:tcBorders>
              <w:right w:val="single" w:sz="4" w:space="0" w:color="7F7F7F"/>
            </w:tcBorders>
            <w:shd w:val="clear" w:color="auto" w:fill="F2F2F2"/>
            <w:vAlign w:val="center"/>
          </w:tcPr>
          <w:p w14:paraId="08272002" w14:textId="77777777" w:rsidR="00BC59AA" w:rsidRPr="00B07D89" w:rsidRDefault="00BC59AA" w:rsidP="005E0038">
            <w:pPr>
              <w:pStyle w:val="TableParagraph"/>
              <w:ind w:left="107"/>
              <w:rPr>
                <w:sz w:val="18"/>
                <w:szCs w:val="18"/>
              </w:rPr>
            </w:pPr>
            <w:r w:rsidRPr="00B07D89">
              <w:rPr>
                <w:color w:val="000000"/>
                <w:sz w:val="18"/>
                <w:szCs w:val="18"/>
              </w:rPr>
              <w:t>5.3. Procesos inadecuados de Planeación de las actividades sustantivas del ente auditado.</w:t>
            </w:r>
          </w:p>
        </w:tc>
        <w:tc>
          <w:tcPr>
            <w:tcW w:w="1211" w:type="dxa"/>
            <w:gridSpan w:val="2"/>
            <w:tcBorders>
              <w:left w:val="single" w:sz="4" w:space="0" w:color="7F7F7F"/>
            </w:tcBorders>
            <w:shd w:val="clear" w:color="auto" w:fill="F2F2F2"/>
            <w:vAlign w:val="bottom"/>
          </w:tcPr>
          <w:p w14:paraId="600395EF" w14:textId="77777777" w:rsidR="00BC59AA" w:rsidRPr="00802C62" w:rsidRDefault="00BC59AA" w:rsidP="005E0038">
            <w:pPr>
              <w:pStyle w:val="TableParagraph"/>
              <w:ind w:left="458" w:right="402"/>
              <w:jc w:val="center"/>
              <w:rPr>
                <w:sz w:val="18"/>
                <w:szCs w:val="18"/>
              </w:rPr>
            </w:pPr>
            <w:r>
              <w:rPr>
                <w:color w:val="000000"/>
                <w:sz w:val="18"/>
                <w:szCs w:val="18"/>
              </w:rPr>
              <w:t>19*</w:t>
            </w:r>
          </w:p>
        </w:tc>
        <w:tc>
          <w:tcPr>
            <w:tcW w:w="1090" w:type="dxa"/>
            <w:shd w:val="clear" w:color="auto" w:fill="F2F2F2"/>
            <w:vAlign w:val="bottom"/>
          </w:tcPr>
          <w:p w14:paraId="049BEE49" w14:textId="77777777" w:rsidR="00BC59AA" w:rsidRPr="00802C62" w:rsidRDefault="00BC59AA" w:rsidP="005E0038">
            <w:pPr>
              <w:pStyle w:val="TableParagraph"/>
              <w:ind w:left="65"/>
              <w:jc w:val="center"/>
              <w:rPr>
                <w:sz w:val="18"/>
                <w:szCs w:val="18"/>
              </w:rPr>
            </w:pPr>
            <w:r w:rsidRPr="00802C62">
              <w:rPr>
                <w:color w:val="000000"/>
                <w:sz w:val="18"/>
                <w:szCs w:val="18"/>
              </w:rPr>
              <w:t>1</w:t>
            </w:r>
            <w:r>
              <w:rPr>
                <w:color w:val="000000"/>
                <w:sz w:val="18"/>
                <w:szCs w:val="18"/>
              </w:rPr>
              <w:t>1</w:t>
            </w:r>
            <w:r w:rsidRPr="00802C62">
              <w:rPr>
                <w:color w:val="000000"/>
                <w:sz w:val="18"/>
                <w:szCs w:val="18"/>
              </w:rPr>
              <w:t>%</w:t>
            </w:r>
          </w:p>
        </w:tc>
      </w:tr>
      <w:tr w:rsidR="00BC59AA" w:rsidRPr="00B55593" w14:paraId="39878234" w14:textId="77777777" w:rsidTr="005E0038">
        <w:trPr>
          <w:trHeight w:val="397"/>
          <w:jc w:val="right"/>
        </w:trPr>
        <w:tc>
          <w:tcPr>
            <w:tcW w:w="6382" w:type="dxa"/>
            <w:tcBorders>
              <w:right w:val="single" w:sz="4" w:space="0" w:color="7F7F7F"/>
            </w:tcBorders>
            <w:vAlign w:val="center"/>
          </w:tcPr>
          <w:p w14:paraId="426D10D6" w14:textId="77777777" w:rsidR="00BC59AA" w:rsidRPr="00B07D89" w:rsidRDefault="00BC59AA" w:rsidP="005E0038">
            <w:pPr>
              <w:pStyle w:val="TableParagraph"/>
              <w:spacing w:line="206" w:lineRule="exact"/>
              <w:ind w:left="107"/>
              <w:rPr>
                <w:sz w:val="18"/>
                <w:szCs w:val="18"/>
              </w:rPr>
            </w:pPr>
            <w:r w:rsidRPr="00B07D89">
              <w:rPr>
                <w:color w:val="000000"/>
                <w:sz w:val="18"/>
                <w:szCs w:val="18"/>
              </w:rPr>
              <w:t>5.</w:t>
            </w:r>
            <w:r>
              <w:rPr>
                <w:color w:val="000000"/>
                <w:sz w:val="18"/>
                <w:szCs w:val="18"/>
              </w:rPr>
              <w:t xml:space="preserve">1. </w:t>
            </w:r>
            <w:r w:rsidRPr="00B07D89">
              <w:rPr>
                <w:color w:val="000000"/>
                <w:sz w:val="18"/>
                <w:szCs w:val="18"/>
              </w:rPr>
              <w:t>Falta o desactualización de la normativa aplicable.</w:t>
            </w:r>
          </w:p>
        </w:tc>
        <w:tc>
          <w:tcPr>
            <w:tcW w:w="1211" w:type="dxa"/>
            <w:gridSpan w:val="2"/>
            <w:tcBorders>
              <w:left w:val="single" w:sz="4" w:space="0" w:color="7F7F7F"/>
            </w:tcBorders>
            <w:vAlign w:val="bottom"/>
          </w:tcPr>
          <w:p w14:paraId="6D2BC3AC" w14:textId="77777777" w:rsidR="00BC59AA" w:rsidRPr="00802C62" w:rsidRDefault="00BC59AA" w:rsidP="005E0038">
            <w:pPr>
              <w:pStyle w:val="TableParagraph"/>
              <w:spacing w:line="206" w:lineRule="exact"/>
              <w:ind w:left="458" w:right="402"/>
              <w:jc w:val="center"/>
              <w:rPr>
                <w:sz w:val="18"/>
                <w:szCs w:val="18"/>
              </w:rPr>
            </w:pPr>
            <w:r>
              <w:rPr>
                <w:color w:val="000000"/>
                <w:sz w:val="18"/>
                <w:szCs w:val="18"/>
              </w:rPr>
              <w:t>19*</w:t>
            </w:r>
          </w:p>
        </w:tc>
        <w:tc>
          <w:tcPr>
            <w:tcW w:w="1090" w:type="dxa"/>
            <w:vAlign w:val="bottom"/>
          </w:tcPr>
          <w:p w14:paraId="42FE86D5" w14:textId="77777777" w:rsidR="00BC59AA" w:rsidRPr="00802C62" w:rsidRDefault="00BC59AA" w:rsidP="005E0038">
            <w:pPr>
              <w:pStyle w:val="TableParagraph"/>
              <w:spacing w:line="206" w:lineRule="exact"/>
              <w:ind w:left="65"/>
              <w:jc w:val="center"/>
              <w:rPr>
                <w:sz w:val="18"/>
                <w:szCs w:val="18"/>
              </w:rPr>
            </w:pPr>
            <w:r>
              <w:rPr>
                <w:color w:val="000000"/>
                <w:sz w:val="18"/>
                <w:szCs w:val="18"/>
              </w:rPr>
              <w:t>11</w:t>
            </w:r>
            <w:r w:rsidRPr="00802C62">
              <w:rPr>
                <w:color w:val="000000"/>
                <w:sz w:val="18"/>
                <w:szCs w:val="18"/>
              </w:rPr>
              <w:t>%</w:t>
            </w:r>
          </w:p>
        </w:tc>
      </w:tr>
      <w:tr w:rsidR="00BC59AA" w:rsidRPr="00B55593" w14:paraId="07ED2938" w14:textId="77777777" w:rsidTr="005E0038">
        <w:trPr>
          <w:trHeight w:val="397"/>
          <w:jc w:val="right"/>
        </w:trPr>
        <w:tc>
          <w:tcPr>
            <w:tcW w:w="6382" w:type="dxa"/>
            <w:tcBorders>
              <w:right w:val="single" w:sz="4" w:space="0" w:color="7F7F7F"/>
            </w:tcBorders>
            <w:shd w:val="clear" w:color="auto" w:fill="F2F2F2"/>
            <w:vAlign w:val="center"/>
          </w:tcPr>
          <w:p w14:paraId="1E9AE327" w14:textId="77777777" w:rsidR="00BC59AA" w:rsidRPr="00B07D89" w:rsidRDefault="00BC59AA" w:rsidP="005E0038">
            <w:pPr>
              <w:pStyle w:val="TableParagraph"/>
              <w:spacing w:line="206" w:lineRule="exact"/>
              <w:ind w:left="107"/>
              <w:rPr>
                <w:sz w:val="18"/>
                <w:szCs w:val="18"/>
              </w:rPr>
            </w:pPr>
            <w:r w:rsidRPr="00B07D89">
              <w:rPr>
                <w:color w:val="000000"/>
                <w:sz w:val="18"/>
                <w:szCs w:val="18"/>
              </w:rPr>
              <w:t>5.5. Coordinación interinstitucional inadecuada con otras dependencias involucradas en la implementación de fondos, programas o políticas Públicas.</w:t>
            </w:r>
          </w:p>
        </w:tc>
        <w:tc>
          <w:tcPr>
            <w:tcW w:w="1211" w:type="dxa"/>
            <w:gridSpan w:val="2"/>
            <w:tcBorders>
              <w:left w:val="single" w:sz="4" w:space="0" w:color="7F7F7F"/>
            </w:tcBorders>
            <w:shd w:val="clear" w:color="auto" w:fill="F2F2F2"/>
            <w:vAlign w:val="bottom"/>
          </w:tcPr>
          <w:p w14:paraId="370915FA" w14:textId="77777777" w:rsidR="00BC59AA" w:rsidRPr="00802C62" w:rsidRDefault="00BC59AA" w:rsidP="005E0038">
            <w:pPr>
              <w:pStyle w:val="TableParagraph"/>
              <w:ind w:left="458" w:right="402"/>
              <w:jc w:val="center"/>
              <w:rPr>
                <w:sz w:val="18"/>
                <w:szCs w:val="18"/>
              </w:rPr>
            </w:pPr>
            <w:r>
              <w:rPr>
                <w:color w:val="000000"/>
                <w:sz w:val="18"/>
                <w:szCs w:val="18"/>
              </w:rPr>
              <w:t>10*</w:t>
            </w:r>
          </w:p>
        </w:tc>
        <w:tc>
          <w:tcPr>
            <w:tcW w:w="1090" w:type="dxa"/>
            <w:shd w:val="clear" w:color="auto" w:fill="F2F2F2"/>
            <w:vAlign w:val="bottom"/>
          </w:tcPr>
          <w:p w14:paraId="729CE43F" w14:textId="77777777" w:rsidR="00BC59AA" w:rsidRPr="00802C62" w:rsidRDefault="00BC59AA" w:rsidP="005E0038">
            <w:pPr>
              <w:pStyle w:val="TableParagraph"/>
              <w:ind w:left="65"/>
              <w:jc w:val="center"/>
              <w:rPr>
                <w:sz w:val="18"/>
                <w:szCs w:val="18"/>
              </w:rPr>
            </w:pPr>
            <w:r>
              <w:rPr>
                <w:color w:val="000000"/>
                <w:sz w:val="18"/>
                <w:szCs w:val="18"/>
              </w:rPr>
              <w:t>6</w:t>
            </w:r>
            <w:r w:rsidRPr="00802C62">
              <w:rPr>
                <w:color w:val="000000"/>
                <w:sz w:val="18"/>
                <w:szCs w:val="18"/>
              </w:rPr>
              <w:t>%</w:t>
            </w:r>
          </w:p>
        </w:tc>
      </w:tr>
      <w:tr w:rsidR="00BC59AA" w:rsidRPr="00B55593" w14:paraId="47C9527C" w14:textId="77777777" w:rsidTr="005E0038">
        <w:trPr>
          <w:trHeight w:val="397"/>
          <w:jc w:val="right"/>
        </w:trPr>
        <w:tc>
          <w:tcPr>
            <w:tcW w:w="6382" w:type="dxa"/>
            <w:tcBorders>
              <w:right w:val="single" w:sz="4" w:space="0" w:color="7F7F7F"/>
            </w:tcBorders>
            <w:vAlign w:val="center"/>
          </w:tcPr>
          <w:p w14:paraId="30530536" w14:textId="77777777" w:rsidR="00BC59AA" w:rsidRPr="00B07D89" w:rsidRDefault="00BC59AA" w:rsidP="005E0038">
            <w:pPr>
              <w:pStyle w:val="TableParagraph"/>
              <w:spacing w:line="206" w:lineRule="exact"/>
              <w:ind w:left="107"/>
              <w:rPr>
                <w:sz w:val="18"/>
                <w:szCs w:val="18"/>
              </w:rPr>
            </w:pPr>
            <w:r w:rsidRPr="00B07D89">
              <w:rPr>
                <w:color w:val="000000"/>
                <w:sz w:val="18"/>
                <w:szCs w:val="18"/>
              </w:rPr>
              <w:t>5.2.  Fallas en el diseño de la normativa aplicable.</w:t>
            </w:r>
          </w:p>
        </w:tc>
        <w:tc>
          <w:tcPr>
            <w:tcW w:w="1211" w:type="dxa"/>
            <w:gridSpan w:val="2"/>
            <w:tcBorders>
              <w:left w:val="single" w:sz="4" w:space="0" w:color="7F7F7F"/>
            </w:tcBorders>
            <w:vAlign w:val="bottom"/>
          </w:tcPr>
          <w:p w14:paraId="7BFBC779" w14:textId="77777777" w:rsidR="00BC59AA" w:rsidRPr="00802C62" w:rsidRDefault="00BC59AA" w:rsidP="005E0038">
            <w:pPr>
              <w:pStyle w:val="TableParagraph"/>
              <w:spacing w:line="206" w:lineRule="exact"/>
              <w:ind w:left="458" w:right="402"/>
              <w:jc w:val="center"/>
              <w:rPr>
                <w:sz w:val="18"/>
                <w:szCs w:val="18"/>
              </w:rPr>
            </w:pPr>
            <w:r>
              <w:rPr>
                <w:color w:val="000000"/>
                <w:sz w:val="18"/>
                <w:szCs w:val="18"/>
              </w:rPr>
              <w:t>4</w:t>
            </w:r>
          </w:p>
        </w:tc>
        <w:tc>
          <w:tcPr>
            <w:tcW w:w="1090" w:type="dxa"/>
            <w:vAlign w:val="bottom"/>
          </w:tcPr>
          <w:p w14:paraId="05206B84" w14:textId="77777777" w:rsidR="00BC59AA" w:rsidRPr="00802C62" w:rsidRDefault="00BC59AA" w:rsidP="005E0038">
            <w:pPr>
              <w:pStyle w:val="TableParagraph"/>
              <w:spacing w:line="206" w:lineRule="exact"/>
              <w:ind w:left="65"/>
              <w:jc w:val="center"/>
              <w:rPr>
                <w:sz w:val="18"/>
                <w:szCs w:val="18"/>
              </w:rPr>
            </w:pPr>
            <w:r>
              <w:rPr>
                <w:color w:val="000000"/>
                <w:sz w:val="18"/>
                <w:szCs w:val="18"/>
              </w:rPr>
              <w:t>2</w:t>
            </w:r>
            <w:r w:rsidRPr="00802C62">
              <w:rPr>
                <w:color w:val="000000"/>
                <w:sz w:val="18"/>
                <w:szCs w:val="18"/>
              </w:rPr>
              <w:t>%</w:t>
            </w:r>
          </w:p>
        </w:tc>
      </w:tr>
      <w:tr w:rsidR="00BC59AA" w:rsidRPr="00B55593" w14:paraId="55403763" w14:textId="77777777" w:rsidTr="005E0038">
        <w:trPr>
          <w:trHeight w:val="397"/>
          <w:jc w:val="right"/>
        </w:trPr>
        <w:tc>
          <w:tcPr>
            <w:tcW w:w="6382" w:type="dxa"/>
            <w:tcBorders>
              <w:right w:val="single" w:sz="4" w:space="0" w:color="7F7F7F"/>
            </w:tcBorders>
            <w:shd w:val="clear" w:color="auto" w:fill="F2F2F2"/>
            <w:vAlign w:val="center"/>
          </w:tcPr>
          <w:p w14:paraId="116E4D58" w14:textId="77777777" w:rsidR="00BC59AA" w:rsidRPr="00B07D89" w:rsidRDefault="00BC59AA" w:rsidP="005E0038">
            <w:pPr>
              <w:pStyle w:val="TableParagraph"/>
              <w:spacing w:line="206" w:lineRule="exact"/>
              <w:ind w:left="107"/>
              <w:rPr>
                <w:sz w:val="18"/>
                <w:szCs w:val="18"/>
              </w:rPr>
            </w:pPr>
            <w:r w:rsidRPr="00B07D89">
              <w:rPr>
                <w:color w:val="000000"/>
                <w:sz w:val="18"/>
                <w:szCs w:val="18"/>
              </w:rPr>
              <w:t>5.6. Recursos insuficientes.</w:t>
            </w:r>
          </w:p>
        </w:tc>
        <w:tc>
          <w:tcPr>
            <w:tcW w:w="1211" w:type="dxa"/>
            <w:gridSpan w:val="2"/>
            <w:tcBorders>
              <w:left w:val="single" w:sz="4" w:space="0" w:color="7F7F7F"/>
            </w:tcBorders>
            <w:shd w:val="clear" w:color="auto" w:fill="F2F2F2"/>
            <w:vAlign w:val="bottom"/>
          </w:tcPr>
          <w:p w14:paraId="4F99EAD5" w14:textId="77777777" w:rsidR="00BC59AA" w:rsidRPr="00B55593" w:rsidRDefault="00BC59AA" w:rsidP="005E0038">
            <w:pPr>
              <w:pStyle w:val="TableParagraph"/>
              <w:ind w:left="458" w:right="402"/>
              <w:jc w:val="center"/>
              <w:rPr>
                <w:sz w:val="18"/>
              </w:rPr>
            </w:pPr>
            <w:r>
              <w:rPr>
                <w:color w:val="000000"/>
                <w:sz w:val="20"/>
                <w:szCs w:val="20"/>
              </w:rPr>
              <w:t>1</w:t>
            </w:r>
          </w:p>
        </w:tc>
        <w:tc>
          <w:tcPr>
            <w:tcW w:w="1090" w:type="dxa"/>
            <w:shd w:val="clear" w:color="auto" w:fill="F2F2F2"/>
            <w:vAlign w:val="bottom"/>
          </w:tcPr>
          <w:p w14:paraId="5ED2BA41" w14:textId="77777777" w:rsidR="00BC59AA" w:rsidRPr="00B55593" w:rsidRDefault="00BC59AA" w:rsidP="005E0038">
            <w:pPr>
              <w:pStyle w:val="TableParagraph"/>
              <w:ind w:left="65"/>
              <w:jc w:val="center"/>
              <w:rPr>
                <w:sz w:val="18"/>
              </w:rPr>
            </w:pPr>
            <w:r>
              <w:rPr>
                <w:color w:val="000000"/>
                <w:sz w:val="20"/>
                <w:szCs w:val="20"/>
              </w:rPr>
              <w:t>1%</w:t>
            </w:r>
          </w:p>
        </w:tc>
      </w:tr>
      <w:tr w:rsidR="00BC59AA" w:rsidRPr="00B55593" w14:paraId="23C04D30" w14:textId="77777777" w:rsidTr="005E0038">
        <w:trPr>
          <w:trHeight w:val="397"/>
          <w:jc w:val="right"/>
        </w:trPr>
        <w:tc>
          <w:tcPr>
            <w:tcW w:w="6382" w:type="dxa"/>
            <w:tcBorders>
              <w:right w:val="single" w:sz="4" w:space="0" w:color="7F7F7F"/>
            </w:tcBorders>
            <w:vAlign w:val="center"/>
          </w:tcPr>
          <w:p w14:paraId="1B99C0C3" w14:textId="77777777" w:rsidR="00BC59AA" w:rsidRPr="00B07D89" w:rsidRDefault="00BC59AA" w:rsidP="005E0038">
            <w:pPr>
              <w:pStyle w:val="TableParagraph"/>
              <w:spacing w:line="206" w:lineRule="exact"/>
              <w:ind w:left="107"/>
              <w:rPr>
                <w:sz w:val="18"/>
                <w:szCs w:val="18"/>
              </w:rPr>
            </w:pPr>
            <w:r w:rsidRPr="00B07D89">
              <w:rPr>
                <w:b/>
                <w:sz w:val="18"/>
                <w:szCs w:val="18"/>
              </w:rPr>
              <w:t>Contexto institucional y decisiones individuales</w:t>
            </w:r>
          </w:p>
        </w:tc>
        <w:tc>
          <w:tcPr>
            <w:tcW w:w="1211" w:type="dxa"/>
            <w:gridSpan w:val="2"/>
            <w:tcBorders>
              <w:left w:val="single" w:sz="4" w:space="0" w:color="7F7F7F"/>
            </w:tcBorders>
            <w:vAlign w:val="center"/>
          </w:tcPr>
          <w:p w14:paraId="7484AC9D" w14:textId="77777777" w:rsidR="00BC59AA" w:rsidRPr="00B55593" w:rsidRDefault="00BC59AA" w:rsidP="005E0038">
            <w:pPr>
              <w:pStyle w:val="TableParagraph"/>
              <w:spacing w:line="206" w:lineRule="exact"/>
              <w:ind w:left="53"/>
              <w:jc w:val="center"/>
              <w:rPr>
                <w:sz w:val="18"/>
              </w:rPr>
            </w:pPr>
            <w:r>
              <w:rPr>
                <w:b/>
                <w:sz w:val="18"/>
              </w:rPr>
              <w:t>42</w:t>
            </w:r>
          </w:p>
        </w:tc>
        <w:tc>
          <w:tcPr>
            <w:tcW w:w="1090" w:type="dxa"/>
            <w:vAlign w:val="center"/>
          </w:tcPr>
          <w:p w14:paraId="20DEF095" w14:textId="77777777" w:rsidR="00BC59AA" w:rsidRPr="00B55593" w:rsidRDefault="00BC59AA" w:rsidP="009F2C9A">
            <w:pPr>
              <w:pStyle w:val="TableParagraph"/>
              <w:spacing w:line="206" w:lineRule="exact"/>
              <w:ind w:left="65"/>
              <w:jc w:val="center"/>
              <w:rPr>
                <w:sz w:val="18"/>
              </w:rPr>
            </w:pPr>
            <w:r>
              <w:rPr>
                <w:b/>
                <w:sz w:val="18"/>
              </w:rPr>
              <w:t>2</w:t>
            </w:r>
            <w:r w:rsidR="009F2C9A">
              <w:rPr>
                <w:b/>
                <w:sz w:val="18"/>
              </w:rPr>
              <w:t>4</w:t>
            </w:r>
            <w:r>
              <w:rPr>
                <w:b/>
                <w:sz w:val="18"/>
              </w:rPr>
              <w:t>%</w:t>
            </w:r>
          </w:p>
        </w:tc>
      </w:tr>
      <w:tr w:rsidR="00BC59AA" w:rsidRPr="00B55593" w14:paraId="64735B82" w14:textId="77777777" w:rsidTr="005E0038">
        <w:trPr>
          <w:trHeight w:val="397"/>
          <w:jc w:val="right"/>
        </w:trPr>
        <w:tc>
          <w:tcPr>
            <w:tcW w:w="6382" w:type="dxa"/>
            <w:tcBorders>
              <w:right w:val="single" w:sz="4" w:space="0" w:color="7F7F7F"/>
            </w:tcBorders>
            <w:shd w:val="clear" w:color="auto" w:fill="F2F2F2"/>
            <w:vAlign w:val="center"/>
          </w:tcPr>
          <w:p w14:paraId="235DE1BD" w14:textId="77777777" w:rsidR="00BC59AA" w:rsidRPr="00B07D89" w:rsidRDefault="00BC59AA" w:rsidP="005E0038">
            <w:pPr>
              <w:pStyle w:val="TableParagraph"/>
              <w:spacing w:line="206" w:lineRule="exact"/>
              <w:ind w:left="107"/>
              <w:rPr>
                <w:b/>
                <w:sz w:val="18"/>
                <w:szCs w:val="18"/>
              </w:rPr>
            </w:pPr>
            <w:r w:rsidRPr="00B07D89">
              <w:rPr>
                <w:color w:val="000000"/>
                <w:sz w:val="18"/>
                <w:szCs w:val="18"/>
              </w:rPr>
              <w:t>5.4.  Controles administrativos inadecuados.</w:t>
            </w:r>
          </w:p>
        </w:tc>
        <w:tc>
          <w:tcPr>
            <w:tcW w:w="1211" w:type="dxa"/>
            <w:gridSpan w:val="2"/>
            <w:tcBorders>
              <w:left w:val="single" w:sz="4" w:space="0" w:color="7F7F7F"/>
            </w:tcBorders>
            <w:shd w:val="clear" w:color="auto" w:fill="F2F2F2"/>
            <w:vAlign w:val="bottom"/>
          </w:tcPr>
          <w:p w14:paraId="63A9C515" w14:textId="77777777" w:rsidR="00BC59AA" w:rsidRPr="00802C62" w:rsidRDefault="00BC59AA" w:rsidP="005E0038">
            <w:pPr>
              <w:pStyle w:val="TableParagraph"/>
              <w:spacing w:line="206" w:lineRule="exact"/>
              <w:ind w:left="458" w:right="402"/>
              <w:jc w:val="center"/>
              <w:rPr>
                <w:bCs/>
                <w:sz w:val="18"/>
                <w:szCs w:val="18"/>
              </w:rPr>
            </w:pPr>
            <w:r>
              <w:rPr>
                <w:color w:val="000000"/>
                <w:sz w:val="18"/>
                <w:szCs w:val="18"/>
              </w:rPr>
              <w:t>37*</w:t>
            </w:r>
          </w:p>
        </w:tc>
        <w:tc>
          <w:tcPr>
            <w:tcW w:w="1090" w:type="dxa"/>
            <w:shd w:val="clear" w:color="auto" w:fill="F2F2F2"/>
            <w:vAlign w:val="bottom"/>
          </w:tcPr>
          <w:p w14:paraId="02FAA407" w14:textId="77777777" w:rsidR="00BC59AA" w:rsidRPr="00802C62" w:rsidRDefault="00BC59AA" w:rsidP="005E0038">
            <w:pPr>
              <w:pStyle w:val="TableParagraph"/>
              <w:spacing w:line="206" w:lineRule="exact"/>
              <w:ind w:left="65"/>
              <w:jc w:val="center"/>
              <w:rPr>
                <w:bCs/>
                <w:sz w:val="18"/>
                <w:szCs w:val="18"/>
              </w:rPr>
            </w:pPr>
            <w:r>
              <w:rPr>
                <w:color w:val="000000"/>
                <w:sz w:val="18"/>
                <w:szCs w:val="18"/>
              </w:rPr>
              <w:t>21</w:t>
            </w:r>
            <w:r w:rsidRPr="00802C62">
              <w:rPr>
                <w:color w:val="000000"/>
                <w:sz w:val="18"/>
                <w:szCs w:val="18"/>
              </w:rPr>
              <w:t>%</w:t>
            </w:r>
          </w:p>
        </w:tc>
      </w:tr>
      <w:tr w:rsidR="00BC59AA" w:rsidRPr="00B55593" w14:paraId="59AF071D" w14:textId="77777777" w:rsidTr="005E0038">
        <w:trPr>
          <w:trHeight w:val="397"/>
          <w:jc w:val="right"/>
        </w:trPr>
        <w:tc>
          <w:tcPr>
            <w:tcW w:w="6382" w:type="dxa"/>
            <w:tcBorders>
              <w:right w:val="single" w:sz="4" w:space="0" w:color="7F7F7F"/>
            </w:tcBorders>
            <w:vAlign w:val="center"/>
          </w:tcPr>
          <w:p w14:paraId="388A888F" w14:textId="77777777" w:rsidR="00BC59AA" w:rsidRPr="00B07D89" w:rsidRDefault="00BC59AA" w:rsidP="005E0038">
            <w:pPr>
              <w:pStyle w:val="TableParagraph"/>
              <w:spacing w:line="206" w:lineRule="exact"/>
              <w:ind w:left="107"/>
              <w:rPr>
                <w:sz w:val="18"/>
                <w:szCs w:val="18"/>
              </w:rPr>
            </w:pPr>
            <w:r w:rsidRPr="00B07D89">
              <w:rPr>
                <w:color w:val="000000"/>
                <w:sz w:val="18"/>
                <w:szCs w:val="18"/>
              </w:rPr>
              <w:t>5.3.  Procesos inadecuados de Planeación de las actividades sustantivas del ente auditado.</w:t>
            </w:r>
          </w:p>
        </w:tc>
        <w:tc>
          <w:tcPr>
            <w:tcW w:w="1211" w:type="dxa"/>
            <w:gridSpan w:val="2"/>
            <w:tcBorders>
              <w:left w:val="single" w:sz="4" w:space="0" w:color="7F7F7F"/>
            </w:tcBorders>
            <w:vAlign w:val="bottom"/>
          </w:tcPr>
          <w:p w14:paraId="35A5A9DF" w14:textId="77777777" w:rsidR="00BC59AA" w:rsidRPr="00802C62" w:rsidRDefault="00BC59AA" w:rsidP="005E0038">
            <w:pPr>
              <w:pStyle w:val="TableParagraph"/>
              <w:spacing w:line="206" w:lineRule="exact"/>
              <w:ind w:left="458" w:right="402"/>
              <w:jc w:val="center"/>
              <w:rPr>
                <w:sz w:val="18"/>
                <w:szCs w:val="18"/>
              </w:rPr>
            </w:pPr>
            <w:r>
              <w:rPr>
                <w:color w:val="000000"/>
                <w:sz w:val="18"/>
                <w:szCs w:val="18"/>
              </w:rPr>
              <w:t>4*</w:t>
            </w:r>
          </w:p>
        </w:tc>
        <w:tc>
          <w:tcPr>
            <w:tcW w:w="1090" w:type="dxa"/>
            <w:vAlign w:val="bottom"/>
          </w:tcPr>
          <w:p w14:paraId="2F729446" w14:textId="77777777" w:rsidR="00BC59AA" w:rsidRPr="00802C62" w:rsidRDefault="00BC59AA" w:rsidP="005E0038">
            <w:pPr>
              <w:pStyle w:val="TableParagraph"/>
              <w:spacing w:line="206" w:lineRule="exact"/>
              <w:ind w:left="65"/>
              <w:jc w:val="center"/>
              <w:rPr>
                <w:sz w:val="18"/>
                <w:szCs w:val="18"/>
              </w:rPr>
            </w:pPr>
            <w:r>
              <w:rPr>
                <w:color w:val="000000"/>
                <w:sz w:val="18"/>
                <w:szCs w:val="18"/>
              </w:rPr>
              <w:t>2</w:t>
            </w:r>
            <w:r w:rsidRPr="00802C62">
              <w:rPr>
                <w:color w:val="000000"/>
                <w:sz w:val="18"/>
                <w:szCs w:val="18"/>
              </w:rPr>
              <w:t>%</w:t>
            </w:r>
          </w:p>
        </w:tc>
      </w:tr>
      <w:tr w:rsidR="00BC59AA" w:rsidRPr="00B55593" w14:paraId="586006C5" w14:textId="77777777" w:rsidTr="005E0038">
        <w:trPr>
          <w:trHeight w:val="397"/>
          <w:jc w:val="right"/>
        </w:trPr>
        <w:tc>
          <w:tcPr>
            <w:tcW w:w="6382" w:type="dxa"/>
            <w:tcBorders>
              <w:right w:val="single" w:sz="4" w:space="0" w:color="7F7F7F"/>
            </w:tcBorders>
            <w:shd w:val="clear" w:color="auto" w:fill="F2F2F2"/>
            <w:vAlign w:val="center"/>
          </w:tcPr>
          <w:p w14:paraId="2AB0BA87" w14:textId="77777777" w:rsidR="00BC59AA" w:rsidRPr="00B07D89" w:rsidRDefault="00BC59AA" w:rsidP="005E0038">
            <w:pPr>
              <w:pStyle w:val="TableParagraph"/>
              <w:ind w:left="107"/>
              <w:rPr>
                <w:sz w:val="18"/>
                <w:szCs w:val="18"/>
              </w:rPr>
            </w:pPr>
            <w:r w:rsidRPr="00B07D89">
              <w:rPr>
                <w:color w:val="000000"/>
                <w:sz w:val="18"/>
                <w:szCs w:val="18"/>
              </w:rPr>
              <w:t>5.1.  Falta o desactualización de la normativa aplicable.</w:t>
            </w:r>
          </w:p>
        </w:tc>
        <w:tc>
          <w:tcPr>
            <w:tcW w:w="1211" w:type="dxa"/>
            <w:gridSpan w:val="2"/>
            <w:tcBorders>
              <w:left w:val="single" w:sz="4" w:space="0" w:color="7F7F7F"/>
            </w:tcBorders>
            <w:shd w:val="clear" w:color="auto" w:fill="F2F2F2"/>
            <w:vAlign w:val="bottom"/>
          </w:tcPr>
          <w:p w14:paraId="58F0A276" w14:textId="77777777" w:rsidR="00BC59AA" w:rsidRPr="00802C62" w:rsidRDefault="00BC59AA" w:rsidP="005E0038">
            <w:pPr>
              <w:pStyle w:val="TableParagraph"/>
              <w:ind w:left="458" w:right="402"/>
              <w:jc w:val="center"/>
              <w:rPr>
                <w:sz w:val="18"/>
                <w:szCs w:val="18"/>
              </w:rPr>
            </w:pPr>
            <w:r>
              <w:rPr>
                <w:color w:val="000000"/>
                <w:sz w:val="18"/>
                <w:szCs w:val="18"/>
              </w:rPr>
              <w:t>1*</w:t>
            </w:r>
          </w:p>
        </w:tc>
        <w:tc>
          <w:tcPr>
            <w:tcW w:w="1090" w:type="dxa"/>
            <w:shd w:val="clear" w:color="auto" w:fill="F2F2F2"/>
            <w:vAlign w:val="bottom"/>
          </w:tcPr>
          <w:p w14:paraId="22956568" w14:textId="77777777" w:rsidR="00BC59AA" w:rsidRPr="00802C62" w:rsidRDefault="00BC59AA" w:rsidP="005E0038">
            <w:pPr>
              <w:pStyle w:val="TableParagraph"/>
              <w:ind w:left="65"/>
              <w:jc w:val="center"/>
              <w:rPr>
                <w:color w:val="000000"/>
                <w:sz w:val="18"/>
                <w:szCs w:val="18"/>
              </w:rPr>
            </w:pPr>
            <w:r>
              <w:rPr>
                <w:color w:val="000000"/>
                <w:sz w:val="18"/>
                <w:szCs w:val="18"/>
              </w:rPr>
              <w:t>1</w:t>
            </w:r>
            <w:r w:rsidRPr="00802C62">
              <w:rPr>
                <w:color w:val="000000"/>
                <w:sz w:val="18"/>
                <w:szCs w:val="18"/>
              </w:rPr>
              <w:t>%</w:t>
            </w:r>
          </w:p>
        </w:tc>
      </w:tr>
      <w:tr w:rsidR="00BC59AA" w:rsidRPr="00B55593" w14:paraId="508CAB34" w14:textId="77777777" w:rsidTr="005E0038">
        <w:trPr>
          <w:trHeight w:val="312"/>
          <w:jc w:val="right"/>
        </w:trPr>
        <w:tc>
          <w:tcPr>
            <w:tcW w:w="6382" w:type="dxa"/>
            <w:tcBorders>
              <w:right w:val="single" w:sz="4" w:space="0" w:color="7F7F7F"/>
            </w:tcBorders>
            <w:shd w:val="clear" w:color="auto" w:fill="F2F2F2"/>
            <w:vAlign w:val="center"/>
          </w:tcPr>
          <w:p w14:paraId="76F0920C" w14:textId="77777777" w:rsidR="00BC59AA" w:rsidRPr="00B55593" w:rsidRDefault="00BC59AA" w:rsidP="005E0038">
            <w:pPr>
              <w:pStyle w:val="TableParagraph"/>
              <w:spacing w:line="206" w:lineRule="exact"/>
              <w:ind w:right="99"/>
              <w:jc w:val="right"/>
              <w:rPr>
                <w:b/>
                <w:sz w:val="18"/>
              </w:rPr>
            </w:pPr>
            <w:r w:rsidRPr="00B55593">
              <w:rPr>
                <w:b/>
                <w:sz w:val="18"/>
              </w:rPr>
              <w:t>Total</w:t>
            </w:r>
          </w:p>
        </w:tc>
        <w:tc>
          <w:tcPr>
            <w:tcW w:w="1211" w:type="dxa"/>
            <w:gridSpan w:val="2"/>
            <w:tcBorders>
              <w:left w:val="single" w:sz="4" w:space="0" w:color="7F7F7F"/>
            </w:tcBorders>
            <w:shd w:val="clear" w:color="auto" w:fill="F2F2F2"/>
            <w:vAlign w:val="center"/>
          </w:tcPr>
          <w:p w14:paraId="061FD870" w14:textId="77777777" w:rsidR="00BC59AA" w:rsidRPr="00B55593" w:rsidRDefault="007505CA" w:rsidP="007505CA">
            <w:pPr>
              <w:pStyle w:val="TableParagraph"/>
              <w:spacing w:line="206" w:lineRule="exact"/>
              <w:ind w:left="458" w:right="406"/>
              <w:rPr>
                <w:b/>
                <w:sz w:val="18"/>
              </w:rPr>
            </w:pPr>
            <w:r>
              <w:rPr>
                <w:b/>
                <w:sz w:val="18"/>
              </w:rPr>
              <w:t>174</w:t>
            </w:r>
          </w:p>
        </w:tc>
        <w:tc>
          <w:tcPr>
            <w:tcW w:w="1090" w:type="dxa"/>
            <w:shd w:val="clear" w:color="auto" w:fill="F2F2F2"/>
            <w:vAlign w:val="center"/>
          </w:tcPr>
          <w:p w14:paraId="0EBF00C1" w14:textId="77777777" w:rsidR="00BC59AA" w:rsidRPr="00B55593" w:rsidRDefault="00BC59AA" w:rsidP="005E0038">
            <w:pPr>
              <w:pStyle w:val="TableParagraph"/>
              <w:spacing w:line="206" w:lineRule="exact"/>
              <w:ind w:left="65"/>
              <w:jc w:val="center"/>
              <w:rPr>
                <w:b/>
                <w:sz w:val="18"/>
              </w:rPr>
            </w:pPr>
            <w:r w:rsidRPr="00B55593">
              <w:rPr>
                <w:b/>
                <w:sz w:val="18"/>
              </w:rPr>
              <w:t>100</w:t>
            </w:r>
          </w:p>
        </w:tc>
      </w:tr>
      <w:tr w:rsidR="00BC59AA" w:rsidRPr="00F7194B" w14:paraId="2F5B727D" w14:textId="77777777" w:rsidTr="005E0038">
        <w:trPr>
          <w:trHeight w:val="283"/>
          <w:jc w:val="right"/>
        </w:trPr>
        <w:tc>
          <w:tcPr>
            <w:tcW w:w="8683" w:type="dxa"/>
            <w:gridSpan w:val="4"/>
            <w:shd w:val="clear" w:color="auto" w:fill="auto"/>
            <w:vAlign w:val="bottom"/>
          </w:tcPr>
          <w:p w14:paraId="3F90C17B" w14:textId="77777777" w:rsidR="00BC59AA" w:rsidRPr="006268C4" w:rsidRDefault="0071701E" w:rsidP="005E0038">
            <w:pPr>
              <w:pStyle w:val="Textoindependiente"/>
              <w:spacing w:line="276" w:lineRule="auto"/>
              <w:ind w:left="-76"/>
              <w:rPr>
                <w:sz w:val="18"/>
                <w:lang w:val="es-MX"/>
              </w:rPr>
            </w:pPr>
            <w:r w:rsidRPr="006268C4">
              <w:rPr>
                <w:b/>
                <w:noProof/>
                <w:sz w:val="18"/>
                <w:szCs w:val="16"/>
                <w:lang w:eastAsia="es-MX"/>
              </w:rPr>
              <w:t xml:space="preserve">  Tabla N° 15</w:t>
            </w:r>
            <w:r w:rsidR="00BC59AA" w:rsidRPr="006268C4">
              <w:rPr>
                <w:b/>
                <w:noProof/>
                <w:sz w:val="18"/>
                <w:szCs w:val="16"/>
                <w:lang w:eastAsia="es-MX"/>
              </w:rPr>
              <w:t>:</w:t>
            </w:r>
            <w:r w:rsidR="00BC59AA" w:rsidRPr="006268C4">
              <w:rPr>
                <w:noProof/>
                <w:sz w:val="18"/>
                <w:szCs w:val="16"/>
                <w:lang w:eastAsia="es-MX"/>
              </w:rPr>
              <w:t xml:space="preserve"> Elaboración propia, datos provenientes de los cuestionarios aplicados.</w:t>
            </w:r>
          </w:p>
        </w:tc>
      </w:tr>
    </w:tbl>
    <w:p w14:paraId="6243E0FA" w14:textId="77777777" w:rsidR="00BC59AA" w:rsidRPr="009372EE" w:rsidRDefault="00BC59AA" w:rsidP="00BC59AA">
      <w:pPr>
        <w:spacing w:line="276" w:lineRule="auto"/>
        <w:ind w:left="624"/>
        <w:jc w:val="both"/>
        <w:rPr>
          <w:rFonts w:ascii="Arial" w:hAnsi="Arial" w:cs="Arial"/>
          <w:sz w:val="4"/>
          <w:szCs w:val="24"/>
        </w:rPr>
      </w:pPr>
    </w:p>
    <w:p w14:paraId="611AC02B" w14:textId="77777777" w:rsidR="00BC59AA" w:rsidRDefault="00BC59AA" w:rsidP="00BC59AA">
      <w:pPr>
        <w:spacing w:line="276" w:lineRule="auto"/>
        <w:ind w:left="284"/>
        <w:jc w:val="both"/>
        <w:rPr>
          <w:rFonts w:ascii="Arial" w:hAnsi="Arial" w:cs="Arial"/>
          <w:sz w:val="24"/>
          <w:szCs w:val="24"/>
        </w:rPr>
      </w:pPr>
      <w:r>
        <w:rPr>
          <w:rFonts w:ascii="Arial" w:hAnsi="Arial" w:cs="Arial"/>
          <w:sz w:val="24"/>
          <w:szCs w:val="24"/>
        </w:rPr>
        <w:t>S</w:t>
      </w:r>
      <w:r w:rsidRPr="00F7194B">
        <w:rPr>
          <w:rFonts w:ascii="Arial" w:hAnsi="Arial" w:cs="Arial"/>
          <w:sz w:val="24"/>
          <w:szCs w:val="24"/>
        </w:rPr>
        <w:t>in embargo, de las problemáticas ide</w:t>
      </w:r>
      <w:r w:rsidR="00CF732A">
        <w:rPr>
          <w:rFonts w:ascii="Arial" w:hAnsi="Arial" w:cs="Arial"/>
          <w:sz w:val="24"/>
          <w:szCs w:val="24"/>
        </w:rPr>
        <w:t>ntificas que consideran que la Causa-R</w:t>
      </w:r>
      <w:r w:rsidRPr="00F7194B">
        <w:rPr>
          <w:rFonts w:ascii="Arial" w:hAnsi="Arial" w:cs="Arial"/>
          <w:sz w:val="24"/>
          <w:szCs w:val="24"/>
        </w:rPr>
        <w:t xml:space="preserve">aíz se encuentra en función directa con las Decisiones Individuales de los Servidores Públicos, el equipo auditor señala que dichas deficiencias son derivadas a la aplicación de la discrecionalidad de la normatividad aplicable con un registro de </w:t>
      </w:r>
      <w:r>
        <w:rPr>
          <w:rFonts w:ascii="Arial" w:hAnsi="Arial" w:cs="Arial"/>
          <w:sz w:val="24"/>
          <w:szCs w:val="24"/>
        </w:rPr>
        <w:t>17</w:t>
      </w:r>
      <w:r w:rsidRPr="00F7194B">
        <w:rPr>
          <w:rFonts w:ascii="Arial" w:hAnsi="Arial" w:cs="Arial"/>
          <w:sz w:val="24"/>
          <w:szCs w:val="24"/>
        </w:rPr>
        <w:t xml:space="preserve"> respuestas.</w:t>
      </w:r>
    </w:p>
    <w:p w14:paraId="5A4B1A4B" w14:textId="77777777" w:rsidR="00BC59AA" w:rsidRPr="00082781" w:rsidRDefault="00BC59AA" w:rsidP="00BC59AA">
      <w:pPr>
        <w:spacing w:after="0" w:line="276" w:lineRule="auto"/>
        <w:jc w:val="both"/>
        <w:rPr>
          <w:rFonts w:ascii="Arial" w:hAnsi="Arial" w:cs="Arial"/>
          <w:sz w:val="10"/>
          <w:szCs w:val="10"/>
        </w:rPr>
      </w:pPr>
    </w:p>
    <w:tbl>
      <w:tblPr>
        <w:tblStyle w:val="TableNormal"/>
        <w:tblW w:w="5000" w:type="pct"/>
        <w:tblInd w:w="0" w:type="dxa"/>
        <w:tblLook w:val="01E0" w:firstRow="1" w:lastRow="1" w:firstColumn="1" w:lastColumn="1" w:noHBand="0" w:noVBand="0"/>
      </w:tblPr>
      <w:tblGrid>
        <w:gridCol w:w="6400"/>
        <w:gridCol w:w="1524"/>
        <w:gridCol w:w="914"/>
      </w:tblGrid>
      <w:tr w:rsidR="00BC59AA" w:rsidRPr="005F2A6C" w14:paraId="47B690E0" w14:textId="77777777" w:rsidTr="005E0038">
        <w:trPr>
          <w:trHeight w:val="340"/>
        </w:trPr>
        <w:tc>
          <w:tcPr>
            <w:tcW w:w="5000" w:type="pct"/>
            <w:gridSpan w:val="3"/>
            <w:tcBorders>
              <w:bottom w:val="single" w:sz="4" w:space="0" w:color="7F7F7F"/>
            </w:tcBorders>
            <w:shd w:val="clear" w:color="auto" w:fill="A5A5A5" w:themeFill="accent3"/>
            <w:vAlign w:val="center"/>
          </w:tcPr>
          <w:p w14:paraId="0E3CA5F0" w14:textId="77777777" w:rsidR="00BC59AA" w:rsidRPr="005F2A6C" w:rsidRDefault="00BC59AA" w:rsidP="005E0038">
            <w:pPr>
              <w:pStyle w:val="TableParagraph"/>
              <w:tabs>
                <w:tab w:val="left" w:pos="1697"/>
              </w:tabs>
              <w:spacing w:before="1"/>
              <w:ind w:left="108"/>
              <w:jc w:val="center"/>
              <w:rPr>
                <w:b/>
                <w:color w:val="FFFFFF" w:themeColor="background1"/>
                <w:sz w:val="20"/>
              </w:rPr>
            </w:pPr>
            <w:r>
              <w:rPr>
                <w:b/>
                <w:color w:val="FFFFFF" w:themeColor="background1"/>
                <w:sz w:val="20"/>
              </w:rPr>
              <w:t>Conformación de las Decisiones Individuales</w:t>
            </w:r>
          </w:p>
        </w:tc>
      </w:tr>
      <w:tr w:rsidR="00BC59AA" w:rsidRPr="005F2A6C" w14:paraId="24D1A55A" w14:textId="77777777" w:rsidTr="005E0038">
        <w:trPr>
          <w:trHeight w:val="340"/>
        </w:trPr>
        <w:tc>
          <w:tcPr>
            <w:tcW w:w="3621" w:type="pct"/>
            <w:tcBorders>
              <w:bottom w:val="single" w:sz="4" w:space="0" w:color="7F7F7F"/>
            </w:tcBorders>
            <w:shd w:val="clear" w:color="auto" w:fill="A5A5A5" w:themeFill="accent3"/>
            <w:vAlign w:val="center"/>
          </w:tcPr>
          <w:p w14:paraId="41E0AD0E" w14:textId="77777777" w:rsidR="00BC59AA" w:rsidRPr="005F2A6C" w:rsidRDefault="00BC59AA" w:rsidP="005E0038">
            <w:pPr>
              <w:pStyle w:val="TableParagraph"/>
              <w:spacing w:before="47"/>
              <w:ind w:left="376" w:right="376"/>
              <w:jc w:val="center"/>
              <w:rPr>
                <w:b/>
                <w:color w:val="FFFFFF" w:themeColor="background1"/>
                <w:sz w:val="20"/>
              </w:rPr>
            </w:pPr>
            <w:r w:rsidRPr="005F2A6C">
              <w:rPr>
                <w:b/>
                <w:color w:val="FFFFFF" w:themeColor="background1"/>
                <w:sz w:val="20"/>
              </w:rPr>
              <w:t>Causa-Raíz Vinculada con las Decisiones Individuales</w:t>
            </w:r>
          </w:p>
        </w:tc>
        <w:tc>
          <w:tcPr>
            <w:tcW w:w="862" w:type="pct"/>
            <w:tcBorders>
              <w:bottom w:val="single" w:sz="4" w:space="0" w:color="7F7F7F"/>
            </w:tcBorders>
            <w:shd w:val="clear" w:color="auto" w:fill="A5A5A5" w:themeFill="accent3"/>
            <w:vAlign w:val="center"/>
          </w:tcPr>
          <w:p w14:paraId="635BB718" w14:textId="77777777" w:rsidR="00BC59AA" w:rsidRPr="005F2A6C" w:rsidRDefault="00BC59AA" w:rsidP="005E0038">
            <w:pPr>
              <w:pStyle w:val="TableParagraph"/>
              <w:tabs>
                <w:tab w:val="left" w:pos="1697"/>
              </w:tabs>
              <w:spacing w:before="1"/>
              <w:ind w:left="108"/>
              <w:jc w:val="center"/>
              <w:rPr>
                <w:b/>
                <w:color w:val="FFFFFF" w:themeColor="background1"/>
                <w:sz w:val="20"/>
              </w:rPr>
            </w:pPr>
            <w:r w:rsidRPr="005F2A6C">
              <w:rPr>
                <w:b/>
                <w:color w:val="FFFFFF" w:themeColor="background1"/>
                <w:sz w:val="20"/>
              </w:rPr>
              <w:t>Frecuencia</w:t>
            </w:r>
          </w:p>
        </w:tc>
        <w:tc>
          <w:tcPr>
            <w:tcW w:w="517" w:type="pct"/>
            <w:tcBorders>
              <w:bottom w:val="single" w:sz="4" w:space="0" w:color="7F7F7F"/>
            </w:tcBorders>
            <w:shd w:val="clear" w:color="auto" w:fill="A5A5A5" w:themeFill="accent3"/>
            <w:vAlign w:val="center"/>
          </w:tcPr>
          <w:p w14:paraId="508BF8B9" w14:textId="77777777" w:rsidR="00BC59AA" w:rsidRPr="005F2A6C" w:rsidRDefault="00BC59AA" w:rsidP="005E0038">
            <w:pPr>
              <w:pStyle w:val="TableParagraph"/>
              <w:tabs>
                <w:tab w:val="left" w:pos="1697"/>
              </w:tabs>
              <w:spacing w:before="1"/>
              <w:ind w:left="108"/>
              <w:jc w:val="center"/>
              <w:rPr>
                <w:b/>
                <w:color w:val="FFFFFF" w:themeColor="background1"/>
                <w:sz w:val="20"/>
              </w:rPr>
            </w:pPr>
            <w:r w:rsidRPr="005F2A6C">
              <w:rPr>
                <w:b/>
                <w:color w:val="FFFFFF" w:themeColor="background1"/>
                <w:sz w:val="20"/>
              </w:rPr>
              <w:t>%</w:t>
            </w:r>
          </w:p>
        </w:tc>
      </w:tr>
      <w:tr w:rsidR="00BC59AA" w:rsidRPr="005F2A6C" w14:paraId="1B12D774" w14:textId="77777777" w:rsidTr="005E0038">
        <w:trPr>
          <w:trHeight w:val="397"/>
        </w:trPr>
        <w:tc>
          <w:tcPr>
            <w:tcW w:w="3621" w:type="pct"/>
            <w:tcBorders>
              <w:top w:val="single" w:sz="4" w:space="0" w:color="7F7F7F"/>
              <w:right w:val="single" w:sz="4" w:space="0" w:color="7F7F7F"/>
            </w:tcBorders>
            <w:shd w:val="clear" w:color="auto" w:fill="F2F2F2"/>
            <w:vAlign w:val="center"/>
          </w:tcPr>
          <w:p w14:paraId="19C146DD" w14:textId="77777777" w:rsidR="00BC59AA" w:rsidRPr="005F2A6C" w:rsidRDefault="00BC59AA" w:rsidP="005E0038">
            <w:pPr>
              <w:pStyle w:val="TableParagraph"/>
              <w:spacing w:line="205" w:lineRule="exact"/>
              <w:ind w:left="107"/>
              <w:rPr>
                <w:bCs/>
                <w:sz w:val="18"/>
              </w:rPr>
            </w:pPr>
            <w:r w:rsidRPr="005F2A6C">
              <w:rPr>
                <w:bCs/>
                <w:sz w:val="18"/>
              </w:rPr>
              <w:t>Aplicación de la discrecionalidad en la interpretación de la normativa aplicable.</w:t>
            </w:r>
          </w:p>
        </w:tc>
        <w:tc>
          <w:tcPr>
            <w:tcW w:w="862" w:type="pct"/>
            <w:tcBorders>
              <w:top w:val="single" w:sz="4" w:space="0" w:color="7F7F7F"/>
              <w:left w:val="single" w:sz="4" w:space="0" w:color="7F7F7F"/>
            </w:tcBorders>
            <w:shd w:val="clear" w:color="auto" w:fill="F2F2F2"/>
            <w:vAlign w:val="center"/>
          </w:tcPr>
          <w:p w14:paraId="26C8459B" w14:textId="77777777" w:rsidR="00BC59AA" w:rsidRPr="005F2A6C" w:rsidRDefault="00BC59AA" w:rsidP="005E0038">
            <w:pPr>
              <w:pStyle w:val="TableParagraph"/>
              <w:spacing w:line="205" w:lineRule="exact"/>
              <w:ind w:left="458" w:right="402"/>
              <w:jc w:val="center"/>
              <w:rPr>
                <w:bCs/>
                <w:sz w:val="18"/>
              </w:rPr>
            </w:pPr>
            <w:r>
              <w:rPr>
                <w:bCs/>
                <w:sz w:val="18"/>
              </w:rPr>
              <w:t>10</w:t>
            </w:r>
          </w:p>
        </w:tc>
        <w:tc>
          <w:tcPr>
            <w:tcW w:w="517" w:type="pct"/>
            <w:tcBorders>
              <w:top w:val="single" w:sz="4" w:space="0" w:color="7F7F7F"/>
            </w:tcBorders>
            <w:shd w:val="clear" w:color="auto" w:fill="F2F2F2"/>
            <w:vAlign w:val="center"/>
          </w:tcPr>
          <w:p w14:paraId="6C23236C" w14:textId="77777777" w:rsidR="00BC59AA" w:rsidRPr="005F2A6C" w:rsidRDefault="00FB7CAD" w:rsidP="005E0038">
            <w:pPr>
              <w:pStyle w:val="TableParagraph"/>
              <w:spacing w:line="205" w:lineRule="exact"/>
              <w:ind w:left="187"/>
              <w:jc w:val="center"/>
              <w:rPr>
                <w:bCs/>
                <w:sz w:val="18"/>
              </w:rPr>
            </w:pPr>
            <w:r>
              <w:rPr>
                <w:bCs/>
                <w:sz w:val="18"/>
              </w:rPr>
              <w:t>58.82</w:t>
            </w:r>
          </w:p>
        </w:tc>
      </w:tr>
      <w:tr w:rsidR="00BC59AA" w:rsidRPr="005F2A6C" w14:paraId="311D8E8B" w14:textId="77777777" w:rsidTr="00FB7CAD">
        <w:trPr>
          <w:trHeight w:val="353"/>
        </w:trPr>
        <w:tc>
          <w:tcPr>
            <w:tcW w:w="3621" w:type="pct"/>
            <w:tcBorders>
              <w:right w:val="single" w:sz="4" w:space="0" w:color="7F7F7F"/>
            </w:tcBorders>
            <w:vAlign w:val="center"/>
          </w:tcPr>
          <w:p w14:paraId="3CE0424D" w14:textId="77777777" w:rsidR="00BC59AA" w:rsidRPr="005F2A6C" w:rsidRDefault="00BC59AA" w:rsidP="005E0038">
            <w:pPr>
              <w:pStyle w:val="TableParagraph"/>
              <w:spacing w:line="206" w:lineRule="exact"/>
              <w:ind w:left="107"/>
              <w:rPr>
                <w:bCs/>
                <w:sz w:val="18"/>
              </w:rPr>
            </w:pPr>
            <w:r w:rsidRPr="005F2A6C">
              <w:rPr>
                <w:bCs/>
                <w:sz w:val="18"/>
              </w:rPr>
              <w:t>Elusión del cumplimiento de la normativa aplicable</w:t>
            </w:r>
            <w:r>
              <w:rPr>
                <w:bCs/>
                <w:sz w:val="18"/>
              </w:rPr>
              <w:t>.</w:t>
            </w:r>
          </w:p>
        </w:tc>
        <w:tc>
          <w:tcPr>
            <w:tcW w:w="862" w:type="pct"/>
            <w:tcBorders>
              <w:left w:val="single" w:sz="4" w:space="0" w:color="7F7F7F"/>
            </w:tcBorders>
            <w:vAlign w:val="center"/>
          </w:tcPr>
          <w:p w14:paraId="025C508E" w14:textId="77777777" w:rsidR="00BC59AA" w:rsidRPr="005F2A6C" w:rsidRDefault="00BC59AA" w:rsidP="005E0038">
            <w:pPr>
              <w:pStyle w:val="TableParagraph"/>
              <w:spacing w:line="206" w:lineRule="exact"/>
              <w:ind w:left="458" w:right="402"/>
              <w:jc w:val="center"/>
              <w:rPr>
                <w:bCs/>
                <w:sz w:val="18"/>
              </w:rPr>
            </w:pPr>
            <w:r>
              <w:rPr>
                <w:bCs/>
                <w:sz w:val="18"/>
              </w:rPr>
              <w:t>4</w:t>
            </w:r>
          </w:p>
        </w:tc>
        <w:tc>
          <w:tcPr>
            <w:tcW w:w="517" w:type="pct"/>
            <w:vAlign w:val="center"/>
          </w:tcPr>
          <w:p w14:paraId="2A8AFD20" w14:textId="77777777" w:rsidR="00BC59AA" w:rsidRPr="005F2A6C" w:rsidRDefault="00FB7CAD" w:rsidP="005E0038">
            <w:pPr>
              <w:pStyle w:val="TableParagraph"/>
              <w:spacing w:line="206" w:lineRule="exact"/>
              <w:ind w:left="187"/>
              <w:jc w:val="center"/>
              <w:rPr>
                <w:bCs/>
                <w:sz w:val="18"/>
              </w:rPr>
            </w:pPr>
            <w:r>
              <w:rPr>
                <w:bCs/>
                <w:sz w:val="18"/>
              </w:rPr>
              <w:t>23.53</w:t>
            </w:r>
          </w:p>
        </w:tc>
      </w:tr>
      <w:tr w:rsidR="00BC59AA" w:rsidRPr="005F2A6C" w14:paraId="4B4C8478" w14:textId="77777777" w:rsidTr="005E0038">
        <w:trPr>
          <w:trHeight w:val="397"/>
        </w:trPr>
        <w:tc>
          <w:tcPr>
            <w:tcW w:w="3621" w:type="pct"/>
            <w:tcBorders>
              <w:right w:val="single" w:sz="4" w:space="0" w:color="7F7F7F"/>
            </w:tcBorders>
            <w:shd w:val="clear" w:color="auto" w:fill="F2F2F2"/>
            <w:vAlign w:val="center"/>
          </w:tcPr>
          <w:p w14:paraId="55F233C6" w14:textId="77777777" w:rsidR="00BC59AA" w:rsidRPr="005F2A6C" w:rsidRDefault="00BC59AA" w:rsidP="005E0038">
            <w:pPr>
              <w:pStyle w:val="TableParagraph"/>
              <w:spacing w:before="101"/>
              <w:ind w:left="107"/>
              <w:rPr>
                <w:bCs/>
                <w:sz w:val="18"/>
              </w:rPr>
            </w:pPr>
            <w:r w:rsidRPr="005F2A6C">
              <w:rPr>
                <w:bCs/>
                <w:sz w:val="18"/>
              </w:rPr>
              <w:t>Desconocimiento de la normativa aplicable</w:t>
            </w:r>
            <w:r>
              <w:rPr>
                <w:bCs/>
                <w:sz w:val="18"/>
              </w:rPr>
              <w:t>.</w:t>
            </w:r>
          </w:p>
        </w:tc>
        <w:tc>
          <w:tcPr>
            <w:tcW w:w="862" w:type="pct"/>
            <w:tcBorders>
              <w:left w:val="single" w:sz="4" w:space="0" w:color="7F7F7F"/>
            </w:tcBorders>
            <w:shd w:val="clear" w:color="auto" w:fill="F2F2F2"/>
            <w:vAlign w:val="center"/>
          </w:tcPr>
          <w:p w14:paraId="47B9257F" w14:textId="77777777" w:rsidR="00BC59AA" w:rsidRPr="005F2A6C" w:rsidRDefault="00BC59AA" w:rsidP="005E0038">
            <w:pPr>
              <w:pStyle w:val="TableParagraph"/>
              <w:spacing w:before="151"/>
              <w:ind w:left="458" w:right="402"/>
              <w:jc w:val="center"/>
              <w:rPr>
                <w:bCs/>
                <w:sz w:val="18"/>
              </w:rPr>
            </w:pPr>
            <w:r>
              <w:rPr>
                <w:bCs/>
                <w:sz w:val="18"/>
              </w:rPr>
              <w:t>3</w:t>
            </w:r>
          </w:p>
        </w:tc>
        <w:tc>
          <w:tcPr>
            <w:tcW w:w="517" w:type="pct"/>
            <w:shd w:val="clear" w:color="auto" w:fill="F2F2F2"/>
            <w:vAlign w:val="center"/>
          </w:tcPr>
          <w:p w14:paraId="24E04890" w14:textId="77777777" w:rsidR="00BC59AA" w:rsidRPr="005F2A6C" w:rsidRDefault="00FB7CAD" w:rsidP="005E0038">
            <w:pPr>
              <w:pStyle w:val="TableParagraph"/>
              <w:spacing w:before="151"/>
              <w:ind w:left="187"/>
              <w:jc w:val="center"/>
              <w:rPr>
                <w:bCs/>
                <w:sz w:val="18"/>
              </w:rPr>
            </w:pPr>
            <w:r>
              <w:rPr>
                <w:bCs/>
                <w:sz w:val="18"/>
              </w:rPr>
              <w:t>17.65</w:t>
            </w:r>
          </w:p>
        </w:tc>
      </w:tr>
      <w:tr w:rsidR="00BC59AA" w:rsidRPr="005F2A6C" w14:paraId="4E5E0A74" w14:textId="77777777" w:rsidTr="005E0038">
        <w:trPr>
          <w:trHeight w:val="397"/>
        </w:trPr>
        <w:tc>
          <w:tcPr>
            <w:tcW w:w="3621" w:type="pct"/>
            <w:tcBorders>
              <w:right w:val="single" w:sz="4" w:space="0" w:color="7F7F7F"/>
            </w:tcBorders>
            <w:vAlign w:val="center"/>
          </w:tcPr>
          <w:p w14:paraId="5182C65C" w14:textId="77777777" w:rsidR="00BC59AA" w:rsidRPr="005F2A6C" w:rsidRDefault="00BC59AA" w:rsidP="005E0038">
            <w:pPr>
              <w:pStyle w:val="TableParagraph"/>
              <w:spacing w:line="206" w:lineRule="exact"/>
              <w:ind w:right="99"/>
              <w:jc w:val="right"/>
              <w:rPr>
                <w:b/>
                <w:sz w:val="18"/>
              </w:rPr>
            </w:pPr>
            <w:r w:rsidRPr="005F2A6C">
              <w:rPr>
                <w:b/>
                <w:sz w:val="18"/>
              </w:rPr>
              <w:t>Total</w:t>
            </w:r>
          </w:p>
        </w:tc>
        <w:tc>
          <w:tcPr>
            <w:tcW w:w="862" w:type="pct"/>
            <w:tcBorders>
              <w:left w:val="single" w:sz="4" w:space="0" w:color="7F7F7F"/>
            </w:tcBorders>
            <w:vAlign w:val="center"/>
          </w:tcPr>
          <w:p w14:paraId="21009E4D" w14:textId="77777777" w:rsidR="00BC59AA" w:rsidRPr="005F2A6C" w:rsidRDefault="00BC59AA" w:rsidP="005E0038">
            <w:pPr>
              <w:pStyle w:val="TableParagraph"/>
              <w:spacing w:line="206" w:lineRule="exact"/>
              <w:ind w:left="458" w:right="402"/>
              <w:jc w:val="center"/>
              <w:rPr>
                <w:sz w:val="18"/>
              </w:rPr>
            </w:pPr>
            <w:r>
              <w:rPr>
                <w:b/>
                <w:sz w:val="18"/>
              </w:rPr>
              <w:t>17</w:t>
            </w:r>
          </w:p>
        </w:tc>
        <w:tc>
          <w:tcPr>
            <w:tcW w:w="517" w:type="pct"/>
            <w:vAlign w:val="center"/>
          </w:tcPr>
          <w:p w14:paraId="2FC5B283" w14:textId="77777777" w:rsidR="00BC59AA" w:rsidRPr="005F2A6C" w:rsidRDefault="00BC59AA" w:rsidP="005E0038">
            <w:pPr>
              <w:pStyle w:val="TableParagraph"/>
              <w:spacing w:line="206" w:lineRule="exact"/>
              <w:ind w:left="187"/>
              <w:jc w:val="center"/>
              <w:rPr>
                <w:sz w:val="18"/>
              </w:rPr>
            </w:pPr>
            <w:r w:rsidRPr="005F2A6C">
              <w:rPr>
                <w:b/>
                <w:sz w:val="18"/>
              </w:rPr>
              <w:t>100</w:t>
            </w:r>
          </w:p>
        </w:tc>
      </w:tr>
      <w:tr w:rsidR="00BC59AA" w:rsidRPr="00F7194B" w14:paraId="5F6F3D9A" w14:textId="77777777" w:rsidTr="005E0038">
        <w:trPr>
          <w:trHeight w:val="307"/>
        </w:trPr>
        <w:tc>
          <w:tcPr>
            <w:tcW w:w="5000" w:type="pct"/>
            <w:gridSpan w:val="3"/>
          </w:tcPr>
          <w:p w14:paraId="08C3ED32" w14:textId="77777777" w:rsidR="00BC59AA" w:rsidRPr="006268C4" w:rsidRDefault="00BC59AA" w:rsidP="0071701E">
            <w:pPr>
              <w:pStyle w:val="Textoindependiente"/>
              <w:spacing w:line="276" w:lineRule="auto"/>
              <w:ind w:left="-76"/>
              <w:rPr>
                <w:noProof/>
                <w:sz w:val="18"/>
                <w:szCs w:val="16"/>
                <w:lang w:eastAsia="es-MX"/>
              </w:rPr>
            </w:pPr>
            <w:r w:rsidRPr="006268C4">
              <w:rPr>
                <w:noProof/>
                <w:sz w:val="18"/>
                <w:szCs w:val="16"/>
                <w:lang w:eastAsia="es-MX"/>
              </w:rPr>
              <w:t xml:space="preserve">  </w:t>
            </w:r>
            <w:r w:rsidRPr="006268C4">
              <w:rPr>
                <w:b/>
                <w:noProof/>
                <w:sz w:val="18"/>
                <w:szCs w:val="16"/>
                <w:lang w:eastAsia="es-MX"/>
              </w:rPr>
              <w:t>Tabla N° 1</w:t>
            </w:r>
            <w:r w:rsidR="0071701E" w:rsidRPr="006268C4">
              <w:rPr>
                <w:b/>
                <w:noProof/>
                <w:sz w:val="18"/>
                <w:szCs w:val="16"/>
                <w:lang w:eastAsia="es-MX"/>
              </w:rPr>
              <w:t>6</w:t>
            </w:r>
            <w:r w:rsidRPr="006268C4">
              <w:rPr>
                <w:b/>
                <w:noProof/>
                <w:sz w:val="18"/>
                <w:szCs w:val="16"/>
                <w:lang w:eastAsia="es-MX"/>
              </w:rPr>
              <w:t>:</w:t>
            </w:r>
            <w:r w:rsidRPr="006268C4">
              <w:rPr>
                <w:noProof/>
                <w:sz w:val="18"/>
                <w:szCs w:val="16"/>
                <w:lang w:eastAsia="es-MX"/>
              </w:rPr>
              <w:t xml:space="preserve"> Elaboración propia, datos provenientes de los cuestionarios aplicados.</w:t>
            </w:r>
          </w:p>
        </w:tc>
      </w:tr>
    </w:tbl>
    <w:p w14:paraId="499B1DC1" w14:textId="77777777" w:rsidR="00BC59AA" w:rsidRPr="00F7194B" w:rsidRDefault="00BC59AA" w:rsidP="00BC59AA">
      <w:pPr>
        <w:pStyle w:val="Textoindependiente"/>
        <w:numPr>
          <w:ilvl w:val="0"/>
          <w:numId w:val="16"/>
        </w:numPr>
        <w:spacing w:line="276" w:lineRule="auto"/>
        <w:ind w:left="284"/>
        <w:jc w:val="both"/>
      </w:pPr>
      <w:r w:rsidRPr="00F7194B">
        <w:lastRenderedPageBreak/>
        <w:t>Elementos de control administrativos inadecuados:</w:t>
      </w:r>
    </w:p>
    <w:p w14:paraId="5ED142AA" w14:textId="77777777" w:rsidR="00BC59AA" w:rsidRPr="00F7194B" w:rsidRDefault="00BC59AA" w:rsidP="00BC59AA">
      <w:pPr>
        <w:pStyle w:val="Prrafodelista"/>
        <w:spacing w:line="276" w:lineRule="auto"/>
        <w:ind w:right="142"/>
        <w:jc w:val="both"/>
        <w:rPr>
          <w:rFonts w:ascii="Arial" w:hAnsi="Arial" w:cs="Arial"/>
          <w:sz w:val="24"/>
          <w:szCs w:val="24"/>
        </w:rPr>
      </w:pPr>
    </w:p>
    <w:p w14:paraId="1CF74D86" w14:textId="77777777" w:rsidR="00BC59AA" w:rsidRPr="00F7194B" w:rsidRDefault="00BC59AA" w:rsidP="00BC59AA">
      <w:pPr>
        <w:spacing w:line="276" w:lineRule="auto"/>
        <w:ind w:left="284"/>
        <w:jc w:val="both"/>
        <w:rPr>
          <w:rFonts w:ascii="Arial" w:hAnsi="Arial" w:cs="Arial"/>
          <w:sz w:val="24"/>
          <w:szCs w:val="24"/>
        </w:rPr>
      </w:pPr>
      <w:r w:rsidRPr="00F7194B">
        <w:rPr>
          <w:rFonts w:ascii="Arial" w:hAnsi="Arial" w:cs="Arial"/>
          <w:sz w:val="24"/>
          <w:szCs w:val="24"/>
        </w:rPr>
        <w:t>Haciendo un análisis más detallado en un tercer nivel con relación a los controles administrativos inadecuados expuestos anteriormente, se consideran</w:t>
      </w:r>
      <w:r>
        <w:rPr>
          <w:rFonts w:ascii="Arial" w:hAnsi="Arial" w:cs="Arial"/>
          <w:sz w:val="24"/>
          <w:szCs w:val="24"/>
        </w:rPr>
        <w:t xml:space="preserve"> 4</w:t>
      </w:r>
      <w:r w:rsidRPr="00F7194B">
        <w:rPr>
          <w:rFonts w:ascii="Arial" w:hAnsi="Arial" w:cs="Arial"/>
          <w:sz w:val="24"/>
          <w:szCs w:val="24"/>
        </w:rPr>
        <w:t xml:space="preserve"> factores relevantes que identifican con mayor trascendencia las problemáticas detectadas durante las revisiones, los elementos de esta categoría se muestran en el siguiente cuadro, ordenados de mayor a menor importancia de acuerdo con la competencia técnica y profesional de los auditores.</w:t>
      </w:r>
    </w:p>
    <w:p w14:paraId="5665D862" w14:textId="77777777" w:rsidR="00BC59AA" w:rsidRPr="00F7194B" w:rsidRDefault="00BC59AA" w:rsidP="00BC59AA">
      <w:pPr>
        <w:pStyle w:val="Prrafodelista"/>
        <w:spacing w:line="360" w:lineRule="auto"/>
        <w:ind w:left="0" w:right="142"/>
        <w:jc w:val="both"/>
        <w:rPr>
          <w:rFonts w:ascii="Arial" w:hAnsi="Arial" w:cs="Arial"/>
          <w:sz w:val="12"/>
          <w:szCs w:val="24"/>
        </w:rPr>
      </w:pPr>
    </w:p>
    <w:tbl>
      <w:tblPr>
        <w:tblStyle w:val="TableNormal"/>
        <w:tblW w:w="5000" w:type="pct"/>
        <w:jc w:val="right"/>
        <w:tblInd w:w="0" w:type="dxa"/>
        <w:tblBorders>
          <w:top w:val="single" w:sz="4" w:space="0" w:color="auto"/>
          <w:insideH w:val="single" w:sz="4" w:space="0" w:color="auto"/>
          <w:insideV w:val="single" w:sz="4" w:space="0" w:color="auto"/>
        </w:tblBorders>
        <w:tblLook w:val="01E0" w:firstRow="1" w:lastRow="1" w:firstColumn="1" w:lastColumn="1" w:noHBand="0" w:noVBand="0"/>
      </w:tblPr>
      <w:tblGrid>
        <w:gridCol w:w="5595"/>
        <w:gridCol w:w="720"/>
        <w:gridCol w:w="837"/>
        <w:gridCol w:w="839"/>
        <w:gridCol w:w="837"/>
      </w:tblGrid>
      <w:tr w:rsidR="00BC59AA" w:rsidRPr="00CE3F04" w14:paraId="396FF763" w14:textId="77777777" w:rsidTr="005E0038">
        <w:trPr>
          <w:trHeight w:val="399"/>
          <w:jc w:val="right"/>
        </w:trPr>
        <w:tc>
          <w:tcPr>
            <w:tcW w:w="5000" w:type="pct"/>
            <w:gridSpan w:val="5"/>
            <w:tcBorders>
              <w:left w:val="single" w:sz="4" w:space="0" w:color="auto"/>
              <w:bottom w:val="single" w:sz="4" w:space="0" w:color="auto"/>
              <w:right w:val="single" w:sz="4" w:space="0" w:color="auto"/>
            </w:tcBorders>
            <w:shd w:val="clear" w:color="auto" w:fill="A5A5A5" w:themeFill="accent3"/>
            <w:vAlign w:val="center"/>
          </w:tcPr>
          <w:p w14:paraId="1C2B051D" w14:textId="77777777" w:rsidR="00BC59AA" w:rsidRPr="00CE3F04" w:rsidRDefault="00BC59AA" w:rsidP="005E0038">
            <w:pPr>
              <w:pStyle w:val="TableParagraph"/>
              <w:ind w:left="1929" w:right="1929"/>
              <w:jc w:val="center"/>
              <w:rPr>
                <w:b/>
                <w:color w:val="FFFFFF" w:themeColor="background1"/>
                <w:sz w:val="20"/>
                <w:szCs w:val="20"/>
              </w:rPr>
            </w:pPr>
            <w:r w:rsidRPr="00CE3F04">
              <w:rPr>
                <w:b/>
                <w:color w:val="FFFFFF" w:themeColor="background1"/>
                <w:sz w:val="20"/>
                <w:szCs w:val="20"/>
              </w:rPr>
              <w:t>Elementos de Control Administrativos Inadecuados</w:t>
            </w:r>
          </w:p>
        </w:tc>
      </w:tr>
      <w:tr w:rsidR="00BC59AA" w:rsidRPr="00CE3F04" w14:paraId="1E6943E9" w14:textId="77777777" w:rsidTr="005E0038">
        <w:trPr>
          <w:trHeight w:val="277"/>
          <w:jc w:val="right"/>
        </w:trPr>
        <w:tc>
          <w:tcPr>
            <w:tcW w:w="3169" w:type="pct"/>
            <w:tcBorders>
              <w:left w:val="single" w:sz="4" w:space="0" w:color="auto"/>
              <w:bottom w:val="single" w:sz="4" w:space="0" w:color="auto"/>
            </w:tcBorders>
            <w:shd w:val="clear" w:color="auto" w:fill="A5A5A5" w:themeFill="accent3"/>
            <w:vAlign w:val="center"/>
          </w:tcPr>
          <w:p w14:paraId="1772603E" w14:textId="77777777" w:rsidR="00BC59AA" w:rsidRPr="00CE3F04" w:rsidRDefault="00BC59AA" w:rsidP="005E0038">
            <w:pPr>
              <w:pStyle w:val="TableParagraph"/>
              <w:ind w:left="872"/>
              <w:jc w:val="center"/>
              <w:rPr>
                <w:b/>
                <w:color w:val="FFFFFF" w:themeColor="background1"/>
                <w:sz w:val="20"/>
                <w:szCs w:val="20"/>
              </w:rPr>
            </w:pPr>
            <w:r w:rsidRPr="00CE3F04">
              <w:rPr>
                <w:b/>
                <w:color w:val="FFFFFF" w:themeColor="background1"/>
                <w:sz w:val="20"/>
                <w:szCs w:val="20"/>
              </w:rPr>
              <w:t>Controles Administrativos Inadecuados</w:t>
            </w:r>
          </w:p>
        </w:tc>
        <w:tc>
          <w:tcPr>
            <w:tcW w:w="408" w:type="pct"/>
            <w:shd w:val="clear" w:color="auto" w:fill="A5A5A5" w:themeFill="accent3"/>
            <w:vAlign w:val="center"/>
          </w:tcPr>
          <w:p w14:paraId="19E2E4BF" w14:textId="77777777" w:rsidR="00BC59AA" w:rsidRPr="00CE3F04" w:rsidRDefault="00BC59AA" w:rsidP="005E0038">
            <w:pPr>
              <w:pStyle w:val="TableParagraph"/>
              <w:spacing w:before="36"/>
              <w:ind w:left="248" w:right="242"/>
              <w:jc w:val="center"/>
              <w:rPr>
                <w:b/>
                <w:color w:val="FFFFFF" w:themeColor="background1"/>
                <w:sz w:val="20"/>
                <w:szCs w:val="20"/>
              </w:rPr>
            </w:pPr>
            <w:r w:rsidRPr="00CE3F04">
              <w:rPr>
                <w:b/>
                <w:color w:val="FFFFFF" w:themeColor="background1"/>
                <w:sz w:val="20"/>
                <w:szCs w:val="20"/>
              </w:rPr>
              <w:t>1°</w:t>
            </w:r>
          </w:p>
        </w:tc>
        <w:tc>
          <w:tcPr>
            <w:tcW w:w="474" w:type="pct"/>
            <w:shd w:val="clear" w:color="auto" w:fill="A5A5A5" w:themeFill="accent3"/>
            <w:vAlign w:val="center"/>
          </w:tcPr>
          <w:p w14:paraId="306E2C09" w14:textId="77777777" w:rsidR="00BC59AA" w:rsidRPr="00CE3F04" w:rsidRDefault="00BC59AA" w:rsidP="005E0038">
            <w:pPr>
              <w:pStyle w:val="TableParagraph"/>
              <w:spacing w:before="36"/>
              <w:ind w:left="300" w:right="309"/>
              <w:jc w:val="center"/>
              <w:rPr>
                <w:b/>
                <w:color w:val="FFFFFF" w:themeColor="background1"/>
                <w:sz w:val="20"/>
                <w:szCs w:val="20"/>
              </w:rPr>
            </w:pPr>
            <w:r w:rsidRPr="00CE3F04">
              <w:rPr>
                <w:b/>
                <w:color w:val="FFFFFF" w:themeColor="background1"/>
                <w:sz w:val="20"/>
                <w:szCs w:val="20"/>
              </w:rPr>
              <w:t>2°</w:t>
            </w:r>
          </w:p>
        </w:tc>
        <w:tc>
          <w:tcPr>
            <w:tcW w:w="475" w:type="pct"/>
            <w:shd w:val="clear" w:color="auto" w:fill="A5A5A5" w:themeFill="accent3"/>
            <w:vAlign w:val="center"/>
          </w:tcPr>
          <w:p w14:paraId="0D9C1509" w14:textId="77777777" w:rsidR="00BC59AA" w:rsidRPr="00CE3F04" w:rsidRDefault="00BC59AA" w:rsidP="005E0038">
            <w:pPr>
              <w:pStyle w:val="TableParagraph"/>
              <w:spacing w:before="36"/>
              <w:ind w:left="310" w:right="302"/>
              <w:jc w:val="center"/>
              <w:rPr>
                <w:b/>
                <w:color w:val="FFFFFF" w:themeColor="background1"/>
                <w:sz w:val="20"/>
                <w:szCs w:val="20"/>
              </w:rPr>
            </w:pPr>
            <w:r w:rsidRPr="00CE3F04">
              <w:rPr>
                <w:b/>
                <w:color w:val="FFFFFF" w:themeColor="background1"/>
                <w:sz w:val="20"/>
                <w:szCs w:val="20"/>
              </w:rPr>
              <w:t>3°</w:t>
            </w:r>
          </w:p>
        </w:tc>
        <w:tc>
          <w:tcPr>
            <w:tcW w:w="474" w:type="pct"/>
            <w:tcBorders>
              <w:bottom w:val="single" w:sz="4" w:space="0" w:color="auto"/>
              <w:right w:val="single" w:sz="4" w:space="0" w:color="auto"/>
            </w:tcBorders>
            <w:shd w:val="clear" w:color="auto" w:fill="A5A5A5" w:themeFill="accent3"/>
            <w:vAlign w:val="center"/>
          </w:tcPr>
          <w:p w14:paraId="37DFC3DA" w14:textId="77777777" w:rsidR="00BC59AA" w:rsidRPr="00CE3F04" w:rsidRDefault="00BC59AA" w:rsidP="005E0038">
            <w:pPr>
              <w:pStyle w:val="TableParagraph"/>
              <w:spacing w:before="36"/>
              <w:ind w:left="305" w:right="306"/>
              <w:jc w:val="center"/>
              <w:rPr>
                <w:b/>
                <w:sz w:val="20"/>
                <w:szCs w:val="20"/>
              </w:rPr>
            </w:pPr>
            <w:r w:rsidRPr="00CE3F04">
              <w:rPr>
                <w:b/>
                <w:color w:val="FFFFFF" w:themeColor="background1"/>
                <w:sz w:val="20"/>
                <w:szCs w:val="20"/>
              </w:rPr>
              <w:t>4°</w:t>
            </w:r>
          </w:p>
        </w:tc>
      </w:tr>
      <w:tr w:rsidR="00BC59AA" w:rsidRPr="00CE3F04" w14:paraId="6B77A363" w14:textId="77777777" w:rsidTr="005E0038">
        <w:trPr>
          <w:trHeight w:val="423"/>
          <w:jc w:val="right"/>
        </w:trPr>
        <w:tc>
          <w:tcPr>
            <w:tcW w:w="3169" w:type="pct"/>
            <w:vMerge w:val="restart"/>
            <w:tcBorders>
              <w:left w:val="single" w:sz="4" w:space="0" w:color="auto"/>
              <w:bottom w:val="single" w:sz="4" w:space="0" w:color="auto"/>
            </w:tcBorders>
            <w:shd w:val="clear" w:color="auto" w:fill="F2F2F2"/>
            <w:vAlign w:val="center"/>
          </w:tcPr>
          <w:p w14:paraId="475F0096" w14:textId="77777777" w:rsidR="00BC59AA" w:rsidRPr="00CE3F04" w:rsidRDefault="00BC59AA" w:rsidP="005E0038">
            <w:pPr>
              <w:pStyle w:val="TableParagraph"/>
              <w:ind w:left="108"/>
              <w:rPr>
                <w:sz w:val="20"/>
                <w:szCs w:val="20"/>
              </w:rPr>
            </w:pPr>
            <w:r w:rsidRPr="00CE3F04">
              <w:rPr>
                <w:sz w:val="20"/>
                <w:szCs w:val="20"/>
              </w:rPr>
              <w:t>Falta de vigilancia o monitoreo, incluyendo la labor de la auditoría interna</w:t>
            </w:r>
          </w:p>
        </w:tc>
        <w:tc>
          <w:tcPr>
            <w:tcW w:w="408" w:type="pct"/>
            <w:shd w:val="clear" w:color="auto" w:fill="F2F2F2"/>
            <w:vAlign w:val="center"/>
          </w:tcPr>
          <w:p w14:paraId="22A64426" w14:textId="77777777" w:rsidR="00BC59AA" w:rsidRPr="00CE3F04" w:rsidRDefault="00BC59AA" w:rsidP="005E0038">
            <w:pPr>
              <w:pStyle w:val="TableParagraph"/>
              <w:spacing w:line="266" w:lineRule="exact"/>
              <w:ind w:left="82" w:right="86"/>
              <w:jc w:val="center"/>
              <w:rPr>
                <w:sz w:val="20"/>
                <w:szCs w:val="20"/>
              </w:rPr>
            </w:pPr>
            <w:r>
              <w:rPr>
                <w:color w:val="000000"/>
                <w:sz w:val="20"/>
                <w:szCs w:val="20"/>
              </w:rPr>
              <w:t>102</w:t>
            </w:r>
          </w:p>
        </w:tc>
        <w:tc>
          <w:tcPr>
            <w:tcW w:w="474" w:type="pct"/>
            <w:shd w:val="clear" w:color="auto" w:fill="F2F2F2"/>
            <w:vAlign w:val="center"/>
          </w:tcPr>
          <w:p w14:paraId="5F912E7C" w14:textId="77777777" w:rsidR="00BC59AA" w:rsidRPr="00CE3F04" w:rsidRDefault="00BC59AA" w:rsidP="005E0038">
            <w:pPr>
              <w:pStyle w:val="TableParagraph"/>
              <w:spacing w:line="266" w:lineRule="exact"/>
              <w:ind w:right="3"/>
              <w:jc w:val="center"/>
              <w:rPr>
                <w:sz w:val="20"/>
                <w:szCs w:val="20"/>
              </w:rPr>
            </w:pPr>
            <w:r>
              <w:rPr>
                <w:color w:val="000000"/>
                <w:sz w:val="20"/>
                <w:szCs w:val="20"/>
              </w:rPr>
              <w:t>3</w:t>
            </w:r>
          </w:p>
        </w:tc>
        <w:tc>
          <w:tcPr>
            <w:tcW w:w="475" w:type="pct"/>
            <w:shd w:val="clear" w:color="auto" w:fill="F2F2F2"/>
            <w:vAlign w:val="center"/>
          </w:tcPr>
          <w:p w14:paraId="5FB12C3A" w14:textId="77777777" w:rsidR="00BC59AA" w:rsidRPr="00CE3F04" w:rsidRDefault="00BC59AA" w:rsidP="005E0038">
            <w:pPr>
              <w:pStyle w:val="TableParagraph"/>
              <w:spacing w:line="266" w:lineRule="exact"/>
              <w:jc w:val="center"/>
              <w:rPr>
                <w:sz w:val="20"/>
                <w:szCs w:val="20"/>
              </w:rPr>
            </w:pPr>
            <w:r>
              <w:rPr>
                <w:color w:val="000000"/>
                <w:sz w:val="20"/>
                <w:szCs w:val="20"/>
              </w:rPr>
              <w:t>3</w:t>
            </w:r>
          </w:p>
        </w:tc>
        <w:tc>
          <w:tcPr>
            <w:tcW w:w="474" w:type="pct"/>
            <w:tcBorders>
              <w:bottom w:val="single" w:sz="4" w:space="0" w:color="auto"/>
              <w:right w:val="single" w:sz="4" w:space="0" w:color="auto"/>
            </w:tcBorders>
            <w:shd w:val="clear" w:color="auto" w:fill="F2F2F2"/>
            <w:vAlign w:val="center"/>
          </w:tcPr>
          <w:p w14:paraId="2AFA9D77" w14:textId="77777777" w:rsidR="00BC59AA" w:rsidRPr="00CE3F04" w:rsidRDefault="00BC59AA" w:rsidP="005E0038">
            <w:pPr>
              <w:pStyle w:val="TableParagraph"/>
              <w:spacing w:line="266" w:lineRule="exact"/>
              <w:ind w:left="2"/>
              <w:jc w:val="center"/>
              <w:rPr>
                <w:sz w:val="20"/>
                <w:szCs w:val="20"/>
              </w:rPr>
            </w:pPr>
            <w:r>
              <w:rPr>
                <w:color w:val="000000"/>
                <w:sz w:val="20"/>
                <w:szCs w:val="20"/>
              </w:rPr>
              <w:t>7</w:t>
            </w:r>
          </w:p>
        </w:tc>
      </w:tr>
      <w:tr w:rsidR="00BC59AA" w:rsidRPr="00CE3F04" w14:paraId="4452060F" w14:textId="77777777" w:rsidTr="005E0038">
        <w:trPr>
          <w:trHeight w:val="400"/>
          <w:jc w:val="right"/>
        </w:trPr>
        <w:tc>
          <w:tcPr>
            <w:tcW w:w="3169" w:type="pct"/>
            <w:vMerge/>
            <w:tcBorders>
              <w:left w:val="single" w:sz="4" w:space="0" w:color="auto"/>
              <w:bottom w:val="single" w:sz="4" w:space="0" w:color="auto"/>
            </w:tcBorders>
            <w:shd w:val="clear" w:color="auto" w:fill="F2F2F2"/>
            <w:vAlign w:val="center"/>
          </w:tcPr>
          <w:p w14:paraId="67C3FFE7" w14:textId="77777777" w:rsidR="00BC59AA" w:rsidRPr="00CE3F04" w:rsidRDefault="00BC59AA" w:rsidP="005E0038">
            <w:pPr>
              <w:rPr>
                <w:rFonts w:ascii="Arial" w:hAnsi="Arial" w:cs="Arial"/>
                <w:sz w:val="20"/>
                <w:szCs w:val="20"/>
              </w:rPr>
            </w:pPr>
          </w:p>
        </w:tc>
        <w:tc>
          <w:tcPr>
            <w:tcW w:w="408" w:type="pct"/>
            <w:vAlign w:val="bottom"/>
          </w:tcPr>
          <w:p w14:paraId="653D3355" w14:textId="77777777" w:rsidR="00BC59AA" w:rsidRPr="00CE3F04" w:rsidRDefault="00BC59AA" w:rsidP="005E0038">
            <w:pPr>
              <w:pStyle w:val="TableParagraph"/>
              <w:spacing w:line="267" w:lineRule="exact"/>
              <w:ind w:left="84" w:right="86"/>
              <w:jc w:val="center"/>
              <w:rPr>
                <w:sz w:val="20"/>
                <w:szCs w:val="20"/>
              </w:rPr>
            </w:pPr>
            <w:r>
              <w:rPr>
                <w:color w:val="000000"/>
                <w:sz w:val="20"/>
                <w:szCs w:val="20"/>
              </w:rPr>
              <w:t>89%</w:t>
            </w:r>
          </w:p>
        </w:tc>
        <w:tc>
          <w:tcPr>
            <w:tcW w:w="474" w:type="pct"/>
            <w:vAlign w:val="bottom"/>
          </w:tcPr>
          <w:p w14:paraId="77E72BBA" w14:textId="77777777" w:rsidR="00BC59AA" w:rsidRPr="00CE3F04" w:rsidRDefault="00BC59AA" w:rsidP="005E0038">
            <w:pPr>
              <w:pStyle w:val="TableParagraph"/>
              <w:spacing w:line="267" w:lineRule="exact"/>
              <w:ind w:left="147" w:right="147"/>
              <w:jc w:val="center"/>
              <w:rPr>
                <w:sz w:val="20"/>
                <w:szCs w:val="20"/>
              </w:rPr>
            </w:pPr>
            <w:r>
              <w:rPr>
                <w:color w:val="000000"/>
                <w:sz w:val="20"/>
                <w:szCs w:val="20"/>
              </w:rPr>
              <w:t>3%</w:t>
            </w:r>
          </w:p>
        </w:tc>
        <w:tc>
          <w:tcPr>
            <w:tcW w:w="475" w:type="pct"/>
            <w:vAlign w:val="bottom"/>
          </w:tcPr>
          <w:p w14:paraId="7A857554" w14:textId="77777777" w:rsidR="00BC59AA" w:rsidRPr="00CE3F04" w:rsidRDefault="00BC59AA" w:rsidP="005E0038">
            <w:pPr>
              <w:pStyle w:val="TableParagraph"/>
              <w:spacing w:line="267" w:lineRule="exact"/>
              <w:ind w:right="165"/>
              <w:jc w:val="center"/>
              <w:rPr>
                <w:sz w:val="20"/>
                <w:szCs w:val="20"/>
              </w:rPr>
            </w:pPr>
            <w:r>
              <w:rPr>
                <w:color w:val="000000"/>
                <w:sz w:val="20"/>
                <w:szCs w:val="20"/>
              </w:rPr>
              <w:t>3%</w:t>
            </w:r>
          </w:p>
        </w:tc>
        <w:tc>
          <w:tcPr>
            <w:tcW w:w="474" w:type="pct"/>
            <w:tcBorders>
              <w:bottom w:val="single" w:sz="4" w:space="0" w:color="auto"/>
              <w:right w:val="single" w:sz="4" w:space="0" w:color="auto"/>
            </w:tcBorders>
            <w:vAlign w:val="bottom"/>
          </w:tcPr>
          <w:p w14:paraId="6CF313F8" w14:textId="77777777" w:rsidR="00BC59AA" w:rsidRPr="00CE3F04" w:rsidRDefault="00BC59AA" w:rsidP="005E0038">
            <w:pPr>
              <w:pStyle w:val="TableParagraph"/>
              <w:spacing w:line="267" w:lineRule="exact"/>
              <w:ind w:left="145" w:right="145"/>
              <w:jc w:val="center"/>
              <w:rPr>
                <w:sz w:val="20"/>
                <w:szCs w:val="20"/>
              </w:rPr>
            </w:pPr>
            <w:r>
              <w:rPr>
                <w:color w:val="000000"/>
                <w:sz w:val="20"/>
                <w:szCs w:val="20"/>
              </w:rPr>
              <w:t>6%</w:t>
            </w:r>
          </w:p>
        </w:tc>
      </w:tr>
      <w:tr w:rsidR="00BC59AA" w:rsidRPr="00CE3F04" w14:paraId="3C9E247B" w14:textId="77777777" w:rsidTr="005E0038">
        <w:trPr>
          <w:trHeight w:val="404"/>
          <w:jc w:val="right"/>
        </w:trPr>
        <w:tc>
          <w:tcPr>
            <w:tcW w:w="3169" w:type="pct"/>
            <w:vMerge w:val="restart"/>
            <w:tcBorders>
              <w:left w:val="single" w:sz="4" w:space="0" w:color="auto"/>
              <w:bottom w:val="single" w:sz="4" w:space="0" w:color="auto"/>
            </w:tcBorders>
            <w:shd w:val="clear" w:color="auto" w:fill="F2F2F2"/>
            <w:vAlign w:val="center"/>
          </w:tcPr>
          <w:p w14:paraId="19BF35C2" w14:textId="77777777" w:rsidR="00BC59AA" w:rsidRPr="00CE3F04" w:rsidRDefault="00BC59AA" w:rsidP="005E0038">
            <w:pPr>
              <w:pStyle w:val="TableParagraph"/>
              <w:ind w:left="108"/>
              <w:rPr>
                <w:sz w:val="20"/>
                <w:szCs w:val="20"/>
              </w:rPr>
            </w:pPr>
            <w:r w:rsidRPr="00CE3F04">
              <w:rPr>
                <w:sz w:val="20"/>
                <w:szCs w:val="20"/>
              </w:rPr>
              <w:t>Fallas en el diseño de la asignación de responsabilidades (autorizaciones del (los) superior (es) jerárquico (s))</w:t>
            </w:r>
          </w:p>
        </w:tc>
        <w:tc>
          <w:tcPr>
            <w:tcW w:w="408" w:type="pct"/>
            <w:shd w:val="clear" w:color="auto" w:fill="F2F2F2"/>
            <w:vAlign w:val="center"/>
          </w:tcPr>
          <w:p w14:paraId="577E11D1" w14:textId="77777777" w:rsidR="00BC59AA" w:rsidRPr="00CE3F04" w:rsidRDefault="00BC59AA" w:rsidP="005E0038">
            <w:pPr>
              <w:pStyle w:val="TableParagraph"/>
              <w:spacing w:line="267" w:lineRule="exact"/>
              <w:ind w:right="5"/>
              <w:jc w:val="center"/>
              <w:rPr>
                <w:sz w:val="20"/>
                <w:szCs w:val="20"/>
              </w:rPr>
            </w:pPr>
            <w:r>
              <w:rPr>
                <w:color w:val="000000"/>
                <w:sz w:val="20"/>
                <w:szCs w:val="20"/>
              </w:rPr>
              <w:t>7</w:t>
            </w:r>
          </w:p>
        </w:tc>
        <w:tc>
          <w:tcPr>
            <w:tcW w:w="474" w:type="pct"/>
            <w:shd w:val="clear" w:color="auto" w:fill="F2F2F2"/>
            <w:vAlign w:val="center"/>
          </w:tcPr>
          <w:p w14:paraId="1A7E5D90" w14:textId="77777777" w:rsidR="00BC59AA" w:rsidRPr="00CE3F04" w:rsidRDefault="00BC59AA" w:rsidP="005E0038">
            <w:pPr>
              <w:pStyle w:val="TableParagraph"/>
              <w:spacing w:line="267" w:lineRule="exact"/>
              <w:ind w:left="144" w:right="147"/>
              <w:jc w:val="center"/>
              <w:rPr>
                <w:sz w:val="20"/>
                <w:szCs w:val="20"/>
              </w:rPr>
            </w:pPr>
            <w:r>
              <w:rPr>
                <w:color w:val="000000"/>
                <w:sz w:val="20"/>
                <w:szCs w:val="20"/>
              </w:rPr>
              <w:t>27</w:t>
            </w:r>
          </w:p>
        </w:tc>
        <w:tc>
          <w:tcPr>
            <w:tcW w:w="475" w:type="pct"/>
            <w:shd w:val="clear" w:color="auto" w:fill="F2F2F2"/>
            <w:vAlign w:val="center"/>
          </w:tcPr>
          <w:p w14:paraId="7CD82098" w14:textId="77777777" w:rsidR="00BC59AA" w:rsidRPr="00CE3F04" w:rsidRDefault="00BC59AA" w:rsidP="005E0038">
            <w:pPr>
              <w:pStyle w:val="TableParagraph"/>
              <w:spacing w:line="267" w:lineRule="exact"/>
              <w:jc w:val="center"/>
              <w:rPr>
                <w:sz w:val="20"/>
                <w:szCs w:val="20"/>
              </w:rPr>
            </w:pPr>
            <w:r>
              <w:rPr>
                <w:color w:val="000000"/>
                <w:sz w:val="20"/>
                <w:szCs w:val="20"/>
              </w:rPr>
              <w:t>61</w:t>
            </w:r>
          </w:p>
        </w:tc>
        <w:tc>
          <w:tcPr>
            <w:tcW w:w="474" w:type="pct"/>
            <w:tcBorders>
              <w:bottom w:val="single" w:sz="4" w:space="0" w:color="auto"/>
              <w:right w:val="single" w:sz="4" w:space="0" w:color="auto"/>
            </w:tcBorders>
            <w:shd w:val="clear" w:color="auto" w:fill="F2F2F2"/>
            <w:vAlign w:val="center"/>
          </w:tcPr>
          <w:p w14:paraId="0A676BC5" w14:textId="77777777" w:rsidR="00BC59AA" w:rsidRPr="00CE3F04" w:rsidRDefault="00BC59AA" w:rsidP="005E0038">
            <w:pPr>
              <w:pStyle w:val="TableParagraph"/>
              <w:spacing w:line="267" w:lineRule="exact"/>
              <w:ind w:left="148" w:right="145"/>
              <w:jc w:val="center"/>
              <w:rPr>
                <w:sz w:val="20"/>
                <w:szCs w:val="20"/>
              </w:rPr>
            </w:pPr>
            <w:r>
              <w:rPr>
                <w:color w:val="000000"/>
                <w:sz w:val="20"/>
                <w:szCs w:val="20"/>
              </w:rPr>
              <w:t>20</w:t>
            </w:r>
          </w:p>
        </w:tc>
      </w:tr>
      <w:tr w:rsidR="00BC59AA" w:rsidRPr="00CE3F04" w14:paraId="1BF7F677" w14:textId="77777777" w:rsidTr="005E0038">
        <w:trPr>
          <w:trHeight w:val="404"/>
          <w:jc w:val="right"/>
        </w:trPr>
        <w:tc>
          <w:tcPr>
            <w:tcW w:w="3169" w:type="pct"/>
            <w:vMerge/>
            <w:tcBorders>
              <w:left w:val="single" w:sz="4" w:space="0" w:color="auto"/>
              <w:bottom w:val="single" w:sz="4" w:space="0" w:color="auto"/>
            </w:tcBorders>
            <w:shd w:val="clear" w:color="auto" w:fill="F2F2F2"/>
            <w:vAlign w:val="center"/>
          </w:tcPr>
          <w:p w14:paraId="19EA5A34" w14:textId="77777777" w:rsidR="00BC59AA" w:rsidRPr="00CE3F04" w:rsidRDefault="00BC59AA" w:rsidP="005E0038">
            <w:pPr>
              <w:rPr>
                <w:rFonts w:ascii="Arial" w:hAnsi="Arial" w:cs="Arial"/>
                <w:sz w:val="20"/>
                <w:szCs w:val="20"/>
              </w:rPr>
            </w:pPr>
          </w:p>
        </w:tc>
        <w:tc>
          <w:tcPr>
            <w:tcW w:w="408" w:type="pct"/>
            <w:vAlign w:val="bottom"/>
          </w:tcPr>
          <w:p w14:paraId="4E93365C" w14:textId="77777777" w:rsidR="00BC59AA" w:rsidRPr="00CE3F04" w:rsidRDefault="00BC59AA" w:rsidP="005E0038">
            <w:pPr>
              <w:pStyle w:val="TableParagraph"/>
              <w:spacing w:line="267" w:lineRule="exact"/>
              <w:ind w:left="84" w:right="86"/>
              <w:jc w:val="center"/>
              <w:rPr>
                <w:sz w:val="20"/>
                <w:szCs w:val="20"/>
              </w:rPr>
            </w:pPr>
            <w:r>
              <w:rPr>
                <w:color w:val="000000"/>
                <w:sz w:val="20"/>
                <w:szCs w:val="20"/>
              </w:rPr>
              <w:t>6%</w:t>
            </w:r>
          </w:p>
        </w:tc>
        <w:tc>
          <w:tcPr>
            <w:tcW w:w="474" w:type="pct"/>
            <w:vAlign w:val="bottom"/>
          </w:tcPr>
          <w:p w14:paraId="00994D7A" w14:textId="77777777" w:rsidR="00BC59AA" w:rsidRPr="00CE3F04" w:rsidRDefault="00BC59AA" w:rsidP="005E0038">
            <w:pPr>
              <w:pStyle w:val="TableParagraph"/>
              <w:spacing w:line="267" w:lineRule="exact"/>
              <w:ind w:left="147" w:right="147"/>
              <w:jc w:val="center"/>
              <w:rPr>
                <w:sz w:val="20"/>
                <w:szCs w:val="20"/>
              </w:rPr>
            </w:pPr>
            <w:r>
              <w:rPr>
                <w:color w:val="000000"/>
                <w:sz w:val="20"/>
                <w:szCs w:val="20"/>
              </w:rPr>
              <w:t>23%</w:t>
            </w:r>
          </w:p>
        </w:tc>
        <w:tc>
          <w:tcPr>
            <w:tcW w:w="475" w:type="pct"/>
            <w:vAlign w:val="bottom"/>
          </w:tcPr>
          <w:p w14:paraId="143E03EF" w14:textId="77777777" w:rsidR="00BC59AA" w:rsidRPr="00CE3F04" w:rsidRDefault="00BC59AA" w:rsidP="005E0038">
            <w:pPr>
              <w:pStyle w:val="TableParagraph"/>
              <w:spacing w:line="267" w:lineRule="exact"/>
              <w:ind w:right="165"/>
              <w:jc w:val="center"/>
              <w:rPr>
                <w:sz w:val="20"/>
                <w:szCs w:val="20"/>
              </w:rPr>
            </w:pPr>
            <w:r>
              <w:rPr>
                <w:color w:val="000000"/>
                <w:sz w:val="20"/>
                <w:szCs w:val="20"/>
              </w:rPr>
              <w:t>53%</w:t>
            </w:r>
          </w:p>
        </w:tc>
        <w:tc>
          <w:tcPr>
            <w:tcW w:w="474" w:type="pct"/>
            <w:tcBorders>
              <w:bottom w:val="single" w:sz="4" w:space="0" w:color="auto"/>
              <w:right w:val="single" w:sz="4" w:space="0" w:color="auto"/>
            </w:tcBorders>
            <w:vAlign w:val="bottom"/>
          </w:tcPr>
          <w:p w14:paraId="2A29ADA9" w14:textId="77777777" w:rsidR="00BC59AA" w:rsidRPr="00CE3F04" w:rsidRDefault="00BC59AA" w:rsidP="005E0038">
            <w:pPr>
              <w:pStyle w:val="TableParagraph"/>
              <w:spacing w:line="267" w:lineRule="exact"/>
              <w:ind w:left="150" w:right="145"/>
              <w:jc w:val="center"/>
              <w:rPr>
                <w:sz w:val="20"/>
                <w:szCs w:val="20"/>
              </w:rPr>
            </w:pPr>
            <w:r>
              <w:rPr>
                <w:color w:val="000000"/>
                <w:sz w:val="20"/>
                <w:szCs w:val="20"/>
              </w:rPr>
              <w:t>17%</w:t>
            </w:r>
          </w:p>
        </w:tc>
      </w:tr>
      <w:tr w:rsidR="00BC59AA" w:rsidRPr="00CE3F04" w14:paraId="44B8638E" w14:textId="77777777" w:rsidTr="005E0038">
        <w:trPr>
          <w:trHeight w:val="404"/>
          <w:jc w:val="right"/>
        </w:trPr>
        <w:tc>
          <w:tcPr>
            <w:tcW w:w="3169" w:type="pct"/>
            <w:vMerge w:val="restart"/>
            <w:tcBorders>
              <w:left w:val="single" w:sz="4" w:space="0" w:color="auto"/>
              <w:bottom w:val="single" w:sz="4" w:space="0" w:color="auto"/>
            </w:tcBorders>
            <w:shd w:val="clear" w:color="auto" w:fill="F2F2F2"/>
            <w:vAlign w:val="center"/>
          </w:tcPr>
          <w:p w14:paraId="12B6E8B2" w14:textId="77777777" w:rsidR="00BC59AA" w:rsidRPr="00CE3F04" w:rsidRDefault="00BC59AA" w:rsidP="005E0038">
            <w:pPr>
              <w:pStyle w:val="TableParagraph"/>
              <w:ind w:left="108"/>
              <w:rPr>
                <w:sz w:val="20"/>
                <w:szCs w:val="20"/>
              </w:rPr>
            </w:pPr>
            <w:r w:rsidRPr="00CE3F04">
              <w:rPr>
                <w:sz w:val="20"/>
                <w:szCs w:val="20"/>
              </w:rPr>
              <w:t>Documentación/registros o sistematización de la información inapropiada</w:t>
            </w:r>
          </w:p>
        </w:tc>
        <w:tc>
          <w:tcPr>
            <w:tcW w:w="408" w:type="pct"/>
            <w:shd w:val="clear" w:color="auto" w:fill="F2F2F2"/>
            <w:vAlign w:val="center"/>
          </w:tcPr>
          <w:p w14:paraId="0E09AC01" w14:textId="77777777" w:rsidR="00BC59AA" w:rsidRPr="00CE3F04" w:rsidRDefault="00BC59AA" w:rsidP="005E0038">
            <w:pPr>
              <w:pStyle w:val="TableParagraph"/>
              <w:spacing w:line="267" w:lineRule="exact"/>
              <w:ind w:right="5"/>
              <w:jc w:val="center"/>
              <w:rPr>
                <w:sz w:val="20"/>
                <w:szCs w:val="20"/>
              </w:rPr>
            </w:pPr>
            <w:r>
              <w:rPr>
                <w:color w:val="000000"/>
                <w:sz w:val="20"/>
                <w:szCs w:val="20"/>
              </w:rPr>
              <w:t>6</w:t>
            </w:r>
          </w:p>
        </w:tc>
        <w:tc>
          <w:tcPr>
            <w:tcW w:w="474" w:type="pct"/>
            <w:shd w:val="clear" w:color="auto" w:fill="F2F2F2"/>
            <w:vAlign w:val="center"/>
          </w:tcPr>
          <w:p w14:paraId="24184817" w14:textId="77777777" w:rsidR="00BC59AA" w:rsidRPr="00CE3F04" w:rsidRDefault="00BC59AA" w:rsidP="005E0038">
            <w:pPr>
              <w:pStyle w:val="TableParagraph"/>
              <w:spacing w:line="267" w:lineRule="exact"/>
              <w:ind w:left="144" w:right="147"/>
              <w:jc w:val="center"/>
              <w:rPr>
                <w:sz w:val="20"/>
                <w:szCs w:val="20"/>
              </w:rPr>
            </w:pPr>
            <w:r>
              <w:rPr>
                <w:color w:val="000000"/>
                <w:sz w:val="20"/>
                <w:szCs w:val="20"/>
              </w:rPr>
              <w:t>68</w:t>
            </w:r>
          </w:p>
        </w:tc>
        <w:tc>
          <w:tcPr>
            <w:tcW w:w="475" w:type="pct"/>
            <w:shd w:val="clear" w:color="auto" w:fill="F2F2F2"/>
            <w:vAlign w:val="center"/>
          </w:tcPr>
          <w:p w14:paraId="52927282" w14:textId="77777777" w:rsidR="00BC59AA" w:rsidRPr="00CE3F04" w:rsidRDefault="00BC59AA" w:rsidP="005E0038">
            <w:pPr>
              <w:pStyle w:val="TableParagraph"/>
              <w:spacing w:line="267" w:lineRule="exact"/>
              <w:ind w:left="294" w:right="294"/>
              <w:jc w:val="center"/>
              <w:rPr>
                <w:sz w:val="20"/>
                <w:szCs w:val="20"/>
              </w:rPr>
            </w:pPr>
            <w:r>
              <w:rPr>
                <w:color w:val="000000"/>
                <w:sz w:val="20"/>
                <w:szCs w:val="20"/>
              </w:rPr>
              <w:t>25</w:t>
            </w:r>
          </w:p>
        </w:tc>
        <w:tc>
          <w:tcPr>
            <w:tcW w:w="474" w:type="pct"/>
            <w:tcBorders>
              <w:bottom w:val="single" w:sz="4" w:space="0" w:color="auto"/>
              <w:right w:val="single" w:sz="4" w:space="0" w:color="auto"/>
            </w:tcBorders>
            <w:shd w:val="clear" w:color="auto" w:fill="F2F2F2"/>
            <w:vAlign w:val="center"/>
          </w:tcPr>
          <w:p w14:paraId="573FC6BF" w14:textId="77777777" w:rsidR="00BC59AA" w:rsidRPr="00CE3F04" w:rsidRDefault="00BC59AA" w:rsidP="005E0038">
            <w:pPr>
              <w:pStyle w:val="TableParagraph"/>
              <w:spacing w:line="267" w:lineRule="exact"/>
              <w:ind w:left="2"/>
              <w:jc w:val="center"/>
              <w:rPr>
                <w:sz w:val="20"/>
                <w:szCs w:val="20"/>
              </w:rPr>
            </w:pPr>
            <w:r>
              <w:rPr>
                <w:color w:val="000000"/>
                <w:sz w:val="20"/>
                <w:szCs w:val="20"/>
              </w:rPr>
              <w:t>16</w:t>
            </w:r>
          </w:p>
        </w:tc>
      </w:tr>
      <w:tr w:rsidR="00BC59AA" w:rsidRPr="00CE3F04" w14:paraId="6E23DF3B" w14:textId="77777777" w:rsidTr="005E0038">
        <w:trPr>
          <w:trHeight w:val="400"/>
          <w:jc w:val="right"/>
        </w:trPr>
        <w:tc>
          <w:tcPr>
            <w:tcW w:w="3169" w:type="pct"/>
            <w:vMerge/>
            <w:tcBorders>
              <w:left w:val="single" w:sz="4" w:space="0" w:color="auto"/>
              <w:bottom w:val="single" w:sz="4" w:space="0" w:color="auto"/>
            </w:tcBorders>
            <w:shd w:val="clear" w:color="auto" w:fill="F2F2F2"/>
            <w:vAlign w:val="center"/>
          </w:tcPr>
          <w:p w14:paraId="70D01414" w14:textId="77777777" w:rsidR="00BC59AA" w:rsidRPr="00CE3F04" w:rsidRDefault="00BC59AA" w:rsidP="005E0038">
            <w:pPr>
              <w:rPr>
                <w:rFonts w:ascii="Arial" w:hAnsi="Arial" w:cs="Arial"/>
                <w:sz w:val="20"/>
                <w:szCs w:val="20"/>
              </w:rPr>
            </w:pPr>
          </w:p>
        </w:tc>
        <w:tc>
          <w:tcPr>
            <w:tcW w:w="408" w:type="pct"/>
            <w:vAlign w:val="bottom"/>
          </w:tcPr>
          <w:p w14:paraId="799F26C4" w14:textId="77777777" w:rsidR="00BC59AA" w:rsidRPr="00CE3F04" w:rsidRDefault="00BC59AA" w:rsidP="005E0038">
            <w:pPr>
              <w:pStyle w:val="TableParagraph"/>
              <w:spacing w:line="267" w:lineRule="exact"/>
              <w:ind w:left="84" w:right="86"/>
              <w:jc w:val="center"/>
              <w:rPr>
                <w:sz w:val="20"/>
                <w:szCs w:val="20"/>
              </w:rPr>
            </w:pPr>
            <w:r>
              <w:rPr>
                <w:color w:val="000000"/>
                <w:sz w:val="20"/>
                <w:szCs w:val="20"/>
              </w:rPr>
              <w:t>5%</w:t>
            </w:r>
          </w:p>
        </w:tc>
        <w:tc>
          <w:tcPr>
            <w:tcW w:w="474" w:type="pct"/>
            <w:vAlign w:val="bottom"/>
          </w:tcPr>
          <w:p w14:paraId="699F35CC" w14:textId="77777777" w:rsidR="00BC59AA" w:rsidRPr="00CE3F04" w:rsidRDefault="00BC59AA" w:rsidP="005E0038">
            <w:pPr>
              <w:pStyle w:val="TableParagraph"/>
              <w:spacing w:line="267" w:lineRule="exact"/>
              <w:ind w:left="147" w:right="147"/>
              <w:jc w:val="center"/>
              <w:rPr>
                <w:sz w:val="20"/>
                <w:szCs w:val="20"/>
              </w:rPr>
            </w:pPr>
            <w:r>
              <w:rPr>
                <w:color w:val="000000"/>
                <w:sz w:val="20"/>
                <w:szCs w:val="20"/>
              </w:rPr>
              <w:t>59%</w:t>
            </w:r>
          </w:p>
        </w:tc>
        <w:tc>
          <w:tcPr>
            <w:tcW w:w="475" w:type="pct"/>
            <w:vAlign w:val="bottom"/>
          </w:tcPr>
          <w:p w14:paraId="1BDFB20C" w14:textId="77777777" w:rsidR="00BC59AA" w:rsidRPr="00CE3F04" w:rsidRDefault="00BC59AA" w:rsidP="005E0038">
            <w:pPr>
              <w:pStyle w:val="TableParagraph"/>
              <w:spacing w:line="267" w:lineRule="exact"/>
              <w:ind w:right="165"/>
              <w:jc w:val="center"/>
              <w:rPr>
                <w:sz w:val="20"/>
                <w:szCs w:val="20"/>
              </w:rPr>
            </w:pPr>
            <w:r>
              <w:rPr>
                <w:color w:val="000000"/>
                <w:sz w:val="20"/>
                <w:szCs w:val="20"/>
              </w:rPr>
              <w:t>22%</w:t>
            </w:r>
          </w:p>
        </w:tc>
        <w:tc>
          <w:tcPr>
            <w:tcW w:w="474" w:type="pct"/>
            <w:tcBorders>
              <w:bottom w:val="single" w:sz="4" w:space="0" w:color="auto"/>
              <w:right w:val="single" w:sz="4" w:space="0" w:color="auto"/>
            </w:tcBorders>
            <w:vAlign w:val="bottom"/>
          </w:tcPr>
          <w:p w14:paraId="6FBE2F27" w14:textId="77777777" w:rsidR="00BC59AA" w:rsidRPr="00CE3F04" w:rsidRDefault="00BC59AA" w:rsidP="005E0038">
            <w:pPr>
              <w:pStyle w:val="TableParagraph"/>
              <w:spacing w:line="267" w:lineRule="exact"/>
              <w:ind w:left="145" w:right="145"/>
              <w:jc w:val="center"/>
              <w:rPr>
                <w:sz w:val="20"/>
                <w:szCs w:val="20"/>
              </w:rPr>
            </w:pPr>
            <w:r>
              <w:rPr>
                <w:color w:val="000000"/>
                <w:sz w:val="20"/>
                <w:szCs w:val="20"/>
              </w:rPr>
              <w:t>14%</w:t>
            </w:r>
          </w:p>
        </w:tc>
      </w:tr>
      <w:tr w:rsidR="00BC59AA" w:rsidRPr="00CE3F04" w14:paraId="0B917E48" w14:textId="77777777" w:rsidTr="005E0038">
        <w:trPr>
          <w:trHeight w:val="404"/>
          <w:jc w:val="right"/>
        </w:trPr>
        <w:tc>
          <w:tcPr>
            <w:tcW w:w="3169" w:type="pct"/>
            <w:vMerge w:val="restart"/>
            <w:tcBorders>
              <w:left w:val="single" w:sz="4" w:space="0" w:color="auto"/>
              <w:bottom w:val="single" w:sz="4" w:space="0" w:color="auto"/>
            </w:tcBorders>
            <w:shd w:val="clear" w:color="auto" w:fill="F2F2F2"/>
            <w:vAlign w:val="center"/>
          </w:tcPr>
          <w:p w14:paraId="7137C235" w14:textId="77777777" w:rsidR="00BC59AA" w:rsidRPr="00CE3F04" w:rsidRDefault="00BC59AA" w:rsidP="005E0038">
            <w:pPr>
              <w:pStyle w:val="TableParagraph"/>
              <w:ind w:left="108"/>
              <w:rPr>
                <w:sz w:val="20"/>
                <w:szCs w:val="20"/>
              </w:rPr>
            </w:pPr>
            <w:r w:rsidRPr="00CE3F04">
              <w:rPr>
                <w:sz w:val="20"/>
                <w:szCs w:val="20"/>
              </w:rPr>
              <w:t>Falta de perfil profesional/experiencias/capacidades técnicas del personal responsable de la operación de los fondos, programas o políticas públicas.</w:t>
            </w:r>
          </w:p>
        </w:tc>
        <w:tc>
          <w:tcPr>
            <w:tcW w:w="408" w:type="pct"/>
            <w:shd w:val="clear" w:color="auto" w:fill="F2F2F2"/>
            <w:vAlign w:val="center"/>
          </w:tcPr>
          <w:p w14:paraId="03225B20" w14:textId="77777777" w:rsidR="00BC59AA" w:rsidRPr="00CE3F04" w:rsidRDefault="00BC59AA" w:rsidP="005E0038">
            <w:pPr>
              <w:pStyle w:val="TableParagraph"/>
              <w:spacing w:line="267" w:lineRule="exact"/>
              <w:ind w:right="5"/>
              <w:jc w:val="center"/>
              <w:rPr>
                <w:sz w:val="20"/>
                <w:szCs w:val="20"/>
              </w:rPr>
            </w:pPr>
            <w:r>
              <w:rPr>
                <w:color w:val="000000"/>
                <w:sz w:val="20"/>
                <w:szCs w:val="20"/>
              </w:rPr>
              <w:t>0</w:t>
            </w:r>
          </w:p>
        </w:tc>
        <w:tc>
          <w:tcPr>
            <w:tcW w:w="474" w:type="pct"/>
            <w:shd w:val="clear" w:color="auto" w:fill="F2F2F2"/>
            <w:vAlign w:val="center"/>
          </w:tcPr>
          <w:p w14:paraId="580E9571" w14:textId="77777777" w:rsidR="00BC59AA" w:rsidRPr="00CE3F04" w:rsidRDefault="00BC59AA" w:rsidP="005E0038">
            <w:pPr>
              <w:pStyle w:val="TableParagraph"/>
              <w:spacing w:line="267" w:lineRule="exact"/>
              <w:ind w:right="3"/>
              <w:jc w:val="center"/>
              <w:rPr>
                <w:sz w:val="20"/>
                <w:szCs w:val="20"/>
              </w:rPr>
            </w:pPr>
            <w:r>
              <w:rPr>
                <w:color w:val="000000"/>
                <w:sz w:val="20"/>
                <w:szCs w:val="20"/>
              </w:rPr>
              <w:t>17</w:t>
            </w:r>
          </w:p>
        </w:tc>
        <w:tc>
          <w:tcPr>
            <w:tcW w:w="475" w:type="pct"/>
            <w:shd w:val="clear" w:color="auto" w:fill="F2F2F2"/>
            <w:vAlign w:val="center"/>
          </w:tcPr>
          <w:p w14:paraId="42880072" w14:textId="77777777" w:rsidR="00BC59AA" w:rsidRPr="00CE3F04" w:rsidRDefault="00BC59AA" w:rsidP="005E0038">
            <w:pPr>
              <w:pStyle w:val="TableParagraph"/>
              <w:spacing w:line="267" w:lineRule="exact"/>
              <w:jc w:val="center"/>
              <w:rPr>
                <w:sz w:val="20"/>
                <w:szCs w:val="20"/>
              </w:rPr>
            </w:pPr>
            <w:r>
              <w:rPr>
                <w:color w:val="000000"/>
                <w:sz w:val="20"/>
                <w:szCs w:val="20"/>
              </w:rPr>
              <w:t>26</w:t>
            </w:r>
          </w:p>
        </w:tc>
        <w:tc>
          <w:tcPr>
            <w:tcW w:w="474" w:type="pct"/>
            <w:tcBorders>
              <w:bottom w:val="single" w:sz="4" w:space="0" w:color="auto"/>
              <w:right w:val="single" w:sz="4" w:space="0" w:color="auto"/>
            </w:tcBorders>
            <w:shd w:val="clear" w:color="auto" w:fill="F2F2F2"/>
            <w:vAlign w:val="center"/>
          </w:tcPr>
          <w:p w14:paraId="7685F193" w14:textId="77777777" w:rsidR="00BC59AA" w:rsidRPr="00CE3F04" w:rsidRDefault="00BC59AA" w:rsidP="005E0038">
            <w:pPr>
              <w:pStyle w:val="TableParagraph"/>
              <w:spacing w:line="267" w:lineRule="exact"/>
              <w:ind w:left="148" w:right="145"/>
              <w:jc w:val="center"/>
              <w:rPr>
                <w:sz w:val="20"/>
                <w:szCs w:val="20"/>
              </w:rPr>
            </w:pPr>
            <w:r>
              <w:rPr>
                <w:color w:val="000000"/>
                <w:sz w:val="20"/>
                <w:szCs w:val="20"/>
              </w:rPr>
              <w:t>72</w:t>
            </w:r>
          </w:p>
        </w:tc>
      </w:tr>
      <w:tr w:rsidR="00BC59AA" w:rsidRPr="00CE3F04" w14:paraId="3ED47A27" w14:textId="77777777" w:rsidTr="005E0038">
        <w:trPr>
          <w:trHeight w:val="528"/>
          <w:jc w:val="right"/>
        </w:trPr>
        <w:tc>
          <w:tcPr>
            <w:tcW w:w="3169" w:type="pct"/>
            <w:vMerge/>
            <w:tcBorders>
              <w:left w:val="single" w:sz="4" w:space="0" w:color="auto"/>
              <w:bottom w:val="single" w:sz="4" w:space="0" w:color="auto"/>
            </w:tcBorders>
            <w:shd w:val="clear" w:color="auto" w:fill="F2F2F2"/>
          </w:tcPr>
          <w:p w14:paraId="67A63698" w14:textId="77777777" w:rsidR="00BC59AA" w:rsidRPr="00CE3F04" w:rsidRDefault="00BC59AA" w:rsidP="005E0038">
            <w:pPr>
              <w:rPr>
                <w:rFonts w:ascii="Arial" w:hAnsi="Arial" w:cs="Arial"/>
                <w:sz w:val="20"/>
                <w:szCs w:val="20"/>
              </w:rPr>
            </w:pPr>
          </w:p>
        </w:tc>
        <w:tc>
          <w:tcPr>
            <w:tcW w:w="408" w:type="pct"/>
            <w:vAlign w:val="bottom"/>
          </w:tcPr>
          <w:p w14:paraId="6E894606" w14:textId="77777777" w:rsidR="00BC59AA" w:rsidRPr="00CE3F04" w:rsidRDefault="00BC59AA" w:rsidP="005E0038">
            <w:pPr>
              <w:pStyle w:val="TableParagraph"/>
              <w:spacing w:before="122"/>
              <w:ind w:left="84" w:right="86"/>
              <w:jc w:val="center"/>
              <w:rPr>
                <w:sz w:val="20"/>
                <w:szCs w:val="20"/>
              </w:rPr>
            </w:pPr>
            <w:r>
              <w:rPr>
                <w:color w:val="000000"/>
                <w:sz w:val="20"/>
                <w:szCs w:val="20"/>
              </w:rPr>
              <w:t>0%</w:t>
            </w:r>
          </w:p>
        </w:tc>
        <w:tc>
          <w:tcPr>
            <w:tcW w:w="474" w:type="pct"/>
            <w:vAlign w:val="bottom"/>
          </w:tcPr>
          <w:p w14:paraId="23504819" w14:textId="77777777" w:rsidR="00BC59AA" w:rsidRPr="00CE3F04" w:rsidRDefault="00BC59AA" w:rsidP="005E0038">
            <w:pPr>
              <w:pStyle w:val="TableParagraph"/>
              <w:spacing w:before="122"/>
              <w:ind w:left="147" w:right="147"/>
              <w:jc w:val="center"/>
              <w:rPr>
                <w:sz w:val="20"/>
                <w:szCs w:val="20"/>
              </w:rPr>
            </w:pPr>
            <w:r>
              <w:rPr>
                <w:color w:val="000000"/>
                <w:sz w:val="20"/>
                <w:szCs w:val="20"/>
              </w:rPr>
              <w:t>15%</w:t>
            </w:r>
          </w:p>
        </w:tc>
        <w:tc>
          <w:tcPr>
            <w:tcW w:w="475" w:type="pct"/>
            <w:vAlign w:val="bottom"/>
          </w:tcPr>
          <w:p w14:paraId="59EA9A8E" w14:textId="77777777" w:rsidR="00BC59AA" w:rsidRPr="00CE3F04" w:rsidRDefault="00BC59AA" w:rsidP="005E0038">
            <w:pPr>
              <w:pStyle w:val="TableParagraph"/>
              <w:spacing w:before="122"/>
              <w:ind w:right="220"/>
              <w:jc w:val="center"/>
              <w:rPr>
                <w:sz w:val="20"/>
                <w:szCs w:val="20"/>
              </w:rPr>
            </w:pPr>
            <w:r>
              <w:rPr>
                <w:color w:val="000000"/>
                <w:sz w:val="20"/>
                <w:szCs w:val="20"/>
              </w:rPr>
              <w:t>23%</w:t>
            </w:r>
          </w:p>
        </w:tc>
        <w:tc>
          <w:tcPr>
            <w:tcW w:w="474" w:type="pct"/>
            <w:tcBorders>
              <w:bottom w:val="single" w:sz="4" w:space="0" w:color="auto"/>
              <w:right w:val="single" w:sz="4" w:space="0" w:color="auto"/>
            </w:tcBorders>
            <w:vAlign w:val="bottom"/>
          </w:tcPr>
          <w:p w14:paraId="183831A0" w14:textId="77777777" w:rsidR="00BC59AA" w:rsidRPr="00CE3F04" w:rsidRDefault="00BC59AA" w:rsidP="005E0038">
            <w:pPr>
              <w:pStyle w:val="TableParagraph"/>
              <w:spacing w:before="122"/>
              <w:ind w:left="150" w:right="145"/>
              <w:jc w:val="center"/>
              <w:rPr>
                <w:sz w:val="20"/>
                <w:szCs w:val="20"/>
              </w:rPr>
            </w:pPr>
            <w:r>
              <w:rPr>
                <w:color w:val="000000"/>
                <w:sz w:val="20"/>
                <w:szCs w:val="20"/>
              </w:rPr>
              <w:t>63%</w:t>
            </w:r>
          </w:p>
        </w:tc>
      </w:tr>
      <w:tr w:rsidR="00BC59AA" w:rsidRPr="00F7194B" w14:paraId="6E6C0671" w14:textId="77777777" w:rsidTr="005E0038">
        <w:trPr>
          <w:trHeight w:val="231"/>
          <w:jc w:val="right"/>
        </w:trPr>
        <w:tc>
          <w:tcPr>
            <w:tcW w:w="5000" w:type="pct"/>
            <w:gridSpan w:val="5"/>
            <w:shd w:val="clear" w:color="auto" w:fill="auto"/>
          </w:tcPr>
          <w:p w14:paraId="785EF864" w14:textId="77777777" w:rsidR="00BC59AA" w:rsidRPr="006268C4" w:rsidRDefault="00BC59AA" w:rsidP="005E0038">
            <w:pPr>
              <w:pStyle w:val="Textoindependiente"/>
              <w:spacing w:line="276" w:lineRule="auto"/>
              <w:ind w:left="-76"/>
              <w:rPr>
                <w:sz w:val="18"/>
                <w:szCs w:val="18"/>
                <w:lang w:val="es-MX"/>
              </w:rPr>
            </w:pPr>
            <w:r w:rsidRPr="006268C4">
              <w:rPr>
                <w:noProof/>
                <w:sz w:val="18"/>
                <w:szCs w:val="16"/>
                <w:lang w:eastAsia="es-MX"/>
              </w:rPr>
              <w:t xml:space="preserve">  </w:t>
            </w:r>
            <w:r w:rsidR="0071701E" w:rsidRPr="006268C4">
              <w:rPr>
                <w:b/>
                <w:noProof/>
                <w:sz w:val="18"/>
                <w:szCs w:val="16"/>
                <w:lang w:eastAsia="es-MX"/>
              </w:rPr>
              <w:t>Tabla N° 17</w:t>
            </w:r>
            <w:r w:rsidRPr="006268C4">
              <w:rPr>
                <w:b/>
                <w:noProof/>
                <w:sz w:val="18"/>
                <w:szCs w:val="16"/>
                <w:lang w:eastAsia="es-MX"/>
              </w:rPr>
              <w:t>:</w:t>
            </w:r>
            <w:r w:rsidRPr="006268C4">
              <w:rPr>
                <w:noProof/>
                <w:sz w:val="18"/>
                <w:szCs w:val="16"/>
                <w:lang w:eastAsia="es-MX"/>
              </w:rPr>
              <w:t xml:space="preserve"> Realizada por la ASEQROO. Datos provenientes de los cuestionarios aplicados.</w:t>
            </w:r>
          </w:p>
        </w:tc>
      </w:tr>
    </w:tbl>
    <w:p w14:paraId="41400F77" w14:textId="77777777" w:rsidR="00BC59AA" w:rsidRPr="00F7194B" w:rsidRDefault="00BC59AA" w:rsidP="00BC59AA">
      <w:pPr>
        <w:pStyle w:val="Prrafodelista"/>
        <w:spacing w:line="360" w:lineRule="auto"/>
        <w:ind w:left="0" w:right="142"/>
        <w:jc w:val="both"/>
        <w:rPr>
          <w:rFonts w:ascii="Arial" w:hAnsi="Arial" w:cs="Arial"/>
          <w:sz w:val="24"/>
          <w:szCs w:val="24"/>
        </w:rPr>
      </w:pPr>
    </w:p>
    <w:p w14:paraId="519E3028" w14:textId="77777777" w:rsidR="00BC59AA" w:rsidRPr="00DD3FA0" w:rsidRDefault="00602767" w:rsidP="00BC59AA">
      <w:pPr>
        <w:spacing w:line="276" w:lineRule="auto"/>
        <w:ind w:left="284"/>
        <w:jc w:val="both"/>
        <w:rPr>
          <w:rFonts w:ascii="Arial" w:hAnsi="Arial" w:cs="Arial"/>
          <w:color w:val="FF0000"/>
          <w:sz w:val="24"/>
          <w:szCs w:val="24"/>
        </w:rPr>
      </w:pPr>
      <w:r w:rsidRPr="00F7194B">
        <w:rPr>
          <w:rFonts w:ascii="Arial" w:hAnsi="Arial" w:cs="Arial"/>
          <w:sz w:val="24"/>
          <w:szCs w:val="24"/>
        </w:rPr>
        <w:t xml:space="preserve">Podemos observar que el equipo de auditores determinó, que la falta de vigilancia o monitoreo, incluyendo la labor de la auditoría interna, constituye el elemento de mayor representatividad dentro del rubro de controles administrativos inadecuados (con un </w:t>
      </w:r>
      <w:r>
        <w:rPr>
          <w:rFonts w:ascii="Arial" w:hAnsi="Arial" w:cs="Arial"/>
          <w:sz w:val="24"/>
          <w:szCs w:val="24"/>
        </w:rPr>
        <w:t>89</w:t>
      </w:r>
      <w:r w:rsidRPr="00F7194B">
        <w:rPr>
          <w:rFonts w:ascii="Arial" w:hAnsi="Arial" w:cs="Arial"/>
          <w:sz w:val="24"/>
          <w:szCs w:val="24"/>
        </w:rPr>
        <w:t xml:space="preserve"> por ciento del total), seguido de </w:t>
      </w:r>
      <w:r>
        <w:rPr>
          <w:rFonts w:ascii="Arial" w:hAnsi="Arial" w:cs="Arial"/>
          <w:sz w:val="24"/>
          <w:szCs w:val="24"/>
        </w:rPr>
        <w:t>las fallas en el diseño de la asignación de responsabilidades</w:t>
      </w:r>
      <w:r w:rsidRPr="00F7194B">
        <w:rPr>
          <w:rFonts w:ascii="Arial" w:hAnsi="Arial" w:cs="Arial"/>
          <w:sz w:val="24"/>
          <w:szCs w:val="24"/>
        </w:rPr>
        <w:t xml:space="preserve"> (con un </w:t>
      </w:r>
      <w:r>
        <w:rPr>
          <w:rFonts w:ascii="Arial" w:hAnsi="Arial" w:cs="Arial"/>
          <w:sz w:val="24"/>
          <w:szCs w:val="24"/>
        </w:rPr>
        <w:t>6</w:t>
      </w:r>
      <w:r w:rsidRPr="00F7194B">
        <w:rPr>
          <w:rFonts w:ascii="Arial" w:hAnsi="Arial" w:cs="Arial"/>
          <w:sz w:val="24"/>
          <w:szCs w:val="24"/>
        </w:rPr>
        <w:t xml:space="preserve"> por ciento</w:t>
      </w:r>
      <w:r>
        <w:rPr>
          <w:rFonts w:ascii="Arial" w:hAnsi="Arial" w:cs="Arial"/>
          <w:sz w:val="24"/>
          <w:szCs w:val="24"/>
        </w:rPr>
        <w:t>)</w:t>
      </w:r>
      <w:r w:rsidRPr="00F7194B">
        <w:rPr>
          <w:rFonts w:ascii="Arial" w:hAnsi="Arial" w:cs="Arial"/>
          <w:sz w:val="24"/>
          <w:szCs w:val="24"/>
        </w:rPr>
        <w:t>.</w:t>
      </w:r>
    </w:p>
    <w:p w14:paraId="3CAA45E6" w14:textId="77777777" w:rsidR="00BC59AA" w:rsidRPr="00F7194B" w:rsidRDefault="00BC59AA" w:rsidP="00BC59AA">
      <w:pPr>
        <w:spacing w:line="276" w:lineRule="auto"/>
        <w:ind w:left="284"/>
        <w:jc w:val="both"/>
        <w:rPr>
          <w:rFonts w:ascii="Arial" w:hAnsi="Arial" w:cs="Arial"/>
          <w:sz w:val="24"/>
          <w:szCs w:val="24"/>
        </w:rPr>
      </w:pPr>
      <w:r>
        <w:rPr>
          <w:noProof/>
          <w:lang w:eastAsia="es-MX"/>
        </w:rPr>
        <w:lastRenderedPageBreak/>
        <w:drawing>
          <wp:inline distT="0" distB="0" distL="0" distR="0" wp14:anchorId="10312879" wp14:editId="48EA6813">
            <wp:extent cx="5612130" cy="3459480"/>
            <wp:effectExtent l="0" t="0" r="7620" b="7620"/>
            <wp:docPr id="237580970" name="Gráfico 1">
              <a:extLst xmlns:a="http://schemas.openxmlformats.org/drawingml/2006/main">
                <a:ext uri="{FF2B5EF4-FFF2-40B4-BE49-F238E27FC236}">
                  <a16:creationId xmlns:a16="http://schemas.microsoft.com/office/drawing/2014/main" id="{FB257301-68ED-4A2B-BEF8-65648B05E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485A73" w14:textId="77777777" w:rsidR="00BC59AA" w:rsidRPr="00A93C0E" w:rsidRDefault="00BC59AA" w:rsidP="00BC59AA">
      <w:pPr>
        <w:pStyle w:val="Textoindependiente"/>
        <w:spacing w:line="276" w:lineRule="auto"/>
        <w:ind w:left="-76"/>
        <w:jc w:val="center"/>
        <w:rPr>
          <w:noProof/>
          <w:sz w:val="18"/>
          <w:szCs w:val="16"/>
          <w:lang w:eastAsia="es-MX"/>
        </w:rPr>
      </w:pPr>
      <w:r w:rsidRPr="00A93C0E">
        <w:rPr>
          <w:b/>
          <w:noProof/>
          <w:sz w:val="18"/>
          <w:szCs w:val="16"/>
          <w:lang w:eastAsia="es-MX"/>
        </w:rPr>
        <w:t>Gráfica N° 15:</w:t>
      </w:r>
      <w:r w:rsidR="00952E1B" w:rsidRPr="00A93C0E">
        <w:rPr>
          <w:noProof/>
          <w:sz w:val="18"/>
          <w:szCs w:val="16"/>
          <w:lang w:eastAsia="es-MX"/>
        </w:rPr>
        <w:t xml:space="preserve"> Elaboración propia,</w:t>
      </w:r>
      <w:r w:rsidRPr="00A93C0E">
        <w:rPr>
          <w:noProof/>
          <w:sz w:val="18"/>
          <w:szCs w:val="16"/>
          <w:lang w:eastAsia="es-MX"/>
        </w:rPr>
        <w:t xml:space="preserve"> Controles Administrativos Inadecuados.</w:t>
      </w:r>
    </w:p>
    <w:p w14:paraId="51C2DC12" w14:textId="77777777" w:rsidR="00BC59AA" w:rsidRPr="00B92CE4" w:rsidRDefault="00BC59AA" w:rsidP="00BC59AA">
      <w:pPr>
        <w:spacing w:after="0" w:line="276" w:lineRule="auto"/>
        <w:ind w:left="624"/>
        <w:jc w:val="both"/>
        <w:rPr>
          <w:rFonts w:ascii="Arial" w:hAnsi="Arial" w:cs="Arial"/>
          <w:sz w:val="24"/>
          <w:szCs w:val="16"/>
        </w:rPr>
      </w:pPr>
    </w:p>
    <w:p w14:paraId="3B8186C4" w14:textId="77777777" w:rsidR="00602767" w:rsidRPr="00F7194B" w:rsidRDefault="00602767" w:rsidP="00602767">
      <w:pPr>
        <w:spacing w:line="276" w:lineRule="auto"/>
        <w:ind w:left="284"/>
        <w:jc w:val="both"/>
        <w:rPr>
          <w:rFonts w:ascii="Arial" w:hAnsi="Arial" w:cs="Arial"/>
          <w:sz w:val="24"/>
          <w:szCs w:val="24"/>
        </w:rPr>
      </w:pPr>
      <w:r w:rsidRPr="00F7194B">
        <w:rPr>
          <w:rFonts w:ascii="Arial" w:hAnsi="Arial" w:cs="Arial"/>
          <w:sz w:val="24"/>
          <w:szCs w:val="24"/>
        </w:rPr>
        <w:t xml:space="preserve">Desde otra perspectiva, analizando la variable de recurrencia de las problemáticas detectadas en la fiscalización de cuentas públicas anteriores. Se determina, de acuerdo con los resultados expuestos por los equipos auditores, que el </w:t>
      </w:r>
      <w:r>
        <w:rPr>
          <w:rFonts w:ascii="Arial" w:hAnsi="Arial" w:cs="Arial"/>
          <w:sz w:val="24"/>
          <w:szCs w:val="24"/>
        </w:rPr>
        <w:t>54</w:t>
      </w:r>
      <w:r w:rsidRPr="00F7194B">
        <w:rPr>
          <w:rFonts w:ascii="Arial" w:hAnsi="Arial" w:cs="Arial"/>
          <w:sz w:val="24"/>
          <w:szCs w:val="24"/>
        </w:rPr>
        <w:t xml:space="preserve"> por ciento de los hallazgos, han sido observaciones realizadas en auditorías anteriores; los resultados de dicho análisis se muestran en el siguiente cuadro:</w:t>
      </w:r>
    </w:p>
    <w:p w14:paraId="731BDA14" w14:textId="77777777" w:rsidR="00BC59AA" w:rsidRPr="006E45BA" w:rsidRDefault="00BC59AA" w:rsidP="00BC59AA">
      <w:pPr>
        <w:pStyle w:val="Prrafodelista"/>
        <w:spacing w:after="0"/>
        <w:rPr>
          <w:rFonts w:ascii="Arial" w:hAnsi="Arial" w:cs="Arial"/>
          <w:sz w:val="10"/>
          <w:szCs w:val="10"/>
        </w:rPr>
      </w:pPr>
    </w:p>
    <w:tbl>
      <w:tblPr>
        <w:tblStyle w:val="TableNormal"/>
        <w:tblW w:w="9060" w:type="dxa"/>
        <w:jc w:val="right"/>
        <w:tblInd w:w="0" w:type="dxa"/>
        <w:tblLayout w:type="fixed"/>
        <w:tblLook w:val="01E0" w:firstRow="1" w:lastRow="1" w:firstColumn="1" w:lastColumn="1" w:noHBand="0" w:noVBand="0"/>
      </w:tblPr>
      <w:tblGrid>
        <w:gridCol w:w="2268"/>
        <w:gridCol w:w="1842"/>
        <w:gridCol w:w="2552"/>
        <w:gridCol w:w="1559"/>
        <w:gridCol w:w="839"/>
      </w:tblGrid>
      <w:tr w:rsidR="00BC59AA" w:rsidRPr="000F753F" w14:paraId="62EF8480" w14:textId="77777777" w:rsidTr="005E0038">
        <w:trPr>
          <w:trHeight w:val="417"/>
          <w:jc w:val="right"/>
        </w:trPr>
        <w:tc>
          <w:tcPr>
            <w:tcW w:w="9060" w:type="dxa"/>
            <w:gridSpan w:val="5"/>
            <w:tcBorders>
              <w:bottom w:val="single" w:sz="4" w:space="0" w:color="FFFFFF"/>
            </w:tcBorders>
            <w:shd w:val="clear" w:color="auto" w:fill="A5A5A5" w:themeFill="accent3"/>
          </w:tcPr>
          <w:p w14:paraId="0E8A190B" w14:textId="77777777" w:rsidR="00BC59AA" w:rsidRPr="0024327E" w:rsidRDefault="00BC59AA" w:rsidP="005E0038">
            <w:pPr>
              <w:pStyle w:val="TableParagraph"/>
              <w:spacing w:before="144" w:line="276" w:lineRule="auto"/>
              <w:ind w:left="204" w:right="212"/>
              <w:jc w:val="center"/>
              <w:rPr>
                <w:b/>
                <w:color w:val="FFFFFF" w:themeColor="background1"/>
                <w:sz w:val="18"/>
                <w:lang w:val="es-MX"/>
              </w:rPr>
            </w:pPr>
            <w:r w:rsidRPr="0024327E">
              <w:rPr>
                <w:b/>
                <w:color w:val="FFFFFF" w:themeColor="background1"/>
                <w:sz w:val="18"/>
                <w:szCs w:val="24"/>
              </w:rPr>
              <w:t>Recurrencia de las problemáticas identificadas</w:t>
            </w:r>
          </w:p>
        </w:tc>
      </w:tr>
      <w:tr w:rsidR="00BC59AA" w:rsidRPr="000F753F" w14:paraId="2C2C2BBA" w14:textId="77777777" w:rsidTr="005E0038">
        <w:trPr>
          <w:trHeight w:val="1048"/>
          <w:jc w:val="right"/>
        </w:trPr>
        <w:tc>
          <w:tcPr>
            <w:tcW w:w="2268" w:type="dxa"/>
            <w:tcBorders>
              <w:bottom w:val="single" w:sz="4" w:space="0" w:color="FFFFFF"/>
              <w:right w:val="single" w:sz="4" w:space="0" w:color="FFFFFF" w:themeColor="background1"/>
            </w:tcBorders>
            <w:shd w:val="clear" w:color="auto" w:fill="A5A5A5" w:themeFill="accent3"/>
            <w:vAlign w:val="center"/>
          </w:tcPr>
          <w:p w14:paraId="19BB039C" w14:textId="77777777" w:rsidR="00BC59AA" w:rsidRPr="000F753F" w:rsidRDefault="00BC59AA" w:rsidP="005E0038">
            <w:pPr>
              <w:pStyle w:val="TableParagraph"/>
              <w:spacing w:before="144" w:line="276" w:lineRule="auto"/>
              <w:ind w:left="624" w:right="50" w:hanging="413"/>
              <w:jc w:val="center"/>
              <w:rPr>
                <w:b/>
                <w:color w:val="FFFFFF" w:themeColor="background1"/>
                <w:sz w:val="14"/>
                <w:lang w:val="es-MX"/>
              </w:rPr>
            </w:pPr>
            <w:r w:rsidRPr="000F753F">
              <w:rPr>
                <w:b/>
                <w:color w:val="FFFFFF" w:themeColor="background1"/>
                <w:sz w:val="14"/>
                <w:lang w:val="es-MX"/>
              </w:rPr>
              <w:t>Problemáticas Identificadas en las Auditorías</w:t>
            </w:r>
          </w:p>
        </w:tc>
        <w:tc>
          <w:tcPr>
            <w:tcW w:w="1842" w:type="dxa"/>
            <w:tcBorders>
              <w:left w:val="single" w:sz="4" w:space="0" w:color="FFFFFF" w:themeColor="background1"/>
              <w:bottom w:val="single" w:sz="4" w:space="0" w:color="FFFFFF"/>
              <w:right w:val="single" w:sz="6" w:space="0" w:color="FFFFFF"/>
            </w:tcBorders>
            <w:shd w:val="clear" w:color="auto" w:fill="A5A5A5" w:themeFill="accent3"/>
            <w:vAlign w:val="center"/>
          </w:tcPr>
          <w:p w14:paraId="36863ABC" w14:textId="77777777" w:rsidR="00BC59AA" w:rsidRPr="000F753F" w:rsidRDefault="00BC59AA" w:rsidP="005E0038">
            <w:pPr>
              <w:pStyle w:val="TableParagraph"/>
              <w:spacing w:before="142" w:line="276" w:lineRule="auto"/>
              <w:ind w:left="102" w:right="91"/>
              <w:jc w:val="center"/>
              <w:rPr>
                <w:b/>
                <w:color w:val="FFFFFF" w:themeColor="background1"/>
                <w:sz w:val="14"/>
                <w:lang w:val="es-MX"/>
              </w:rPr>
            </w:pPr>
            <w:r w:rsidRPr="000F753F">
              <w:rPr>
                <w:b/>
                <w:color w:val="FFFFFF" w:themeColor="background1"/>
                <w:sz w:val="14"/>
                <w:lang w:val="es-MX"/>
              </w:rPr>
              <w:t>Es Recurrente en las Revisiones Practicadas al Ente Auditado en Cuentas Públicas Anteriores</w:t>
            </w:r>
          </w:p>
        </w:tc>
        <w:tc>
          <w:tcPr>
            <w:tcW w:w="2552" w:type="dxa"/>
            <w:tcBorders>
              <w:left w:val="single" w:sz="6" w:space="0" w:color="FFFFFF"/>
              <w:bottom w:val="single" w:sz="4" w:space="0" w:color="FFFFFF"/>
              <w:right w:val="single" w:sz="6" w:space="0" w:color="FFFFFF"/>
            </w:tcBorders>
            <w:shd w:val="clear" w:color="auto" w:fill="A5A5A5" w:themeFill="accent3"/>
            <w:vAlign w:val="center"/>
          </w:tcPr>
          <w:p w14:paraId="56880793" w14:textId="77777777" w:rsidR="00BC59AA" w:rsidRPr="000F753F" w:rsidRDefault="00BC59AA" w:rsidP="005E0038">
            <w:pPr>
              <w:pStyle w:val="TableParagraph"/>
              <w:spacing w:before="6" w:line="276" w:lineRule="auto"/>
              <w:ind w:left="134" w:right="127" w:hanging="2"/>
              <w:jc w:val="center"/>
              <w:rPr>
                <w:b/>
                <w:color w:val="FFFFFF" w:themeColor="background1"/>
                <w:sz w:val="14"/>
                <w:lang w:val="es-MX"/>
              </w:rPr>
            </w:pPr>
            <w:r w:rsidRPr="000F753F">
              <w:rPr>
                <w:b/>
                <w:color w:val="FFFFFF" w:themeColor="background1"/>
                <w:sz w:val="14"/>
                <w:lang w:val="es-MX"/>
              </w:rPr>
              <w:t>Es una Situación Aislada que no se Vincula con los Resultados Previos de Revisiones Practicadas al Ente Auditado en Cuentas Públicas Anteriores</w:t>
            </w:r>
          </w:p>
        </w:tc>
        <w:tc>
          <w:tcPr>
            <w:tcW w:w="1559" w:type="dxa"/>
            <w:tcBorders>
              <w:left w:val="single" w:sz="6" w:space="0" w:color="FFFFFF"/>
              <w:bottom w:val="single" w:sz="4" w:space="0" w:color="FFFFFF"/>
              <w:right w:val="single" w:sz="6" w:space="0" w:color="FFFFFF"/>
            </w:tcBorders>
            <w:shd w:val="clear" w:color="auto" w:fill="A5A5A5" w:themeFill="accent3"/>
            <w:vAlign w:val="center"/>
          </w:tcPr>
          <w:p w14:paraId="3B9784F8" w14:textId="77777777" w:rsidR="00BC59AA" w:rsidRPr="000F753F" w:rsidRDefault="00BC59AA" w:rsidP="005E0038">
            <w:pPr>
              <w:pStyle w:val="TableParagraph"/>
              <w:spacing w:before="142" w:line="276" w:lineRule="auto"/>
              <w:ind w:left="211" w:right="217" w:firstLine="7"/>
              <w:jc w:val="center"/>
              <w:rPr>
                <w:b/>
                <w:color w:val="FFFFFF" w:themeColor="background1"/>
                <w:sz w:val="14"/>
                <w:lang w:val="es-MX"/>
              </w:rPr>
            </w:pPr>
            <w:r w:rsidRPr="000F753F">
              <w:rPr>
                <w:b/>
                <w:color w:val="FFFFFF" w:themeColor="background1"/>
                <w:sz w:val="14"/>
                <w:lang w:val="es-MX"/>
              </w:rPr>
              <w:t xml:space="preserve">No </w:t>
            </w:r>
            <w:r>
              <w:rPr>
                <w:b/>
                <w:color w:val="FFFFFF" w:themeColor="background1"/>
                <w:sz w:val="14"/>
                <w:lang w:val="es-MX"/>
              </w:rPr>
              <w:t>tengo antecedentes de auditorías previas</w:t>
            </w:r>
          </w:p>
        </w:tc>
        <w:tc>
          <w:tcPr>
            <w:tcW w:w="839" w:type="dxa"/>
            <w:tcBorders>
              <w:left w:val="single" w:sz="6" w:space="0" w:color="FFFFFF"/>
              <w:bottom w:val="single" w:sz="4" w:space="0" w:color="FFFFFF"/>
            </w:tcBorders>
            <w:shd w:val="clear" w:color="auto" w:fill="A5A5A5" w:themeFill="accent3"/>
            <w:vAlign w:val="center"/>
          </w:tcPr>
          <w:p w14:paraId="3ED4ED85" w14:textId="77777777" w:rsidR="00BC59AA" w:rsidRPr="000F753F" w:rsidRDefault="00BC59AA" w:rsidP="005E0038">
            <w:pPr>
              <w:pStyle w:val="TableParagraph"/>
              <w:spacing w:before="144" w:line="276" w:lineRule="auto"/>
              <w:ind w:left="204" w:right="212"/>
              <w:jc w:val="center"/>
              <w:rPr>
                <w:b/>
                <w:color w:val="FFFFFF" w:themeColor="background1"/>
                <w:sz w:val="14"/>
                <w:lang w:val="es-MX"/>
              </w:rPr>
            </w:pPr>
            <w:r w:rsidRPr="000F753F">
              <w:rPr>
                <w:b/>
                <w:color w:val="FFFFFF" w:themeColor="background1"/>
                <w:sz w:val="14"/>
                <w:lang w:val="es-MX"/>
              </w:rPr>
              <w:t>Total</w:t>
            </w:r>
          </w:p>
          <w:p w14:paraId="09A8CF7A" w14:textId="77777777" w:rsidR="00BC59AA" w:rsidRPr="000F753F" w:rsidRDefault="00BC59AA" w:rsidP="005E0038">
            <w:pPr>
              <w:pStyle w:val="TableParagraph"/>
              <w:spacing w:before="92" w:line="276" w:lineRule="auto"/>
              <w:ind w:right="6"/>
              <w:jc w:val="center"/>
              <w:rPr>
                <w:b/>
                <w:color w:val="FFFFFF" w:themeColor="background1"/>
                <w:sz w:val="14"/>
                <w:lang w:val="es-MX"/>
              </w:rPr>
            </w:pPr>
            <w:r w:rsidRPr="000F753F">
              <w:rPr>
                <w:b/>
                <w:color w:val="FFFFFF" w:themeColor="background1"/>
                <w:sz w:val="14"/>
                <w:lang w:val="es-MX"/>
              </w:rPr>
              <w:t>%</w:t>
            </w:r>
          </w:p>
        </w:tc>
      </w:tr>
      <w:tr w:rsidR="00BC59AA" w:rsidRPr="000F753F" w14:paraId="4114DF42" w14:textId="77777777" w:rsidTr="005E0038">
        <w:trPr>
          <w:trHeight w:val="559"/>
          <w:jc w:val="right"/>
        </w:trPr>
        <w:tc>
          <w:tcPr>
            <w:tcW w:w="2268" w:type="dxa"/>
            <w:tcBorders>
              <w:top w:val="single" w:sz="4" w:space="0" w:color="FFFFFF"/>
              <w:right w:val="single" w:sz="4" w:space="0" w:color="FFFFFF"/>
            </w:tcBorders>
            <w:shd w:val="clear" w:color="auto" w:fill="F2F2F2"/>
            <w:vAlign w:val="center"/>
          </w:tcPr>
          <w:p w14:paraId="35963F16" w14:textId="77777777" w:rsidR="00BC59AA" w:rsidRPr="000F753F" w:rsidRDefault="00BC59AA" w:rsidP="005E0038">
            <w:pPr>
              <w:spacing w:line="276" w:lineRule="auto"/>
              <w:rPr>
                <w:rFonts w:ascii="Arial" w:hAnsi="Arial" w:cs="Arial"/>
                <w:sz w:val="16"/>
                <w:szCs w:val="16"/>
                <w:lang w:val="es-MX"/>
              </w:rPr>
            </w:pPr>
            <w:r w:rsidRPr="000F753F">
              <w:rPr>
                <w:rFonts w:ascii="Arial" w:hAnsi="Arial" w:cs="Arial"/>
                <w:sz w:val="16"/>
                <w:szCs w:val="16"/>
                <w:lang w:val="es-MX"/>
              </w:rPr>
              <w:t>Fallas o errores en la gestión administrativa del ente auditado.</w:t>
            </w:r>
          </w:p>
        </w:tc>
        <w:tc>
          <w:tcPr>
            <w:tcW w:w="1842" w:type="dxa"/>
            <w:tcBorders>
              <w:top w:val="single" w:sz="4" w:space="0" w:color="FFFFFF"/>
              <w:left w:val="single" w:sz="4" w:space="0" w:color="FFFFFF"/>
              <w:right w:val="single" w:sz="6" w:space="0" w:color="FFFFFF"/>
              <w:tr2bl w:val="single" w:sz="4" w:space="0" w:color="BFBFBF" w:themeColor="background1" w:themeShade="BF"/>
            </w:tcBorders>
            <w:shd w:val="clear" w:color="auto" w:fill="F2F2F2"/>
            <w:vAlign w:val="center"/>
          </w:tcPr>
          <w:p w14:paraId="5FFEF187"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w:t>
            </w:r>
            <w:r>
              <w:rPr>
                <w:sz w:val="16"/>
                <w:lang w:val="es-MX"/>
              </w:rPr>
              <w:t>93</w:t>
            </w:r>
          </w:p>
          <w:p w14:paraId="5284AD45"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4</w:t>
            </w:r>
            <w:r>
              <w:rPr>
                <w:sz w:val="16"/>
                <w:lang w:val="es-MX"/>
              </w:rPr>
              <w:t>9</w:t>
            </w:r>
            <w:r w:rsidRPr="000F753F">
              <w:rPr>
                <w:sz w:val="16"/>
                <w:lang w:val="es-MX"/>
              </w:rPr>
              <w:t>%</w:t>
            </w:r>
          </w:p>
        </w:tc>
        <w:tc>
          <w:tcPr>
            <w:tcW w:w="2552" w:type="dxa"/>
            <w:tcBorders>
              <w:top w:val="single" w:sz="4" w:space="0" w:color="FFFFFF"/>
              <w:left w:val="single" w:sz="6" w:space="0" w:color="FFFFFF"/>
              <w:right w:val="single" w:sz="6" w:space="0" w:color="FFFFFF"/>
              <w:tr2bl w:val="single" w:sz="4" w:space="0" w:color="BFBFBF" w:themeColor="background1" w:themeShade="BF"/>
            </w:tcBorders>
            <w:shd w:val="clear" w:color="auto" w:fill="F2F2F2"/>
            <w:vAlign w:val="center"/>
          </w:tcPr>
          <w:p w14:paraId="46F8191E"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w:t>
            </w:r>
            <w:r>
              <w:rPr>
                <w:sz w:val="16"/>
                <w:lang w:val="es-MX"/>
              </w:rPr>
              <w:t>37</w:t>
            </w:r>
          </w:p>
          <w:p w14:paraId="36E860B3"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w:t>
            </w:r>
            <w:r>
              <w:rPr>
                <w:sz w:val="16"/>
                <w:lang w:val="es-MX"/>
              </w:rPr>
              <w:t>19</w:t>
            </w:r>
            <w:r w:rsidRPr="000F753F">
              <w:rPr>
                <w:sz w:val="16"/>
                <w:lang w:val="es-MX"/>
              </w:rPr>
              <w:t>%</w:t>
            </w:r>
          </w:p>
        </w:tc>
        <w:tc>
          <w:tcPr>
            <w:tcW w:w="1559" w:type="dxa"/>
            <w:tcBorders>
              <w:top w:val="single" w:sz="4" w:space="0" w:color="FFFFFF"/>
              <w:left w:val="single" w:sz="6" w:space="0" w:color="FFFFFF"/>
              <w:right w:val="single" w:sz="6" w:space="0" w:color="FFFFFF"/>
              <w:tr2bl w:val="single" w:sz="4" w:space="0" w:color="BFBFBF" w:themeColor="background1" w:themeShade="BF"/>
            </w:tcBorders>
            <w:shd w:val="clear" w:color="auto" w:fill="F2F2F2"/>
            <w:vAlign w:val="center"/>
          </w:tcPr>
          <w:p w14:paraId="0BD293D7" w14:textId="77777777" w:rsidR="00BC59AA" w:rsidRPr="000F753F" w:rsidRDefault="00BC59AA" w:rsidP="005E0038">
            <w:pPr>
              <w:pStyle w:val="TableParagraph"/>
              <w:spacing w:line="276" w:lineRule="auto"/>
              <w:ind w:left="288" w:right="280"/>
              <w:rPr>
                <w:sz w:val="16"/>
                <w:lang w:val="es-MX"/>
              </w:rPr>
            </w:pPr>
            <w:r w:rsidRPr="000F753F">
              <w:rPr>
                <w:sz w:val="16"/>
                <w:lang w:val="es-MX"/>
              </w:rPr>
              <w:t xml:space="preserve">   </w:t>
            </w:r>
            <w:r>
              <w:rPr>
                <w:sz w:val="16"/>
                <w:lang w:val="es-MX"/>
              </w:rPr>
              <w:t>26</w:t>
            </w:r>
          </w:p>
          <w:p w14:paraId="287E464B" w14:textId="77777777" w:rsidR="00BC59AA" w:rsidRPr="000F753F" w:rsidRDefault="00BC59AA" w:rsidP="005E0038">
            <w:pPr>
              <w:pStyle w:val="TableParagraph"/>
              <w:spacing w:line="276" w:lineRule="auto"/>
              <w:ind w:left="288" w:right="280"/>
              <w:rPr>
                <w:sz w:val="16"/>
                <w:lang w:val="es-MX"/>
              </w:rPr>
            </w:pPr>
            <w:r w:rsidRPr="000F753F">
              <w:rPr>
                <w:sz w:val="16"/>
                <w:lang w:val="es-MX"/>
              </w:rPr>
              <w:t xml:space="preserve">              </w:t>
            </w:r>
            <w:r>
              <w:rPr>
                <w:sz w:val="16"/>
                <w:lang w:val="es-MX"/>
              </w:rPr>
              <w:t>14</w:t>
            </w:r>
            <w:r w:rsidRPr="000F753F">
              <w:rPr>
                <w:sz w:val="16"/>
                <w:lang w:val="es-MX"/>
              </w:rPr>
              <w:t>%</w:t>
            </w:r>
          </w:p>
        </w:tc>
        <w:tc>
          <w:tcPr>
            <w:tcW w:w="839" w:type="dxa"/>
            <w:tcBorders>
              <w:top w:val="single" w:sz="4" w:space="0" w:color="FFFFFF"/>
              <w:left w:val="single" w:sz="6" w:space="0" w:color="FFFFFF"/>
              <w:tr2bl w:val="single" w:sz="4" w:space="0" w:color="BFBFBF" w:themeColor="background1" w:themeShade="BF"/>
            </w:tcBorders>
            <w:shd w:val="clear" w:color="auto" w:fill="F2F2F2"/>
            <w:vAlign w:val="center"/>
          </w:tcPr>
          <w:p w14:paraId="0F5B8503" w14:textId="77777777" w:rsidR="00BC59AA" w:rsidRPr="000F753F" w:rsidRDefault="00BC59AA" w:rsidP="005E0038">
            <w:pPr>
              <w:pStyle w:val="TableParagraph"/>
              <w:spacing w:line="276" w:lineRule="auto"/>
              <w:rPr>
                <w:sz w:val="16"/>
                <w:lang w:val="es-MX"/>
              </w:rPr>
            </w:pPr>
            <w:r w:rsidRPr="000F753F">
              <w:rPr>
                <w:sz w:val="16"/>
                <w:lang w:val="es-MX"/>
              </w:rPr>
              <w:t xml:space="preserve">  </w:t>
            </w:r>
            <w:r>
              <w:rPr>
                <w:sz w:val="16"/>
                <w:lang w:val="es-MX"/>
              </w:rPr>
              <w:t>156</w:t>
            </w:r>
          </w:p>
          <w:p w14:paraId="450A8ECB" w14:textId="77777777" w:rsidR="00BC59AA" w:rsidRPr="000F753F" w:rsidRDefault="00BC59AA" w:rsidP="005E0038">
            <w:pPr>
              <w:pStyle w:val="TableParagraph"/>
              <w:spacing w:line="276" w:lineRule="auto"/>
              <w:rPr>
                <w:sz w:val="16"/>
                <w:lang w:val="es-MX"/>
              </w:rPr>
            </w:pPr>
            <w:r w:rsidRPr="000F753F">
              <w:rPr>
                <w:sz w:val="16"/>
                <w:lang w:val="es-MX"/>
              </w:rPr>
              <w:t xml:space="preserve">         </w:t>
            </w:r>
            <w:r>
              <w:rPr>
                <w:sz w:val="16"/>
                <w:lang w:val="es-MX"/>
              </w:rPr>
              <w:t>82</w:t>
            </w:r>
            <w:r w:rsidRPr="000F753F">
              <w:rPr>
                <w:sz w:val="16"/>
                <w:lang w:val="es-MX"/>
              </w:rPr>
              <w:t>%</w:t>
            </w:r>
          </w:p>
        </w:tc>
      </w:tr>
      <w:tr w:rsidR="00BC59AA" w:rsidRPr="000F753F" w14:paraId="7684C6A8" w14:textId="77777777" w:rsidTr="005E0038">
        <w:trPr>
          <w:trHeight w:val="313"/>
          <w:jc w:val="right"/>
        </w:trPr>
        <w:tc>
          <w:tcPr>
            <w:tcW w:w="2268" w:type="dxa"/>
            <w:tcBorders>
              <w:right w:val="single" w:sz="4" w:space="0" w:color="FFFFFF"/>
            </w:tcBorders>
            <w:shd w:val="clear" w:color="auto" w:fill="FFFFFF" w:themeFill="background1"/>
            <w:vAlign w:val="center"/>
          </w:tcPr>
          <w:p w14:paraId="58C5B4D3" w14:textId="77777777" w:rsidR="00BC59AA" w:rsidRPr="000F753F" w:rsidRDefault="00BC59AA" w:rsidP="005E0038">
            <w:pPr>
              <w:spacing w:line="276" w:lineRule="auto"/>
              <w:rPr>
                <w:rFonts w:ascii="Arial" w:hAnsi="Arial" w:cs="Arial"/>
                <w:sz w:val="16"/>
                <w:szCs w:val="16"/>
                <w:lang w:val="es-MX"/>
              </w:rPr>
            </w:pPr>
            <w:r w:rsidRPr="000F753F">
              <w:rPr>
                <w:rFonts w:ascii="Arial" w:hAnsi="Arial" w:cs="Arial"/>
                <w:sz w:val="16"/>
                <w:szCs w:val="16"/>
                <w:lang w:val="es-MX"/>
              </w:rPr>
              <w:t>Incumplimiento de metas y objetivos de fondo, programas o políticas públicas.</w:t>
            </w:r>
          </w:p>
        </w:tc>
        <w:tc>
          <w:tcPr>
            <w:tcW w:w="1842" w:type="dxa"/>
            <w:tcBorders>
              <w:left w:val="single" w:sz="4" w:space="0" w:color="FFFFFF"/>
              <w:right w:val="single" w:sz="6" w:space="0" w:color="FFFFFF"/>
              <w:tr2bl w:val="single" w:sz="4" w:space="0" w:color="BFBFBF" w:themeColor="background1" w:themeShade="BF"/>
            </w:tcBorders>
            <w:shd w:val="clear" w:color="auto" w:fill="FFFFFF" w:themeFill="background1"/>
            <w:vAlign w:val="center"/>
          </w:tcPr>
          <w:p w14:paraId="33B6F84A" w14:textId="77777777" w:rsidR="00BC59AA" w:rsidRPr="00664E2C" w:rsidRDefault="00BC59AA" w:rsidP="005E0038">
            <w:pPr>
              <w:pStyle w:val="TableParagraph"/>
              <w:spacing w:line="276" w:lineRule="auto"/>
              <w:ind w:left="156"/>
              <w:rPr>
                <w:rFonts w:eastAsiaTheme="minorHAnsi"/>
                <w:sz w:val="16"/>
                <w:szCs w:val="16"/>
                <w:lang w:val="es-MX"/>
              </w:rPr>
            </w:pPr>
            <w:r w:rsidRPr="00664E2C">
              <w:rPr>
                <w:rFonts w:eastAsiaTheme="minorHAnsi"/>
                <w:sz w:val="16"/>
                <w:szCs w:val="16"/>
                <w:lang w:val="es-MX"/>
              </w:rPr>
              <w:t xml:space="preserve">            </w:t>
            </w:r>
            <w:r>
              <w:rPr>
                <w:rFonts w:eastAsiaTheme="minorHAnsi"/>
                <w:sz w:val="16"/>
                <w:szCs w:val="16"/>
                <w:lang w:val="es-MX"/>
              </w:rPr>
              <w:t>6</w:t>
            </w:r>
          </w:p>
          <w:p w14:paraId="0D600F78" w14:textId="77777777" w:rsidR="00BC59AA" w:rsidRPr="00664E2C" w:rsidRDefault="00BC59AA" w:rsidP="005E0038">
            <w:pPr>
              <w:pStyle w:val="TableParagraph"/>
              <w:spacing w:line="276" w:lineRule="auto"/>
              <w:ind w:left="156"/>
              <w:rPr>
                <w:rFonts w:eastAsiaTheme="minorHAnsi"/>
                <w:sz w:val="16"/>
                <w:szCs w:val="16"/>
                <w:lang w:val="es-MX"/>
              </w:rPr>
            </w:pPr>
            <w:r w:rsidRPr="00664E2C">
              <w:rPr>
                <w:rFonts w:eastAsiaTheme="minorHAnsi"/>
                <w:sz w:val="16"/>
                <w:szCs w:val="16"/>
                <w:lang w:val="es-MX"/>
              </w:rPr>
              <w:t xml:space="preserve">                      </w:t>
            </w:r>
            <w:r>
              <w:rPr>
                <w:rFonts w:eastAsiaTheme="minorHAnsi"/>
                <w:sz w:val="16"/>
                <w:szCs w:val="16"/>
                <w:lang w:val="es-MX"/>
              </w:rPr>
              <w:t>5</w:t>
            </w:r>
            <w:r w:rsidRPr="00664E2C">
              <w:rPr>
                <w:rFonts w:eastAsiaTheme="minorHAnsi"/>
                <w:sz w:val="16"/>
                <w:szCs w:val="16"/>
                <w:lang w:val="es-MX"/>
              </w:rPr>
              <w:t>%</w:t>
            </w:r>
          </w:p>
        </w:tc>
        <w:tc>
          <w:tcPr>
            <w:tcW w:w="2552" w:type="dxa"/>
            <w:tcBorders>
              <w:left w:val="single" w:sz="6" w:space="0" w:color="FFFFFF"/>
              <w:right w:val="single" w:sz="6" w:space="0" w:color="FFFFFF"/>
              <w:tr2bl w:val="single" w:sz="4" w:space="0" w:color="BFBFBF" w:themeColor="background1" w:themeShade="BF"/>
            </w:tcBorders>
            <w:shd w:val="clear" w:color="auto" w:fill="FFFFFF" w:themeFill="background1"/>
            <w:vAlign w:val="center"/>
          </w:tcPr>
          <w:p w14:paraId="393E273E" w14:textId="77777777" w:rsidR="00BC59AA" w:rsidRPr="00664E2C" w:rsidRDefault="00BC59AA" w:rsidP="005E0038">
            <w:pPr>
              <w:pStyle w:val="TableParagraph"/>
              <w:spacing w:line="276" w:lineRule="auto"/>
              <w:ind w:left="156"/>
              <w:rPr>
                <w:rFonts w:eastAsiaTheme="minorHAnsi"/>
                <w:sz w:val="16"/>
                <w:szCs w:val="16"/>
                <w:lang w:val="es-MX"/>
              </w:rPr>
            </w:pPr>
            <w:r w:rsidRPr="00664E2C">
              <w:rPr>
                <w:rFonts w:eastAsiaTheme="minorHAnsi"/>
                <w:sz w:val="16"/>
                <w:szCs w:val="16"/>
                <w:lang w:val="es-MX"/>
              </w:rPr>
              <w:t xml:space="preserve">                 </w:t>
            </w:r>
            <w:r>
              <w:rPr>
                <w:rFonts w:eastAsiaTheme="minorHAnsi"/>
                <w:sz w:val="16"/>
                <w:szCs w:val="16"/>
                <w:lang w:val="es-MX"/>
              </w:rPr>
              <w:t>13</w:t>
            </w:r>
          </w:p>
          <w:p w14:paraId="2074354A" w14:textId="77777777" w:rsidR="00BC59AA" w:rsidRPr="00664E2C" w:rsidRDefault="00BC59AA" w:rsidP="005E0038">
            <w:pPr>
              <w:pStyle w:val="TableParagraph"/>
              <w:spacing w:line="276" w:lineRule="auto"/>
              <w:ind w:left="156"/>
              <w:rPr>
                <w:rFonts w:eastAsiaTheme="minorHAnsi"/>
                <w:sz w:val="16"/>
                <w:szCs w:val="16"/>
                <w:lang w:val="es-MX"/>
              </w:rPr>
            </w:pPr>
            <w:r w:rsidRPr="00664E2C">
              <w:rPr>
                <w:rFonts w:eastAsiaTheme="minorHAnsi"/>
                <w:sz w:val="16"/>
                <w:szCs w:val="16"/>
                <w:lang w:val="es-MX"/>
              </w:rPr>
              <w:t xml:space="preserve">                              </w:t>
            </w:r>
            <w:r>
              <w:rPr>
                <w:rFonts w:eastAsiaTheme="minorHAnsi"/>
                <w:sz w:val="16"/>
                <w:szCs w:val="16"/>
                <w:lang w:val="es-MX"/>
              </w:rPr>
              <w:t>7</w:t>
            </w:r>
            <w:r w:rsidRPr="00664E2C">
              <w:rPr>
                <w:rFonts w:eastAsiaTheme="minorHAnsi"/>
                <w:sz w:val="16"/>
                <w:szCs w:val="16"/>
                <w:lang w:val="es-MX"/>
              </w:rPr>
              <w:t>%</w:t>
            </w:r>
          </w:p>
        </w:tc>
        <w:tc>
          <w:tcPr>
            <w:tcW w:w="1559" w:type="dxa"/>
            <w:tcBorders>
              <w:left w:val="single" w:sz="6" w:space="0" w:color="FFFFFF"/>
              <w:right w:val="single" w:sz="6" w:space="0" w:color="FFFFFF"/>
              <w:tr2bl w:val="single" w:sz="4" w:space="0" w:color="BFBFBF" w:themeColor="background1" w:themeShade="BF"/>
            </w:tcBorders>
            <w:shd w:val="clear" w:color="auto" w:fill="FFFFFF" w:themeFill="background1"/>
            <w:vAlign w:val="center"/>
          </w:tcPr>
          <w:p w14:paraId="252D2177" w14:textId="77777777" w:rsidR="00BC59AA" w:rsidRPr="00664E2C" w:rsidRDefault="00BC59AA" w:rsidP="005E0038">
            <w:pPr>
              <w:pStyle w:val="TableParagraph"/>
              <w:spacing w:line="276" w:lineRule="auto"/>
              <w:ind w:left="288" w:right="280"/>
              <w:rPr>
                <w:rFonts w:eastAsiaTheme="minorHAnsi"/>
                <w:sz w:val="16"/>
                <w:szCs w:val="16"/>
                <w:lang w:val="es-MX"/>
              </w:rPr>
            </w:pPr>
            <w:r w:rsidRPr="00664E2C">
              <w:rPr>
                <w:rFonts w:eastAsiaTheme="minorHAnsi"/>
                <w:sz w:val="16"/>
                <w:szCs w:val="16"/>
                <w:lang w:val="es-MX"/>
              </w:rPr>
              <w:t xml:space="preserve">   3</w:t>
            </w:r>
          </w:p>
          <w:p w14:paraId="4F6993F1" w14:textId="77777777" w:rsidR="00BC59AA" w:rsidRPr="00664E2C" w:rsidRDefault="00BC59AA" w:rsidP="005E0038">
            <w:pPr>
              <w:pStyle w:val="TableParagraph"/>
              <w:spacing w:line="276" w:lineRule="auto"/>
              <w:ind w:left="288" w:right="280"/>
              <w:rPr>
                <w:rFonts w:eastAsiaTheme="minorHAnsi"/>
                <w:sz w:val="16"/>
                <w:szCs w:val="16"/>
                <w:lang w:val="es-MX"/>
              </w:rPr>
            </w:pPr>
            <w:r w:rsidRPr="00664E2C">
              <w:rPr>
                <w:rFonts w:eastAsiaTheme="minorHAnsi"/>
                <w:sz w:val="16"/>
                <w:szCs w:val="16"/>
                <w:lang w:val="es-MX"/>
              </w:rPr>
              <w:t xml:space="preserve">                </w:t>
            </w:r>
            <w:r>
              <w:rPr>
                <w:rFonts w:eastAsiaTheme="minorHAnsi"/>
                <w:sz w:val="16"/>
                <w:szCs w:val="16"/>
                <w:lang w:val="es-MX"/>
              </w:rPr>
              <w:t>2</w:t>
            </w:r>
            <w:r w:rsidRPr="00664E2C">
              <w:rPr>
                <w:rFonts w:eastAsiaTheme="minorHAnsi"/>
                <w:sz w:val="16"/>
                <w:szCs w:val="16"/>
                <w:lang w:val="es-MX"/>
              </w:rPr>
              <w:t xml:space="preserve">%  </w:t>
            </w:r>
          </w:p>
        </w:tc>
        <w:tc>
          <w:tcPr>
            <w:tcW w:w="839" w:type="dxa"/>
            <w:tcBorders>
              <w:left w:val="single" w:sz="6" w:space="0" w:color="FFFFFF"/>
              <w:tr2bl w:val="single" w:sz="4" w:space="0" w:color="BFBFBF" w:themeColor="background1" w:themeShade="BF"/>
            </w:tcBorders>
            <w:shd w:val="clear" w:color="auto" w:fill="FFFFFF" w:themeFill="background1"/>
            <w:vAlign w:val="center"/>
          </w:tcPr>
          <w:p w14:paraId="205D69DB" w14:textId="77777777" w:rsidR="00BC59AA" w:rsidRPr="00664E2C" w:rsidRDefault="00BC59AA" w:rsidP="005E0038">
            <w:pPr>
              <w:pStyle w:val="TableParagraph"/>
              <w:spacing w:line="276" w:lineRule="auto"/>
              <w:rPr>
                <w:rFonts w:eastAsiaTheme="minorHAnsi"/>
                <w:sz w:val="16"/>
                <w:szCs w:val="16"/>
                <w:lang w:val="es-MX"/>
              </w:rPr>
            </w:pPr>
            <w:r w:rsidRPr="00664E2C">
              <w:rPr>
                <w:rFonts w:eastAsiaTheme="minorHAnsi"/>
                <w:sz w:val="16"/>
                <w:szCs w:val="16"/>
                <w:lang w:val="es-MX"/>
              </w:rPr>
              <w:t xml:space="preserve">     2</w:t>
            </w:r>
            <w:r>
              <w:rPr>
                <w:rFonts w:eastAsiaTheme="minorHAnsi"/>
                <w:sz w:val="16"/>
                <w:szCs w:val="16"/>
                <w:lang w:val="es-MX"/>
              </w:rPr>
              <w:t>2</w:t>
            </w:r>
          </w:p>
          <w:p w14:paraId="3AB2C037" w14:textId="77777777" w:rsidR="00BC59AA" w:rsidRPr="00664E2C" w:rsidRDefault="00BC59AA" w:rsidP="005E0038">
            <w:pPr>
              <w:pStyle w:val="TableParagraph"/>
              <w:spacing w:line="276" w:lineRule="auto"/>
              <w:rPr>
                <w:rFonts w:eastAsiaTheme="minorHAnsi"/>
                <w:sz w:val="16"/>
                <w:szCs w:val="16"/>
                <w:lang w:val="es-MX"/>
              </w:rPr>
            </w:pPr>
            <w:r w:rsidRPr="00664E2C">
              <w:rPr>
                <w:rFonts w:eastAsiaTheme="minorHAnsi"/>
                <w:sz w:val="16"/>
                <w:szCs w:val="16"/>
                <w:lang w:val="es-MX"/>
              </w:rPr>
              <w:t xml:space="preserve">           1</w:t>
            </w:r>
            <w:r>
              <w:rPr>
                <w:rFonts w:eastAsiaTheme="minorHAnsi"/>
                <w:sz w:val="16"/>
                <w:szCs w:val="16"/>
                <w:lang w:val="es-MX"/>
              </w:rPr>
              <w:t>2</w:t>
            </w:r>
            <w:r w:rsidRPr="00664E2C">
              <w:rPr>
                <w:rFonts w:eastAsiaTheme="minorHAnsi"/>
                <w:sz w:val="16"/>
                <w:szCs w:val="16"/>
                <w:lang w:val="es-MX"/>
              </w:rPr>
              <w:t>%</w:t>
            </w:r>
          </w:p>
        </w:tc>
      </w:tr>
      <w:tr w:rsidR="00BC59AA" w:rsidRPr="000F753F" w14:paraId="5C1A6D5C" w14:textId="77777777" w:rsidTr="005E0038">
        <w:trPr>
          <w:trHeight w:val="455"/>
          <w:jc w:val="right"/>
        </w:trPr>
        <w:tc>
          <w:tcPr>
            <w:tcW w:w="2268" w:type="dxa"/>
            <w:tcBorders>
              <w:right w:val="single" w:sz="4" w:space="0" w:color="FFFFFF"/>
            </w:tcBorders>
            <w:shd w:val="clear" w:color="auto" w:fill="F2F2F2"/>
            <w:vAlign w:val="center"/>
          </w:tcPr>
          <w:p w14:paraId="5EC62293" w14:textId="77777777" w:rsidR="00BC59AA" w:rsidRPr="000F753F" w:rsidRDefault="00BC59AA" w:rsidP="005E0038">
            <w:pPr>
              <w:spacing w:line="276" w:lineRule="auto"/>
              <w:rPr>
                <w:rFonts w:ascii="Arial" w:hAnsi="Arial" w:cs="Arial"/>
                <w:sz w:val="16"/>
                <w:szCs w:val="16"/>
                <w:lang w:val="es-MX"/>
              </w:rPr>
            </w:pPr>
            <w:r w:rsidRPr="000F753F">
              <w:rPr>
                <w:rFonts w:ascii="Arial" w:hAnsi="Arial" w:cs="Arial"/>
                <w:sz w:val="16"/>
                <w:szCs w:val="16"/>
                <w:lang w:val="es-MX"/>
              </w:rPr>
              <w:t>Incorrecta aplicación de recursos.</w:t>
            </w:r>
          </w:p>
        </w:tc>
        <w:tc>
          <w:tcPr>
            <w:tcW w:w="1842" w:type="dxa"/>
            <w:tcBorders>
              <w:left w:val="single" w:sz="4" w:space="0" w:color="FFFFFF"/>
              <w:right w:val="single" w:sz="6" w:space="0" w:color="FFFFFF"/>
              <w:tr2bl w:val="single" w:sz="4" w:space="0" w:color="BFBFBF" w:themeColor="background1" w:themeShade="BF"/>
            </w:tcBorders>
            <w:shd w:val="clear" w:color="auto" w:fill="F2F2F2"/>
            <w:vAlign w:val="center"/>
          </w:tcPr>
          <w:p w14:paraId="722951DE"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w:t>
            </w:r>
            <w:r>
              <w:rPr>
                <w:sz w:val="16"/>
                <w:lang w:val="es-MX"/>
              </w:rPr>
              <w:t>3</w:t>
            </w:r>
          </w:p>
          <w:p w14:paraId="3636A424"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w:t>
            </w:r>
            <w:r>
              <w:rPr>
                <w:sz w:val="16"/>
                <w:lang w:val="es-MX"/>
              </w:rPr>
              <w:t>2</w:t>
            </w:r>
            <w:r w:rsidRPr="000F753F">
              <w:rPr>
                <w:sz w:val="16"/>
                <w:lang w:val="es-MX"/>
              </w:rPr>
              <w:t>%</w:t>
            </w:r>
          </w:p>
        </w:tc>
        <w:tc>
          <w:tcPr>
            <w:tcW w:w="2552" w:type="dxa"/>
            <w:tcBorders>
              <w:left w:val="single" w:sz="6" w:space="0" w:color="FFFFFF"/>
              <w:right w:val="single" w:sz="6" w:space="0" w:color="FFFFFF"/>
              <w:tr2bl w:val="single" w:sz="4" w:space="0" w:color="BFBFBF" w:themeColor="background1" w:themeShade="BF"/>
            </w:tcBorders>
            <w:shd w:val="clear" w:color="auto" w:fill="F2F2F2"/>
            <w:vAlign w:val="center"/>
          </w:tcPr>
          <w:p w14:paraId="6943C188"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w:t>
            </w:r>
            <w:r>
              <w:rPr>
                <w:sz w:val="16"/>
                <w:lang w:val="es-MX"/>
              </w:rPr>
              <w:t>6</w:t>
            </w:r>
          </w:p>
          <w:p w14:paraId="6764710B"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w:t>
            </w:r>
            <w:r>
              <w:rPr>
                <w:sz w:val="16"/>
                <w:lang w:val="es-MX"/>
              </w:rPr>
              <w:t>3</w:t>
            </w:r>
            <w:r w:rsidRPr="000F753F">
              <w:rPr>
                <w:sz w:val="16"/>
                <w:lang w:val="es-MX"/>
              </w:rPr>
              <w:t>%</w:t>
            </w:r>
          </w:p>
        </w:tc>
        <w:tc>
          <w:tcPr>
            <w:tcW w:w="1559" w:type="dxa"/>
            <w:tcBorders>
              <w:left w:val="single" w:sz="6" w:space="0" w:color="FFFFFF"/>
              <w:right w:val="single" w:sz="6" w:space="0" w:color="FFFFFF"/>
              <w:tr2bl w:val="single" w:sz="4" w:space="0" w:color="BFBFBF" w:themeColor="background1" w:themeShade="BF"/>
            </w:tcBorders>
            <w:shd w:val="clear" w:color="auto" w:fill="F2F2F2"/>
            <w:vAlign w:val="center"/>
          </w:tcPr>
          <w:p w14:paraId="1351AFC1" w14:textId="77777777" w:rsidR="00BC59AA" w:rsidRPr="000F753F" w:rsidRDefault="00BC59AA" w:rsidP="005E0038">
            <w:pPr>
              <w:pStyle w:val="TableParagraph"/>
              <w:spacing w:line="276" w:lineRule="auto"/>
              <w:ind w:left="288" w:right="280"/>
              <w:rPr>
                <w:sz w:val="16"/>
                <w:lang w:val="es-MX"/>
              </w:rPr>
            </w:pPr>
            <w:r w:rsidRPr="000F753F">
              <w:rPr>
                <w:sz w:val="16"/>
                <w:lang w:val="es-MX"/>
              </w:rPr>
              <w:t xml:space="preserve">    </w:t>
            </w:r>
            <w:r>
              <w:rPr>
                <w:sz w:val="16"/>
                <w:lang w:val="es-MX"/>
              </w:rPr>
              <w:t>2</w:t>
            </w:r>
          </w:p>
          <w:p w14:paraId="3FD04326" w14:textId="77777777" w:rsidR="00BC59AA" w:rsidRPr="000F753F" w:rsidRDefault="00BC59AA" w:rsidP="005E0038">
            <w:pPr>
              <w:pStyle w:val="TableParagraph"/>
              <w:spacing w:line="276" w:lineRule="auto"/>
              <w:ind w:left="288" w:right="280"/>
              <w:rPr>
                <w:sz w:val="16"/>
                <w:lang w:val="es-MX"/>
              </w:rPr>
            </w:pPr>
            <w:r w:rsidRPr="000F753F">
              <w:rPr>
                <w:sz w:val="16"/>
                <w:lang w:val="es-MX"/>
              </w:rPr>
              <w:t xml:space="preserve">                </w:t>
            </w:r>
            <w:r>
              <w:rPr>
                <w:sz w:val="16"/>
                <w:lang w:val="es-MX"/>
              </w:rPr>
              <w:t>1</w:t>
            </w:r>
            <w:r w:rsidRPr="000F753F">
              <w:rPr>
                <w:sz w:val="16"/>
                <w:lang w:val="es-MX"/>
              </w:rPr>
              <w:t>%</w:t>
            </w:r>
          </w:p>
        </w:tc>
        <w:tc>
          <w:tcPr>
            <w:tcW w:w="839" w:type="dxa"/>
            <w:tcBorders>
              <w:left w:val="single" w:sz="6" w:space="0" w:color="FFFFFF"/>
              <w:tr2bl w:val="single" w:sz="4" w:space="0" w:color="BFBFBF" w:themeColor="background1" w:themeShade="BF"/>
            </w:tcBorders>
            <w:shd w:val="clear" w:color="auto" w:fill="F2F2F2"/>
            <w:vAlign w:val="center"/>
          </w:tcPr>
          <w:p w14:paraId="33ACDFF3" w14:textId="77777777" w:rsidR="00BC59AA" w:rsidRPr="000F753F" w:rsidRDefault="00BC59AA" w:rsidP="005E0038">
            <w:pPr>
              <w:pStyle w:val="TableParagraph"/>
              <w:spacing w:line="276" w:lineRule="auto"/>
              <w:rPr>
                <w:sz w:val="16"/>
                <w:lang w:val="es-MX"/>
              </w:rPr>
            </w:pPr>
            <w:r w:rsidRPr="000F753F">
              <w:rPr>
                <w:sz w:val="16"/>
                <w:lang w:val="es-MX"/>
              </w:rPr>
              <w:t xml:space="preserve">     </w:t>
            </w:r>
            <w:r>
              <w:rPr>
                <w:sz w:val="16"/>
                <w:lang w:val="es-MX"/>
              </w:rPr>
              <w:t>11</w:t>
            </w:r>
          </w:p>
          <w:p w14:paraId="0A182A46" w14:textId="77777777" w:rsidR="00BC59AA" w:rsidRPr="000F753F" w:rsidRDefault="00BC59AA" w:rsidP="005E0038">
            <w:pPr>
              <w:pStyle w:val="TableParagraph"/>
              <w:spacing w:line="276" w:lineRule="auto"/>
              <w:rPr>
                <w:sz w:val="16"/>
                <w:lang w:val="es-MX"/>
              </w:rPr>
            </w:pPr>
            <w:r w:rsidRPr="000F753F">
              <w:rPr>
                <w:sz w:val="16"/>
                <w:lang w:val="es-MX"/>
              </w:rPr>
              <w:t xml:space="preserve">          </w:t>
            </w:r>
            <w:r>
              <w:rPr>
                <w:sz w:val="16"/>
                <w:lang w:val="es-MX"/>
              </w:rPr>
              <w:t>6</w:t>
            </w:r>
            <w:r w:rsidRPr="000F753F">
              <w:rPr>
                <w:sz w:val="16"/>
                <w:lang w:val="es-MX"/>
              </w:rPr>
              <w:t>%</w:t>
            </w:r>
          </w:p>
        </w:tc>
      </w:tr>
      <w:tr w:rsidR="00BC59AA" w:rsidRPr="000F753F" w14:paraId="57531C59" w14:textId="77777777" w:rsidTr="005E0038">
        <w:trPr>
          <w:trHeight w:val="533"/>
          <w:jc w:val="right"/>
        </w:trPr>
        <w:tc>
          <w:tcPr>
            <w:tcW w:w="2268" w:type="dxa"/>
            <w:vAlign w:val="center"/>
          </w:tcPr>
          <w:p w14:paraId="7CE24985" w14:textId="77777777" w:rsidR="00BC59AA" w:rsidRPr="000F753F" w:rsidRDefault="00BC59AA" w:rsidP="005E0038">
            <w:pPr>
              <w:spacing w:line="276" w:lineRule="auto"/>
              <w:rPr>
                <w:rFonts w:ascii="Arial" w:hAnsi="Arial" w:cs="Arial"/>
                <w:sz w:val="16"/>
                <w:szCs w:val="16"/>
                <w:lang w:val="es-MX"/>
              </w:rPr>
            </w:pPr>
            <w:r w:rsidRPr="000F753F">
              <w:rPr>
                <w:rFonts w:ascii="Arial" w:hAnsi="Arial" w:cs="Arial"/>
                <w:sz w:val="16"/>
                <w:szCs w:val="16"/>
                <w:lang w:val="es-MX"/>
              </w:rPr>
              <w:t>Inadecua captación de recursos públicos.</w:t>
            </w:r>
          </w:p>
        </w:tc>
        <w:tc>
          <w:tcPr>
            <w:tcW w:w="1842" w:type="dxa"/>
            <w:tcBorders>
              <w:right w:val="single" w:sz="6" w:space="0" w:color="FFFFFF"/>
              <w:tr2bl w:val="single" w:sz="4" w:space="0" w:color="BFBFBF" w:themeColor="background1" w:themeShade="BF"/>
            </w:tcBorders>
            <w:vAlign w:val="center"/>
          </w:tcPr>
          <w:p w14:paraId="102B7120"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w:t>
            </w:r>
            <w:r>
              <w:rPr>
                <w:sz w:val="16"/>
                <w:lang w:val="es-MX"/>
              </w:rPr>
              <w:t>2</w:t>
            </w:r>
          </w:p>
          <w:p w14:paraId="6D9F8B33"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w:t>
            </w:r>
            <w:r>
              <w:rPr>
                <w:sz w:val="16"/>
                <w:lang w:val="es-MX"/>
              </w:rPr>
              <w:t>1</w:t>
            </w:r>
            <w:r w:rsidRPr="000F753F">
              <w:rPr>
                <w:sz w:val="16"/>
                <w:lang w:val="es-MX"/>
              </w:rPr>
              <w:t>%</w:t>
            </w:r>
          </w:p>
        </w:tc>
        <w:tc>
          <w:tcPr>
            <w:tcW w:w="2552" w:type="dxa"/>
            <w:tcBorders>
              <w:left w:val="single" w:sz="6" w:space="0" w:color="FFFFFF"/>
              <w:right w:val="single" w:sz="6" w:space="0" w:color="FFFFFF"/>
              <w:tr2bl w:val="single" w:sz="4" w:space="0" w:color="BFBFBF" w:themeColor="background1" w:themeShade="BF"/>
            </w:tcBorders>
            <w:vAlign w:val="center"/>
          </w:tcPr>
          <w:p w14:paraId="1CAC14AC"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0</w:t>
            </w:r>
          </w:p>
          <w:p w14:paraId="10A1C8C1" w14:textId="77777777" w:rsidR="00BC59AA" w:rsidRPr="000F753F" w:rsidRDefault="00BC59AA" w:rsidP="005E0038">
            <w:pPr>
              <w:pStyle w:val="TableParagraph"/>
              <w:spacing w:line="276" w:lineRule="auto"/>
              <w:ind w:left="156"/>
              <w:rPr>
                <w:sz w:val="16"/>
                <w:lang w:val="es-MX"/>
              </w:rPr>
            </w:pPr>
            <w:r w:rsidRPr="000F753F">
              <w:rPr>
                <w:sz w:val="16"/>
                <w:lang w:val="es-MX"/>
              </w:rPr>
              <w:t xml:space="preserve">                              0%</w:t>
            </w:r>
          </w:p>
        </w:tc>
        <w:tc>
          <w:tcPr>
            <w:tcW w:w="1559" w:type="dxa"/>
            <w:tcBorders>
              <w:left w:val="single" w:sz="6" w:space="0" w:color="FFFFFF"/>
              <w:right w:val="single" w:sz="6" w:space="0" w:color="FFFFFF"/>
              <w:tr2bl w:val="single" w:sz="4" w:space="0" w:color="BFBFBF" w:themeColor="background1" w:themeShade="BF"/>
            </w:tcBorders>
            <w:vAlign w:val="center"/>
          </w:tcPr>
          <w:p w14:paraId="299F456B" w14:textId="77777777" w:rsidR="00BC59AA" w:rsidRPr="000F753F" w:rsidRDefault="00BC59AA" w:rsidP="005E0038">
            <w:pPr>
              <w:pStyle w:val="TableParagraph"/>
              <w:spacing w:line="276" w:lineRule="auto"/>
              <w:ind w:left="288" w:right="280"/>
              <w:rPr>
                <w:sz w:val="16"/>
                <w:lang w:val="es-MX"/>
              </w:rPr>
            </w:pPr>
            <w:r w:rsidRPr="000F753F">
              <w:rPr>
                <w:sz w:val="16"/>
                <w:lang w:val="es-MX"/>
              </w:rPr>
              <w:t xml:space="preserve">     </w:t>
            </w:r>
            <w:r>
              <w:rPr>
                <w:sz w:val="16"/>
                <w:lang w:val="es-MX"/>
              </w:rPr>
              <w:t>0</w:t>
            </w:r>
          </w:p>
          <w:p w14:paraId="5E36E147" w14:textId="77777777" w:rsidR="00BC59AA" w:rsidRPr="000F753F" w:rsidRDefault="00BC59AA" w:rsidP="005E0038">
            <w:pPr>
              <w:pStyle w:val="TableParagraph"/>
              <w:spacing w:line="276" w:lineRule="auto"/>
              <w:ind w:left="288" w:right="280"/>
              <w:rPr>
                <w:sz w:val="16"/>
                <w:lang w:val="es-MX"/>
              </w:rPr>
            </w:pPr>
            <w:r w:rsidRPr="000F753F">
              <w:rPr>
                <w:sz w:val="16"/>
                <w:lang w:val="es-MX"/>
              </w:rPr>
              <w:t xml:space="preserve">                </w:t>
            </w:r>
            <w:r>
              <w:rPr>
                <w:sz w:val="16"/>
                <w:lang w:val="es-MX"/>
              </w:rPr>
              <w:t>0</w:t>
            </w:r>
            <w:r w:rsidRPr="000F753F">
              <w:rPr>
                <w:sz w:val="16"/>
                <w:lang w:val="es-MX"/>
              </w:rPr>
              <w:t>%</w:t>
            </w:r>
          </w:p>
        </w:tc>
        <w:tc>
          <w:tcPr>
            <w:tcW w:w="839" w:type="dxa"/>
            <w:tcBorders>
              <w:left w:val="single" w:sz="6" w:space="0" w:color="FFFFFF"/>
              <w:tr2bl w:val="single" w:sz="4" w:space="0" w:color="BFBFBF" w:themeColor="background1" w:themeShade="BF"/>
            </w:tcBorders>
            <w:vAlign w:val="center"/>
          </w:tcPr>
          <w:p w14:paraId="7A6D3E9A" w14:textId="77777777" w:rsidR="00BC59AA" w:rsidRPr="000F753F" w:rsidRDefault="00BC59AA" w:rsidP="005E0038">
            <w:pPr>
              <w:pStyle w:val="TableParagraph"/>
              <w:spacing w:line="276" w:lineRule="auto"/>
              <w:rPr>
                <w:sz w:val="16"/>
                <w:lang w:val="es-MX"/>
              </w:rPr>
            </w:pPr>
            <w:r w:rsidRPr="000F753F">
              <w:rPr>
                <w:sz w:val="16"/>
                <w:lang w:val="es-MX"/>
              </w:rPr>
              <w:t xml:space="preserve">       </w:t>
            </w:r>
            <w:r>
              <w:rPr>
                <w:sz w:val="16"/>
                <w:lang w:val="es-MX"/>
              </w:rPr>
              <w:t>2</w:t>
            </w:r>
          </w:p>
          <w:p w14:paraId="4C0783AB" w14:textId="77777777" w:rsidR="00BC59AA" w:rsidRPr="000F753F" w:rsidRDefault="00BC59AA" w:rsidP="005E0038">
            <w:pPr>
              <w:pStyle w:val="TableParagraph"/>
              <w:spacing w:line="276" w:lineRule="auto"/>
              <w:rPr>
                <w:sz w:val="16"/>
                <w:lang w:val="es-MX"/>
              </w:rPr>
            </w:pPr>
            <w:r w:rsidRPr="000F753F">
              <w:rPr>
                <w:sz w:val="16"/>
                <w:lang w:val="es-MX"/>
              </w:rPr>
              <w:t xml:space="preserve">            </w:t>
            </w:r>
            <w:r>
              <w:rPr>
                <w:sz w:val="16"/>
                <w:lang w:val="es-MX"/>
              </w:rPr>
              <w:t>1</w:t>
            </w:r>
            <w:r w:rsidRPr="000F753F">
              <w:rPr>
                <w:sz w:val="16"/>
                <w:lang w:val="es-MX"/>
              </w:rPr>
              <w:t>%</w:t>
            </w:r>
          </w:p>
        </w:tc>
      </w:tr>
      <w:tr w:rsidR="00BC59AA" w:rsidRPr="000F753F" w14:paraId="1CD7A7E6" w14:textId="77777777" w:rsidTr="005E0038">
        <w:trPr>
          <w:trHeight w:val="285"/>
          <w:jc w:val="right"/>
        </w:trPr>
        <w:tc>
          <w:tcPr>
            <w:tcW w:w="2268" w:type="dxa"/>
            <w:shd w:val="clear" w:color="auto" w:fill="F2F2F2"/>
            <w:vAlign w:val="center"/>
          </w:tcPr>
          <w:p w14:paraId="2A736B62" w14:textId="77777777" w:rsidR="00BC59AA" w:rsidRPr="000F753F" w:rsidRDefault="00BC59AA" w:rsidP="005E0038">
            <w:pPr>
              <w:pStyle w:val="TableParagraph"/>
              <w:spacing w:line="276" w:lineRule="auto"/>
              <w:ind w:right="109"/>
              <w:jc w:val="right"/>
              <w:rPr>
                <w:b/>
                <w:sz w:val="16"/>
                <w:lang w:val="es-MX"/>
              </w:rPr>
            </w:pPr>
            <w:r w:rsidRPr="000F753F">
              <w:rPr>
                <w:b/>
                <w:sz w:val="16"/>
                <w:lang w:val="es-MX"/>
              </w:rPr>
              <w:t>Total</w:t>
            </w:r>
          </w:p>
        </w:tc>
        <w:tc>
          <w:tcPr>
            <w:tcW w:w="1842" w:type="dxa"/>
            <w:tcBorders>
              <w:right w:val="single" w:sz="6" w:space="0" w:color="FFFFFF"/>
            </w:tcBorders>
            <w:shd w:val="clear" w:color="auto" w:fill="F2F2F2"/>
            <w:vAlign w:val="center"/>
          </w:tcPr>
          <w:p w14:paraId="28EB5B68" w14:textId="77777777" w:rsidR="00BC59AA" w:rsidRPr="000F753F" w:rsidRDefault="00BC59AA" w:rsidP="005E0038">
            <w:pPr>
              <w:pStyle w:val="TableParagraph"/>
              <w:spacing w:line="276" w:lineRule="auto"/>
              <w:ind w:left="144" w:right="127"/>
              <w:jc w:val="center"/>
              <w:rPr>
                <w:b/>
                <w:sz w:val="16"/>
                <w:lang w:val="es-MX"/>
              </w:rPr>
            </w:pPr>
            <w:r>
              <w:rPr>
                <w:b/>
                <w:sz w:val="16"/>
                <w:lang w:val="es-MX"/>
              </w:rPr>
              <w:t>104</w:t>
            </w:r>
          </w:p>
        </w:tc>
        <w:tc>
          <w:tcPr>
            <w:tcW w:w="2552" w:type="dxa"/>
            <w:tcBorders>
              <w:left w:val="single" w:sz="6" w:space="0" w:color="FFFFFF"/>
              <w:right w:val="single" w:sz="6" w:space="0" w:color="FFFFFF"/>
            </w:tcBorders>
            <w:shd w:val="clear" w:color="auto" w:fill="F2F2F2"/>
            <w:vAlign w:val="center"/>
          </w:tcPr>
          <w:p w14:paraId="681E5F39" w14:textId="77777777" w:rsidR="00BC59AA" w:rsidRPr="000F753F" w:rsidRDefault="00BC59AA" w:rsidP="005E0038">
            <w:pPr>
              <w:pStyle w:val="TableParagraph"/>
              <w:spacing w:line="276" w:lineRule="auto"/>
              <w:ind w:left="156"/>
              <w:jc w:val="center"/>
              <w:rPr>
                <w:b/>
                <w:sz w:val="16"/>
                <w:lang w:val="es-MX"/>
              </w:rPr>
            </w:pPr>
            <w:r>
              <w:rPr>
                <w:b/>
                <w:sz w:val="16"/>
                <w:lang w:val="es-MX"/>
              </w:rPr>
              <w:t>56</w:t>
            </w:r>
          </w:p>
        </w:tc>
        <w:tc>
          <w:tcPr>
            <w:tcW w:w="1559" w:type="dxa"/>
            <w:tcBorders>
              <w:left w:val="single" w:sz="6" w:space="0" w:color="FFFFFF"/>
              <w:right w:val="single" w:sz="6" w:space="0" w:color="FFFFFF"/>
            </w:tcBorders>
            <w:shd w:val="clear" w:color="auto" w:fill="F2F2F2"/>
            <w:vAlign w:val="center"/>
          </w:tcPr>
          <w:p w14:paraId="7038019E" w14:textId="77777777" w:rsidR="00BC59AA" w:rsidRPr="000F753F" w:rsidRDefault="00BC59AA" w:rsidP="005E0038">
            <w:pPr>
              <w:pStyle w:val="TableParagraph"/>
              <w:spacing w:line="276" w:lineRule="auto"/>
              <w:ind w:left="288" w:right="280"/>
              <w:jc w:val="center"/>
              <w:rPr>
                <w:b/>
                <w:sz w:val="16"/>
                <w:lang w:val="es-MX"/>
              </w:rPr>
            </w:pPr>
            <w:r>
              <w:rPr>
                <w:b/>
                <w:sz w:val="16"/>
                <w:lang w:val="es-MX"/>
              </w:rPr>
              <w:t>31</w:t>
            </w:r>
          </w:p>
        </w:tc>
        <w:tc>
          <w:tcPr>
            <w:tcW w:w="839" w:type="dxa"/>
            <w:tcBorders>
              <w:left w:val="single" w:sz="6" w:space="0" w:color="FFFFFF"/>
            </w:tcBorders>
            <w:shd w:val="clear" w:color="auto" w:fill="F2F2F2"/>
            <w:vAlign w:val="center"/>
          </w:tcPr>
          <w:p w14:paraId="2FA30A87" w14:textId="77777777" w:rsidR="00BC59AA" w:rsidRPr="000F753F" w:rsidRDefault="00BC59AA" w:rsidP="005E0038">
            <w:pPr>
              <w:pStyle w:val="TableParagraph"/>
              <w:spacing w:line="276" w:lineRule="auto"/>
              <w:jc w:val="center"/>
              <w:rPr>
                <w:b/>
                <w:sz w:val="16"/>
                <w:lang w:val="es-MX"/>
              </w:rPr>
            </w:pPr>
            <w:r>
              <w:rPr>
                <w:b/>
                <w:sz w:val="16"/>
                <w:lang w:val="es-MX"/>
              </w:rPr>
              <w:t>191</w:t>
            </w:r>
          </w:p>
        </w:tc>
      </w:tr>
      <w:tr w:rsidR="00BC59AA" w:rsidRPr="000F753F" w14:paraId="72D3442F" w14:textId="77777777" w:rsidTr="005E0038">
        <w:trPr>
          <w:trHeight w:val="283"/>
          <w:jc w:val="right"/>
        </w:trPr>
        <w:tc>
          <w:tcPr>
            <w:tcW w:w="9060" w:type="dxa"/>
            <w:gridSpan w:val="5"/>
            <w:vAlign w:val="bottom"/>
          </w:tcPr>
          <w:p w14:paraId="1850E7A4" w14:textId="77777777" w:rsidR="00BC59AA" w:rsidRPr="006268C4" w:rsidRDefault="0071701E" w:rsidP="0071701E">
            <w:pPr>
              <w:pStyle w:val="Textoindependiente"/>
              <w:spacing w:line="276" w:lineRule="auto"/>
              <w:ind w:left="-76"/>
              <w:rPr>
                <w:noProof/>
                <w:sz w:val="18"/>
                <w:szCs w:val="16"/>
                <w:lang w:eastAsia="es-MX"/>
              </w:rPr>
            </w:pPr>
            <w:r w:rsidRPr="006268C4">
              <w:rPr>
                <w:b/>
                <w:noProof/>
                <w:sz w:val="18"/>
                <w:szCs w:val="16"/>
                <w:lang w:eastAsia="es-MX"/>
              </w:rPr>
              <w:t xml:space="preserve">  Tabla N° 18</w:t>
            </w:r>
            <w:r w:rsidR="00BC59AA" w:rsidRPr="006268C4">
              <w:rPr>
                <w:b/>
                <w:noProof/>
                <w:sz w:val="18"/>
                <w:szCs w:val="16"/>
                <w:lang w:eastAsia="es-MX"/>
              </w:rPr>
              <w:t>:</w:t>
            </w:r>
            <w:r w:rsidR="00BC59AA" w:rsidRPr="006268C4">
              <w:rPr>
                <w:noProof/>
                <w:sz w:val="18"/>
                <w:szCs w:val="16"/>
                <w:lang w:eastAsia="es-MX"/>
              </w:rPr>
              <w:t xml:space="preserve"> Elaboración propia, datos provenientes de los cuestionarios aplicados.</w:t>
            </w:r>
          </w:p>
        </w:tc>
      </w:tr>
      <w:tr w:rsidR="00BC59AA" w:rsidRPr="000F753F" w14:paraId="1B15F6F2" w14:textId="77777777" w:rsidTr="005E0038">
        <w:tblPrEx>
          <w:tblCellMar>
            <w:left w:w="70" w:type="dxa"/>
            <w:right w:w="70" w:type="dxa"/>
          </w:tblCellMar>
        </w:tblPrEx>
        <w:trPr>
          <w:trHeight w:val="283"/>
          <w:jc w:val="right"/>
        </w:trPr>
        <w:tc>
          <w:tcPr>
            <w:tcW w:w="9060" w:type="dxa"/>
            <w:gridSpan w:val="5"/>
            <w:vAlign w:val="bottom"/>
          </w:tcPr>
          <w:p w14:paraId="2DEBB576" w14:textId="77777777" w:rsidR="00BC59AA" w:rsidRDefault="00BC59AA" w:rsidP="005E0038">
            <w:pPr>
              <w:pStyle w:val="TableParagraph"/>
              <w:spacing w:before="14" w:line="276" w:lineRule="auto"/>
              <w:ind w:left="103" w:right="-15"/>
              <w:jc w:val="center"/>
              <w:rPr>
                <w:b/>
                <w:sz w:val="24"/>
                <w:szCs w:val="24"/>
                <w:lang w:val="es-MX"/>
              </w:rPr>
            </w:pPr>
            <w:r>
              <w:rPr>
                <w:noProof/>
                <w:lang w:val="es-MX" w:eastAsia="es-MX"/>
              </w:rPr>
              <w:lastRenderedPageBreak/>
              <w:drawing>
                <wp:inline distT="0" distB="0" distL="0" distR="0" wp14:anchorId="63A76AA1" wp14:editId="28B29881">
                  <wp:extent cx="5665128" cy="5143500"/>
                  <wp:effectExtent l="0" t="0" r="0" b="0"/>
                  <wp:docPr id="514173714" name="Gráfico 1">
                    <a:extLst xmlns:a="http://schemas.openxmlformats.org/drawingml/2006/main">
                      <a:ext uri="{FF2B5EF4-FFF2-40B4-BE49-F238E27FC236}">
                        <a16:creationId xmlns:a16="http://schemas.microsoft.com/office/drawing/2014/main" id="{A9F59008-DA23-F104-B531-3B19C6982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9D4968" w14:textId="77777777" w:rsidR="00BC59AA" w:rsidRPr="000F753F" w:rsidRDefault="00BC59AA" w:rsidP="005E0038">
            <w:pPr>
              <w:pStyle w:val="TableParagraph"/>
              <w:spacing w:before="14" w:line="276" w:lineRule="auto"/>
              <w:ind w:left="103" w:right="-15"/>
              <w:jc w:val="center"/>
              <w:rPr>
                <w:b/>
                <w:sz w:val="16"/>
                <w:lang w:val="es-MX"/>
              </w:rPr>
            </w:pPr>
            <w:r>
              <w:rPr>
                <w:noProof/>
                <w:lang w:val="es-MX" w:eastAsia="es-MX"/>
              </w:rPr>
              <mc:AlternateContent>
                <mc:Choice Requires="wps">
                  <w:drawing>
                    <wp:anchor distT="0" distB="0" distL="114300" distR="114300" simplePos="0" relativeHeight="251671552" behindDoc="0" locked="0" layoutInCell="1" allowOverlap="1" wp14:anchorId="6691438F" wp14:editId="6DD9B5B7">
                      <wp:simplePos x="0" y="0"/>
                      <wp:positionH relativeFrom="margin">
                        <wp:posOffset>930910</wp:posOffset>
                      </wp:positionH>
                      <wp:positionV relativeFrom="paragraph">
                        <wp:posOffset>4685665</wp:posOffset>
                      </wp:positionV>
                      <wp:extent cx="4274820" cy="266700"/>
                      <wp:effectExtent l="0" t="0" r="0" b="0"/>
                      <wp:wrapNone/>
                      <wp:docPr id="901" name="Cuadro de texto 901"/>
                      <wp:cNvGraphicFramePr/>
                      <a:graphic xmlns:a="http://schemas.openxmlformats.org/drawingml/2006/main">
                        <a:graphicData uri="http://schemas.microsoft.com/office/word/2010/wordprocessingShape">
                          <wps:wsp>
                            <wps:cNvSpPr txBox="1"/>
                            <wps:spPr>
                              <a:xfrm>
                                <a:off x="0" y="0"/>
                                <a:ext cx="4274820" cy="266700"/>
                              </a:xfrm>
                              <a:prstGeom prst="rect">
                                <a:avLst/>
                              </a:prstGeom>
                              <a:noFill/>
                              <a:ln w="6350">
                                <a:noFill/>
                              </a:ln>
                            </wps:spPr>
                            <wps:txbx>
                              <w:txbxContent>
                                <w:p w14:paraId="73385B38" w14:textId="77777777" w:rsidR="00D33739" w:rsidRPr="00177F95" w:rsidRDefault="00D33739" w:rsidP="00BC59AA">
                                  <w:pPr>
                                    <w:rPr>
                                      <w:rFonts w:ascii="Poppins Light" w:hAnsi="Poppins Light" w:cs="Poppins Light"/>
                                      <w:color w:val="262626" w:themeColor="text1" w:themeTint="D9"/>
                                      <w:sz w:val="16"/>
                                    </w:rPr>
                                  </w:pPr>
                                  <w:r w:rsidRPr="00177F95">
                                    <w:rPr>
                                      <w:rFonts w:ascii="Poppins Light" w:hAnsi="Poppins Light" w:cs="Poppins Light"/>
                                      <w:color w:val="262626" w:themeColor="text1" w:themeTint="D9"/>
                                      <w:sz w:val="16"/>
                                    </w:rPr>
                                    <w:t>Incumplimiento de metas y objetivos de fondos, programas o políticas 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1438F" id="Cuadro de texto 901" o:spid="_x0000_s1035" type="#_x0000_t202" style="position:absolute;left:0;text-align:left;margin-left:73.3pt;margin-top:368.95pt;width:336.6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" filled="f" stroked="f" strokeweight=".5pt">
                      <v:textbox>
                        <w:txbxContent>
                          <w:p w14:paraId="73385B38" w14:textId="77777777" w:rsidR="00D33739" w:rsidRPr="00177F95" w:rsidRDefault="00D33739" w:rsidP="00BC59AA">
                            <w:pPr>
                              <w:rPr>
                                <w:rFonts w:ascii="Poppins Light" w:hAnsi="Poppins Light" w:cs="Poppins Light"/>
                                <w:color w:val="262626" w:themeColor="text1" w:themeTint="D9"/>
                                <w:sz w:val="16"/>
                              </w:rPr>
                            </w:pPr>
                            <w:r w:rsidRPr="00177F95">
                              <w:rPr>
                                <w:rFonts w:ascii="Poppins Light" w:hAnsi="Poppins Light" w:cs="Poppins Light"/>
                                <w:color w:val="262626" w:themeColor="text1" w:themeTint="D9"/>
                                <w:sz w:val="16"/>
                              </w:rPr>
                              <w:t>Incumplimiento de metas y objetivos de fondos, programas o políticas públicas.</w:t>
                            </w:r>
                          </w:p>
                        </w:txbxContent>
                      </v:textbox>
                      <w10:wrap anchorx="margin"/>
                    </v:shape>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541D157B" wp14:editId="7ACDEE04">
                      <wp:simplePos x="0" y="0"/>
                      <wp:positionH relativeFrom="column">
                        <wp:posOffset>1035685</wp:posOffset>
                      </wp:positionH>
                      <wp:positionV relativeFrom="paragraph">
                        <wp:posOffset>4765675</wp:posOffset>
                      </wp:positionV>
                      <wp:extent cx="3886200" cy="114300"/>
                      <wp:effectExtent l="0" t="0" r="0" b="0"/>
                      <wp:wrapNone/>
                      <wp:docPr id="903" name="Rectángulo 903"/>
                      <wp:cNvGraphicFramePr/>
                      <a:graphic xmlns:a="http://schemas.openxmlformats.org/drawingml/2006/main">
                        <a:graphicData uri="http://schemas.microsoft.com/office/word/2010/wordprocessingShape">
                          <wps:wsp>
                            <wps:cNvSpPr/>
                            <wps:spPr>
                              <a:xfrm>
                                <a:off x="0" y="0"/>
                                <a:ext cx="3886200" cy="1143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D97E8C" id="Rectángulo 903" o:spid="_x0000_s1026" style="position:absolute;margin-left:81.55pt;margin-top:375.25pt;width:306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" fillcolor="window" stroked="f" strokeweight="1pt"/>
                  </w:pict>
                </mc:Fallback>
              </mc:AlternateContent>
            </w:r>
          </w:p>
        </w:tc>
      </w:tr>
      <w:tr w:rsidR="00BC59AA" w:rsidRPr="00F7194B" w14:paraId="7E01F0FD" w14:textId="77777777" w:rsidTr="005E0038">
        <w:tblPrEx>
          <w:tblCellMar>
            <w:left w:w="70" w:type="dxa"/>
            <w:right w:w="70" w:type="dxa"/>
          </w:tblCellMar>
        </w:tblPrEx>
        <w:trPr>
          <w:trHeight w:val="283"/>
          <w:jc w:val="right"/>
        </w:trPr>
        <w:tc>
          <w:tcPr>
            <w:tcW w:w="9060" w:type="dxa"/>
            <w:gridSpan w:val="5"/>
            <w:vAlign w:val="bottom"/>
          </w:tcPr>
          <w:p w14:paraId="34AF656D" w14:textId="77777777" w:rsidR="00BC59AA" w:rsidRPr="00A93C0E" w:rsidRDefault="00BC59AA" w:rsidP="005E0038">
            <w:pPr>
              <w:pStyle w:val="Textoindependiente"/>
              <w:spacing w:line="276" w:lineRule="auto"/>
              <w:ind w:left="-76"/>
              <w:jc w:val="center"/>
              <w:rPr>
                <w:noProof/>
                <w:sz w:val="18"/>
                <w:szCs w:val="16"/>
                <w:lang w:eastAsia="es-MX"/>
              </w:rPr>
            </w:pPr>
            <w:r w:rsidRPr="00A93C0E">
              <w:rPr>
                <w:b/>
                <w:noProof/>
                <w:sz w:val="18"/>
                <w:szCs w:val="16"/>
                <w:lang w:eastAsia="es-MX"/>
              </w:rPr>
              <w:t>Gráfica N°. 16:</w:t>
            </w:r>
            <w:r w:rsidRPr="00A93C0E">
              <w:rPr>
                <w:noProof/>
                <w:sz w:val="18"/>
                <w:szCs w:val="16"/>
                <w:lang w:eastAsia="es-MX"/>
              </w:rPr>
              <w:t xml:space="preserve"> Elaboración propia, Recurrencia de la Problemática.</w:t>
            </w:r>
          </w:p>
          <w:p w14:paraId="47D2D353" w14:textId="77777777" w:rsidR="00BC59AA" w:rsidRPr="00F7194B" w:rsidRDefault="00BC59AA" w:rsidP="005E0038">
            <w:pPr>
              <w:pStyle w:val="TableParagraph"/>
              <w:spacing w:before="14" w:line="276" w:lineRule="auto"/>
              <w:ind w:left="-642" w:right="-15"/>
              <w:rPr>
                <w:b/>
                <w:sz w:val="16"/>
                <w:lang w:val="es-MX"/>
              </w:rPr>
            </w:pPr>
          </w:p>
        </w:tc>
      </w:tr>
    </w:tbl>
    <w:p w14:paraId="2B8711F2" w14:textId="77777777" w:rsidR="00BC59AA" w:rsidRPr="003D391A" w:rsidRDefault="00BC59AA" w:rsidP="00BC59AA">
      <w:pPr>
        <w:pStyle w:val="Textoindependiente"/>
        <w:spacing w:line="276" w:lineRule="auto"/>
        <w:ind w:left="643"/>
        <w:jc w:val="both"/>
        <w:rPr>
          <w:b/>
          <w:sz w:val="26"/>
          <w:szCs w:val="26"/>
        </w:rPr>
      </w:pPr>
    </w:p>
    <w:p w14:paraId="77C84A73" w14:textId="77777777" w:rsidR="00BC59AA" w:rsidRPr="00F7194B" w:rsidRDefault="00BC59AA" w:rsidP="00BC59AA">
      <w:pPr>
        <w:pStyle w:val="Textoindependiente"/>
        <w:numPr>
          <w:ilvl w:val="0"/>
          <w:numId w:val="16"/>
        </w:numPr>
        <w:spacing w:line="276" w:lineRule="auto"/>
        <w:ind w:left="284"/>
        <w:jc w:val="both"/>
        <w:rPr>
          <w:b/>
          <w:sz w:val="26"/>
          <w:szCs w:val="26"/>
        </w:rPr>
      </w:pPr>
      <w:r w:rsidRPr="00F7194B">
        <w:t>Probabilidad de Recurrencia:</w:t>
      </w:r>
      <w:r w:rsidRPr="00E57B75">
        <w:rPr>
          <w:noProof/>
          <w:lang w:eastAsia="es-MX"/>
        </w:rPr>
        <w:t xml:space="preserve"> </w:t>
      </w:r>
    </w:p>
    <w:p w14:paraId="59DD204D" w14:textId="77777777" w:rsidR="00BC59AA" w:rsidRPr="006E45BA" w:rsidRDefault="00BC59AA" w:rsidP="00BC59AA">
      <w:pPr>
        <w:spacing w:line="360" w:lineRule="auto"/>
        <w:ind w:right="142"/>
        <w:jc w:val="both"/>
        <w:rPr>
          <w:rFonts w:ascii="Arial" w:hAnsi="Arial" w:cs="Arial"/>
          <w:sz w:val="10"/>
          <w:szCs w:val="10"/>
        </w:rPr>
      </w:pPr>
    </w:p>
    <w:p w14:paraId="132D1400" w14:textId="77777777" w:rsidR="00BC59AA" w:rsidRDefault="00602767" w:rsidP="00BC59AA">
      <w:pPr>
        <w:spacing w:line="276" w:lineRule="auto"/>
        <w:ind w:left="284"/>
        <w:jc w:val="both"/>
        <w:rPr>
          <w:rFonts w:ascii="Arial" w:hAnsi="Arial" w:cs="Arial"/>
          <w:sz w:val="24"/>
          <w:szCs w:val="24"/>
        </w:rPr>
      </w:pPr>
      <w:r w:rsidRPr="00F7194B">
        <w:rPr>
          <w:rFonts w:ascii="Arial" w:hAnsi="Arial" w:cs="Arial"/>
          <w:sz w:val="24"/>
          <w:szCs w:val="24"/>
        </w:rPr>
        <w:t>Para finalizar la evaluación de las principales problemáticas detectadas en las auditorías, se analizó la probabilidad de recurrencia a partir de tres niveles: alta, media y baja; determinándose que los factores de fallas o errores en la gestión ad</w:t>
      </w:r>
      <w:r w:rsidR="00952E1B">
        <w:rPr>
          <w:rFonts w:ascii="Arial" w:hAnsi="Arial" w:cs="Arial"/>
          <w:sz w:val="24"/>
          <w:szCs w:val="24"/>
        </w:rPr>
        <w:t>ministrativa del ente auditado versa en</w:t>
      </w:r>
      <w:r w:rsidRPr="00F7194B">
        <w:rPr>
          <w:rFonts w:ascii="Arial" w:hAnsi="Arial" w:cs="Arial"/>
          <w:sz w:val="24"/>
          <w:szCs w:val="24"/>
        </w:rPr>
        <w:t xml:space="preserve"> </w:t>
      </w:r>
      <w:r>
        <w:rPr>
          <w:rFonts w:ascii="Arial" w:hAnsi="Arial" w:cs="Arial"/>
          <w:sz w:val="24"/>
          <w:szCs w:val="24"/>
        </w:rPr>
        <w:t xml:space="preserve">el </w:t>
      </w:r>
      <w:r w:rsidR="00952E1B">
        <w:rPr>
          <w:rFonts w:ascii="Arial" w:hAnsi="Arial" w:cs="Arial"/>
          <w:sz w:val="24"/>
          <w:szCs w:val="24"/>
        </w:rPr>
        <w:t>i</w:t>
      </w:r>
      <w:r w:rsidRPr="00DE4D46">
        <w:rPr>
          <w:rFonts w:ascii="Arial" w:hAnsi="Arial" w:cs="Arial"/>
          <w:sz w:val="24"/>
          <w:szCs w:val="24"/>
        </w:rPr>
        <w:t>ncumplimiento de metas y objetivos de fondos, programas o políticas públicas</w:t>
      </w:r>
      <w:r>
        <w:rPr>
          <w:rFonts w:ascii="Arial" w:hAnsi="Arial" w:cs="Arial"/>
          <w:sz w:val="24"/>
          <w:szCs w:val="24"/>
        </w:rPr>
        <w:t xml:space="preserve"> </w:t>
      </w:r>
      <w:r w:rsidR="00952E1B">
        <w:rPr>
          <w:rFonts w:ascii="Arial" w:hAnsi="Arial" w:cs="Arial"/>
          <w:sz w:val="24"/>
          <w:szCs w:val="24"/>
        </w:rPr>
        <w:t>por lo que causa una</w:t>
      </w:r>
      <w:r w:rsidRPr="00F7194B">
        <w:rPr>
          <w:rFonts w:ascii="Arial" w:hAnsi="Arial" w:cs="Arial"/>
          <w:sz w:val="24"/>
          <w:szCs w:val="24"/>
        </w:rPr>
        <w:t xml:space="preserve"> probabilidad media de que se repitan dichos hallazgos. Los resultados se expresan en la siguiente gráfica:</w:t>
      </w:r>
    </w:p>
    <w:p w14:paraId="4364F84D" w14:textId="77777777" w:rsidR="00BC59AA" w:rsidRDefault="00BC59AA" w:rsidP="00BC59AA">
      <w:pPr>
        <w:spacing w:line="276" w:lineRule="auto"/>
        <w:ind w:left="284"/>
        <w:jc w:val="both"/>
        <w:rPr>
          <w:rFonts w:ascii="Arial" w:hAnsi="Arial" w:cs="Arial"/>
          <w:sz w:val="24"/>
          <w:szCs w:val="24"/>
        </w:rPr>
      </w:pPr>
    </w:p>
    <w:p w14:paraId="13967393" w14:textId="77777777" w:rsidR="00BC59AA" w:rsidRDefault="00BC59AA" w:rsidP="00BC59AA">
      <w:pPr>
        <w:spacing w:line="276" w:lineRule="auto"/>
        <w:ind w:left="284"/>
        <w:jc w:val="both"/>
        <w:rPr>
          <w:rFonts w:ascii="Arial" w:hAnsi="Arial" w:cs="Arial"/>
          <w:sz w:val="24"/>
          <w:szCs w:val="24"/>
        </w:rPr>
      </w:pPr>
      <w:r>
        <w:rPr>
          <w:noProof/>
          <w:lang w:eastAsia="es-MX"/>
        </w:rPr>
        <w:lastRenderedPageBreak/>
        <mc:AlternateContent>
          <mc:Choice Requires="wps">
            <w:drawing>
              <wp:anchor distT="0" distB="0" distL="114300" distR="114300" simplePos="0" relativeHeight="251672576" behindDoc="0" locked="0" layoutInCell="1" allowOverlap="1" wp14:anchorId="49310397" wp14:editId="7863A6AC">
                <wp:simplePos x="0" y="0"/>
                <wp:positionH relativeFrom="column">
                  <wp:posOffset>2760345</wp:posOffset>
                </wp:positionH>
                <wp:positionV relativeFrom="paragraph">
                  <wp:posOffset>3162300</wp:posOffset>
                </wp:positionV>
                <wp:extent cx="1242060" cy="647700"/>
                <wp:effectExtent l="0" t="0" r="0" b="0"/>
                <wp:wrapNone/>
                <wp:docPr id="905" name="Cuadro de texto 905"/>
                <wp:cNvGraphicFramePr/>
                <a:graphic xmlns:a="http://schemas.openxmlformats.org/drawingml/2006/main">
                  <a:graphicData uri="http://schemas.microsoft.com/office/word/2010/wordprocessingShape">
                    <wps:wsp>
                      <wps:cNvSpPr txBox="1"/>
                      <wps:spPr>
                        <a:xfrm>
                          <a:off x="0" y="0"/>
                          <a:ext cx="1242060" cy="647700"/>
                        </a:xfrm>
                        <a:prstGeom prst="rect">
                          <a:avLst/>
                        </a:prstGeom>
                        <a:solidFill>
                          <a:sysClr val="window" lastClr="FFFFFF"/>
                        </a:solidFill>
                        <a:ln w="6350">
                          <a:noFill/>
                        </a:ln>
                      </wps:spPr>
                      <wps:txbx>
                        <w:txbxContent>
                          <w:p w14:paraId="15531D70" w14:textId="77777777" w:rsidR="00D33739" w:rsidRPr="00A93C0E" w:rsidRDefault="00D33739" w:rsidP="00BC59AA">
                            <w:pPr>
                              <w:jc w:val="center"/>
                              <w:rPr>
                                <w:rFonts w:ascii="Arial" w:hAnsi="Arial" w:cs="Arial"/>
                                <w:color w:val="262626" w:themeColor="text1" w:themeTint="D9"/>
                                <w:sz w:val="18"/>
                              </w:rPr>
                            </w:pPr>
                            <w:r w:rsidRPr="00A93C0E">
                              <w:rPr>
                                <w:rFonts w:ascii="Arial" w:hAnsi="Arial" w:cs="Arial"/>
                                <w:color w:val="262626" w:themeColor="text1" w:themeTint="D9"/>
                                <w:sz w:val="18"/>
                              </w:rPr>
                              <w:t>Incumplimiento de metas y objetivos de fondos, programas o políticas 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310397" id="Cuadro de texto 905" o:spid="_x0000_s1036" type="#_x0000_t202" style="position:absolute;left:0;text-align:left;margin-left:217.35pt;margin-top:249pt;width:97.8pt;height:5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" fillcolor="window" stroked="f" strokeweight=".5pt">
                <v:textbox>
                  <w:txbxContent>
                    <w:p w14:paraId="15531D70" w14:textId="77777777" w:rsidR="00D33739" w:rsidRPr="00A93C0E" w:rsidRDefault="00D33739" w:rsidP="00BC59AA">
                      <w:pPr>
                        <w:jc w:val="center"/>
                        <w:rPr>
                          <w:rFonts w:ascii="Arial" w:hAnsi="Arial" w:cs="Arial"/>
                          <w:color w:val="262626" w:themeColor="text1" w:themeTint="D9"/>
                          <w:sz w:val="18"/>
                        </w:rPr>
                      </w:pPr>
                      <w:r w:rsidRPr="00A93C0E">
                        <w:rPr>
                          <w:rFonts w:ascii="Arial" w:hAnsi="Arial" w:cs="Arial"/>
                          <w:color w:val="262626" w:themeColor="text1" w:themeTint="D9"/>
                          <w:sz w:val="18"/>
                        </w:rPr>
                        <w:t>Incumplimiento de metas y objetivos de fondos, programas o políticas públicas</w:t>
                      </w:r>
                    </w:p>
                  </w:txbxContent>
                </v:textbox>
              </v:shape>
            </w:pict>
          </mc:Fallback>
        </mc:AlternateContent>
      </w:r>
      <w:r w:rsidRPr="00A93C0E">
        <w:rPr>
          <w:rFonts w:ascii="Arial" w:hAnsi="Arial" w:cs="Arial"/>
          <w:noProof/>
          <w:lang w:eastAsia="es-MX"/>
        </w:rPr>
        <w:drawing>
          <wp:inline distT="0" distB="0" distL="0" distR="0" wp14:anchorId="21FE0720" wp14:editId="29642D2B">
            <wp:extent cx="5409565" cy="4137660"/>
            <wp:effectExtent l="0" t="0" r="635" b="15240"/>
            <wp:docPr id="1313729423" name="Gráfico 1">
              <a:extLst xmlns:a="http://schemas.openxmlformats.org/drawingml/2006/main">
                <a:ext uri="{FF2B5EF4-FFF2-40B4-BE49-F238E27FC236}">
                  <a16:creationId xmlns:a16="http://schemas.microsoft.com/office/drawing/2014/main" id="{A91A8704-4F31-4DB3-908E-6A2D9342B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DC7A77" w14:textId="77777777" w:rsidR="00BC59AA" w:rsidRPr="00A93C0E" w:rsidRDefault="00BC59AA" w:rsidP="00BC59AA">
      <w:pPr>
        <w:spacing w:line="276" w:lineRule="auto"/>
        <w:ind w:left="426"/>
        <w:jc w:val="center"/>
        <w:rPr>
          <w:rFonts w:ascii="Arial" w:hAnsi="Arial" w:cs="Arial"/>
          <w:noProof/>
          <w:sz w:val="18"/>
          <w:szCs w:val="16"/>
          <w:lang w:eastAsia="es-MX"/>
        </w:rPr>
      </w:pPr>
      <w:r w:rsidRPr="00A93C0E">
        <w:rPr>
          <w:rFonts w:ascii="Arial" w:hAnsi="Arial" w:cs="Arial"/>
          <w:b/>
          <w:noProof/>
          <w:sz w:val="18"/>
          <w:szCs w:val="16"/>
          <w:lang w:eastAsia="es-MX"/>
        </w:rPr>
        <w:t>Gráfica N° 17:</w:t>
      </w:r>
      <w:r w:rsidRPr="00A93C0E">
        <w:rPr>
          <w:rFonts w:ascii="Arial" w:hAnsi="Arial" w:cs="Arial"/>
          <w:noProof/>
          <w:sz w:val="18"/>
          <w:szCs w:val="16"/>
          <w:lang w:eastAsia="es-MX"/>
        </w:rPr>
        <w:t xml:space="preserve"> Elaboración propia. Probabilidad de recurrencia de la Problemática de Auditoría.</w:t>
      </w:r>
    </w:p>
    <w:p w14:paraId="5E52D336" w14:textId="77777777" w:rsidR="00BC59AA" w:rsidRPr="00F7194B" w:rsidRDefault="00BC59AA" w:rsidP="00BC59AA">
      <w:pPr>
        <w:spacing w:line="360" w:lineRule="auto"/>
        <w:ind w:right="142"/>
        <w:jc w:val="both"/>
        <w:rPr>
          <w:rFonts w:ascii="Arial" w:hAnsi="Arial" w:cs="Arial"/>
          <w:sz w:val="12"/>
          <w:szCs w:val="24"/>
        </w:rPr>
      </w:pPr>
    </w:p>
    <w:p w14:paraId="2A7DB05C" w14:textId="77777777" w:rsidR="00BC59AA" w:rsidRPr="003D391A" w:rsidRDefault="00BC59AA" w:rsidP="00BC59AA">
      <w:pPr>
        <w:spacing w:line="276" w:lineRule="auto"/>
        <w:ind w:left="284"/>
        <w:jc w:val="both"/>
        <w:rPr>
          <w:rFonts w:ascii="Arial" w:hAnsi="Arial" w:cs="Arial"/>
          <w:sz w:val="24"/>
          <w:szCs w:val="24"/>
        </w:rPr>
      </w:pPr>
      <w:r w:rsidRPr="00F7194B">
        <w:rPr>
          <w:rFonts w:ascii="Arial" w:hAnsi="Arial" w:cs="Arial"/>
          <w:sz w:val="24"/>
          <w:szCs w:val="24"/>
        </w:rPr>
        <w:t>Como resultado del análisis a las encuestas practicadas, se han identificado las principales problemáticas en las auditorías, teniendo mayor relevancia los factores ligados al contexto institucional, considerando que los controles administrativo</w:t>
      </w:r>
      <w:r w:rsidR="00952E1B">
        <w:rPr>
          <w:rFonts w:ascii="Arial" w:hAnsi="Arial" w:cs="Arial"/>
          <w:sz w:val="24"/>
          <w:szCs w:val="24"/>
        </w:rPr>
        <w:t>s inadecuados son la principal Causa-R</w:t>
      </w:r>
      <w:r w:rsidRPr="00F7194B">
        <w:rPr>
          <w:rFonts w:ascii="Arial" w:hAnsi="Arial" w:cs="Arial"/>
          <w:sz w:val="24"/>
          <w:szCs w:val="24"/>
        </w:rPr>
        <w:t xml:space="preserve">aíz, y enunciando los factores categorizados en este rubro que muestran de manera explicativa la relevancia de los mismos, de igual forma, se determina la recurrencia de estos factores en fiscalizaciones anteriores y los niveles de probabilidad de que se </w:t>
      </w:r>
      <w:r w:rsidRPr="003D391A">
        <w:rPr>
          <w:rFonts w:ascii="Arial" w:hAnsi="Arial" w:cs="Arial"/>
          <w:sz w:val="24"/>
          <w:szCs w:val="24"/>
        </w:rPr>
        <w:t>hagan presentes en futuras auditorías.</w:t>
      </w:r>
    </w:p>
    <w:p w14:paraId="32E388EC" w14:textId="77777777" w:rsidR="00BC59AA" w:rsidRPr="003D391A" w:rsidRDefault="00BC59AA" w:rsidP="00BC59AA">
      <w:pPr>
        <w:spacing w:line="276" w:lineRule="auto"/>
        <w:ind w:left="624"/>
        <w:jc w:val="both"/>
        <w:rPr>
          <w:rFonts w:ascii="Arial" w:hAnsi="Arial" w:cs="Arial"/>
          <w:sz w:val="24"/>
          <w:szCs w:val="24"/>
        </w:rPr>
      </w:pPr>
    </w:p>
    <w:p w14:paraId="5E0894DB" w14:textId="77777777" w:rsidR="00BC59AA" w:rsidRPr="003D391A" w:rsidRDefault="00BC59AA" w:rsidP="00BC59AA">
      <w:pPr>
        <w:spacing w:line="276" w:lineRule="auto"/>
        <w:ind w:left="284"/>
        <w:jc w:val="both"/>
        <w:rPr>
          <w:rFonts w:ascii="Arial" w:hAnsi="Arial" w:cs="Arial"/>
          <w:sz w:val="24"/>
          <w:szCs w:val="24"/>
        </w:rPr>
      </w:pPr>
      <w:r w:rsidRPr="003D391A">
        <w:rPr>
          <w:rFonts w:ascii="Arial" w:hAnsi="Arial" w:cs="Arial"/>
          <w:sz w:val="24"/>
          <w:szCs w:val="24"/>
        </w:rPr>
        <w:t>Partiendo de los resultados obtenidos, es posible identificar los principales riesgos</w:t>
      </w:r>
      <w:r w:rsidRPr="00F7194B">
        <w:rPr>
          <w:rFonts w:ascii="Arial" w:hAnsi="Arial" w:cs="Arial"/>
          <w:sz w:val="24"/>
          <w:szCs w:val="24"/>
        </w:rPr>
        <w:t xml:space="preserve">, que desde la perspectiva de la Auditoría Superior del Estado de Quintana Roo, son causa de fallas que repercuten en el logro de los objetivos institucionales y del incumplimiento de las metas y objetivos de fondo, </w:t>
      </w:r>
      <w:r>
        <w:rPr>
          <w:rFonts w:ascii="Arial" w:hAnsi="Arial" w:cs="Arial"/>
          <w:sz w:val="24"/>
          <w:szCs w:val="24"/>
        </w:rPr>
        <w:t xml:space="preserve">programas o políticas </w:t>
      </w:r>
      <w:r w:rsidRPr="003D391A">
        <w:rPr>
          <w:rFonts w:ascii="Arial" w:hAnsi="Arial" w:cs="Arial"/>
          <w:sz w:val="24"/>
          <w:szCs w:val="24"/>
        </w:rPr>
        <w:t>públicas.</w:t>
      </w:r>
    </w:p>
    <w:p w14:paraId="0A438E92" w14:textId="77777777" w:rsidR="00BC59AA" w:rsidRPr="003D391A" w:rsidRDefault="00BC59AA" w:rsidP="00BC59AA">
      <w:pPr>
        <w:spacing w:line="276" w:lineRule="auto"/>
        <w:ind w:left="624"/>
        <w:jc w:val="both"/>
        <w:rPr>
          <w:rFonts w:ascii="Arial" w:hAnsi="Arial" w:cs="Arial"/>
          <w:sz w:val="24"/>
          <w:szCs w:val="24"/>
        </w:rPr>
      </w:pPr>
    </w:p>
    <w:p w14:paraId="5CC137ED" w14:textId="77777777" w:rsidR="00BC59AA" w:rsidRPr="00F7194B" w:rsidRDefault="00BC59AA" w:rsidP="00BC59AA">
      <w:pPr>
        <w:pStyle w:val="Ttulo2"/>
        <w:numPr>
          <w:ilvl w:val="0"/>
          <w:numId w:val="20"/>
        </w:numPr>
        <w:jc w:val="both"/>
        <w:rPr>
          <w:rFonts w:ascii="Arial" w:hAnsi="Arial" w:cs="Arial"/>
          <w:b/>
          <w:color w:val="auto"/>
        </w:rPr>
      </w:pPr>
      <w:bookmarkStart w:id="28" w:name="_Toc64067632"/>
      <w:bookmarkStart w:id="29" w:name="_Toc95496676"/>
      <w:bookmarkStart w:id="30" w:name="_Toc158567485"/>
      <w:r w:rsidRPr="00F7194B">
        <w:rPr>
          <w:rFonts w:ascii="Arial" w:hAnsi="Arial" w:cs="Arial"/>
          <w:b/>
          <w:color w:val="auto"/>
        </w:rPr>
        <w:lastRenderedPageBreak/>
        <w:t>Recomendaciones generales para la mejora de la gestión de las entidades fiscalizadas.</w:t>
      </w:r>
      <w:bookmarkEnd w:id="28"/>
      <w:bookmarkEnd w:id="29"/>
      <w:bookmarkEnd w:id="30"/>
    </w:p>
    <w:p w14:paraId="7B8B6479" w14:textId="77777777" w:rsidR="00BC59AA" w:rsidRPr="00985BC1" w:rsidRDefault="00BC59AA" w:rsidP="00BC59AA">
      <w:pPr>
        <w:spacing w:after="0" w:line="360" w:lineRule="auto"/>
        <w:ind w:right="142"/>
        <w:jc w:val="both"/>
        <w:rPr>
          <w:rFonts w:ascii="Arial" w:hAnsi="Arial" w:cs="Arial"/>
          <w:sz w:val="18"/>
          <w:szCs w:val="24"/>
        </w:rPr>
      </w:pPr>
    </w:p>
    <w:p w14:paraId="2D9A6CF2" w14:textId="77777777" w:rsidR="00BC59AA" w:rsidRPr="00F7194B" w:rsidRDefault="00BC59AA" w:rsidP="00BC59AA">
      <w:pPr>
        <w:spacing w:line="276" w:lineRule="auto"/>
        <w:ind w:left="283"/>
        <w:jc w:val="both"/>
        <w:rPr>
          <w:rFonts w:ascii="Arial" w:hAnsi="Arial" w:cs="Arial"/>
          <w:sz w:val="24"/>
          <w:szCs w:val="24"/>
        </w:rPr>
      </w:pPr>
      <w:r w:rsidRPr="00F7194B">
        <w:rPr>
          <w:rFonts w:ascii="Arial" w:hAnsi="Arial" w:cs="Arial"/>
          <w:sz w:val="24"/>
          <w:szCs w:val="24"/>
        </w:rPr>
        <w:t>Considerando los resultados obtenidos de las encuestas, a través de las cuales se identificaron las áreas clave de riesgo, se realizó un ejercicio con los equipos auditores para que con base en su juicio profesional y el conocimiento que tienen de las entidades auditadas, emitieran las medidas de control que consideran se deberían implementar para dar solución a las problemáticas encontradas en las fiscalizaciones, si ellos fueran los responsables del programa o política pública auditada.</w:t>
      </w:r>
    </w:p>
    <w:p w14:paraId="1852447A" w14:textId="77777777" w:rsidR="00BC59AA" w:rsidRPr="00F7194B" w:rsidRDefault="00BC59AA" w:rsidP="00BC59AA">
      <w:pPr>
        <w:spacing w:after="0" w:line="276" w:lineRule="auto"/>
        <w:ind w:right="142"/>
        <w:jc w:val="both"/>
        <w:rPr>
          <w:rFonts w:ascii="Arial" w:hAnsi="Arial" w:cs="Arial"/>
          <w:sz w:val="12"/>
          <w:szCs w:val="24"/>
        </w:rPr>
      </w:pPr>
    </w:p>
    <w:p w14:paraId="2719B784" w14:textId="77777777" w:rsidR="00BC59AA" w:rsidRPr="00F7194B" w:rsidRDefault="00BC59AA" w:rsidP="00BC59AA">
      <w:pPr>
        <w:spacing w:line="276" w:lineRule="auto"/>
        <w:ind w:left="283"/>
        <w:jc w:val="both"/>
        <w:rPr>
          <w:rFonts w:ascii="Arial" w:hAnsi="Arial" w:cs="Arial"/>
          <w:sz w:val="24"/>
          <w:szCs w:val="24"/>
        </w:rPr>
      </w:pPr>
      <w:r w:rsidRPr="00F7194B">
        <w:rPr>
          <w:rFonts w:ascii="Arial" w:hAnsi="Arial" w:cs="Arial"/>
          <w:sz w:val="24"/>
          <w:szCs w:val="24"/>
        </w:rPr>
        <w:t>Desde la perspectiva de los auditores, se pueden generar recomendaciones enfocadas a reducir los factores que se consideran Causa-Raíz de las problemáticas detectadas durante la fiscalización, siendo estas independientes de las observaciones particulares que se emiten como resultado de las auditorías realizadas.</w:t>
      </w:r>
    </w:p>
    <w:p w14:paraId="20A20976" w14:textId="77777777" w:rsidR="00BC59AA" w:rsidRPr="00985BC1" w:rsidRDefault="00BC59AA" w:rsidP="00BC59AA">
      <w:pPr>
        <w:spacing w:after="0" w:line="276" w:lineRule="auto"/>
        <w:ind w:right="142"/>
        <w:jc w:val="both"/>
        <w:rPr>
          <w:rFonts w:ascii="Arial" w:hAnsi="Arial" w:cs="Arial"/>
          <w:sz w:val="8"/>
          <w:szCs w:val="12"/>
        </w:rPr>
      </w:pPr>
    </w:p>
    <w:p w14:paraId="0351CACA" w14:textId="77777777" w:rsidR="00BC59AA" w:rsidRPr="00F7194B" w:rsidRDefault="00BC59AA" w:rsidP="00BC59AA">
      <w:pPr>
        <w:spacing w:line="276" w:lineRule="auto"/>
        <w:ind w:left="283"/>
        <w:jc w:val="both"/>
        <w:rPr>
          <w:rFonts w:ascii="Arial" w:hAnsi="Arial" w:cs="Arial"/>
          <w:sz w:val="24"/>
          <w:szCs w:val="24"/>
        </w:rPr>
      </w:pPr>
      <w:r w:rsidRPr="00F7194B">
        <w:rPr>
          <w:rFonts w:ascii="Arial" w:hAnsi="Arial" w:cs="Arial"/>
          <w:sz w:val="24"/>
          <w:szCs w:val="24"/>
        </w:rPr>
        <w:t>En la siguiente tabla se plasman los resultados:</w:t>
      </w:r>
    </w:p>
    <w:p w14:paraId="73DD4F77" w14:textId="77777777" w:rsidR="00BC59AA" w:rsidRPr="00985BC1" w:rsidRDefault="00BC59AA" w:rsidP="00BC59AA">
      <w:pPr>
        <w:spacing w:line="360" w:lineRule="auto"/>
        <w:ind w:right="142"/>
        <w:jc w:val="both"/>
        <w:rPr>
          <w:rFonts w:ascii="Arial" w:hAnsi="Arial" w:cs="Arial"/>
          <w:sz w:val="8"/>
          <w:szCs w:val="1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3"/>
        <w:gridCol w:w="1834"/>
        <w:gridCol w:w="1401"/>
      </w:tblGrid>
      <w:tr w:rsidR="00BC59AA" w:rsidRPr="00423B69" w14:paraId="570A874E" w14:textId="77777777" w:rsidTr="005E0038">
        <w:trPr>
          <w:trHeight w:val="387"/>
          <w:jc w:val="center"/>
        </w:trPr>
        <w:tc>
          <w:tcPr>
            <w:tcW w:w="8838" w:type="dxa"/>
            <w:gridSpan w:val="3"/>
            <w:tcBorders>
              <w:bottom w:val="single" w:sz="4" w:space="0" w:color="FFFFFF" w:themeColor="background1"/>
            </w:tcBorders>
            <w:shd w:val="clear" w:color="auto" w:fill="A5A5A5" w:themeFill="accent3"/>
            <w:vAlign w:val="center"/>
          </w:tcPr>
          <w:p w14:paraId="0C3E8F42" w14:textId="77777777" w:rsidR="00BC59AA" w:rsidRPr="00B92CE4" w:rsidRDefault="00BC59AA" w:rsidP="005E0038">
            <w:pPr>
              <w:jc w:val="center"/>
              <w:rPr>
                <w:rFonts w:ascii="Arial" w:hAnsi="Arial" w:cs="Arial"/>
                <w:b/>
                <w:color w:val="FFFFFF" w:themeColor="background1"/>
              </w:rPr>
            </w:pPr>
            <w:r w:rsidRPr="00B92CE4">
              <w:rPr>
                <w:rFonts w:ascii="Arial" w:hAnsi="Arial" w:cs="Arial"/>
                <w:b/>
                <w:color w:val="FFFFFF" w:themeColor="background1"/>
                <w:szCs w:val="24"/>
              </w:rPr>
              <w:t xml:space="preserve">Recomendaciones </w:t>
            </w:r>
            <w:r>
              <w:rPr>
                <w:rFonts w:ascii="Arial" w:hAnsi="Arial" w:cs="Arial"/>
                <w:b/>
                <w:color w:val="FFFFFF" w:themeColor="background1"/>
                <w:szCs w:val="24"/>
              </w:rPr>
              <w:t xml:space="preserve">para mitigar la </w:t>
            </w:r>
            <w:r w:rsidRPr="00B92CE4">
              <w:rPr>
                <w:rFonts w:ascii="Arial" w:hAnsi="Arial" w:cs="Arial"/>
                <w:b/>
                <w:color w:val="FFFFFF" w:themeColor="background1"/>
                <w:szCs w:val="24"/>
              </w:rPr>
              <w:t>Causa-Raíz</w:t>
            </w:r>
          </w:p>
        </w:tc>
      </w:tr>
      <w:tr w:rsidR="00BC59AA" w:rsidRPr="00423B69" w14:paraId="3FC0AE0E" w14:textId="77777777" w:rsidTr="005E0038">
        <w:trPr>
          <w:trHeight w:val="387"/>
          <w:jc w:val="center"/>
        </w:trPr>
        <w:tc>
          <w:tcPr>
            <w:tcW w:w="5603" w:type="dxa"/>
            <w:tcBorders>
              <w:bottom w:val="single" w:sz="4" w:space="0" w:color="FFFFFF" w:themeColor="background1"/>
              <w:right w:val="single" w:sz="4" w:space="0" w:color="FFFFFF" w:themeColor="background1"/>
            </w:tcBorders>
            <w:shd w:val="clear" w:color="auto" w:fill="A5A5A5" w:themeFill="accent3"/>
            <w:vAlign w:val="center"/>
          </w:tcPr>
          <w:p w14:paraId="49F59B3E" w14:textId="77777777" w:rsidR="00BC59AA" w:rsidRPr="00423B69" w:rsidRDefault="00BC59AA" w:rsidP="005E0038">
            <w:pPr>
              <w:jc w:val="center"/>
              <w:rPr>
                <w:rFonts w:ascii="Arial" w:hAnsi="Arial" w:cs="Arial"/>
                <w:b/>
                <w:color w:val="FFFFFF" w:themeColor="background1"/>
              </w:rPr>
            </w:pPr>
            <w:r w:rsidRPr="00423B69">
              <w:rPr>
                <w:rFonts w:ascii="Arial" w:hAnsi="Arial" w:cs="Arial"/>
                <w:b/>
                <w:color w:val="FFFFFF" w:themeColor="background1"/>
              </w:rPr>
              <w:t>Recomendaciones de los equipos auditores</w:t>
            </w:r>
          </w:p>
        </w:tc>
        <w:tc>
          <w:tcPr>
            <w:tcW w:w="1834" w:type="dxa"/>
            <w:tcBorders>
              <w:left w:val="single" w:sz="4" w:space="0" w:color="FFFFFF" w:themeColor="background1"/>
              <w:right w:val="single" w:sz="4" w:space="0" w:color="FFFFFF" w:themeColor="background1"/>
            </w:tcBorders>
            <w:shd w:val="clear" w:color="auto" w:fill="A5A5A5" w:themeFill="accent3"/>
            <w:vAlign w:val="center"/>
          </w:tcPr>
          <w:p w14:paraId="6E51868B" w14:textId="77777777" w:rsidR="00BC59AA" w:rsidRPr="00423B69" w:rsidRDefault="00BC59AA" w:rsidP="005E0038">
            <w:pPr>
              <w:jc w:val="center"/>
              <w:rPr>
                <w:rFonts w:ascii="Arial" w:hAnsi="Arial" w:cs="Arial"/>
                <w:b/>
                <w:color w:val="FFFFFF" w:themeColor="background1"/>
              </w:rPr>
            </w:pPr>
            <w:r w:rsidRPr="00423B69">
              <w:rPr>
                <w:rFonts w:ascii="Arial" w:hAnsi="Arial" w:cs="Arial"/>
                <w:b/>
                <w:color w:val="FFFFFF" w:themeColor="background1"/>
              </w:rPr>
              <w:t>Frecuencia</w:t>
            </w:r>
          </w:p>
        </w:tc>
        <w:tc>
          <w:tcPr>
            <w:tcW w:w="1401" w:type="dxa"/>
            <w:tcBorders>
              <w:left w:val="single" w:sz="4" w:space="0" w:color="FFFFFF" w:themeColor="background1"/>
            </w:tcBorders>
            <w:shd w:val="clear" w:color="auto" w:fill="A5A5A5" w:themeFill="accent3"/>
            <w:vAlign w:val="center"/>
          </w:tcPr>
          <w:p w14:paraId="48A36759" w14:textId="77777777" w:rsidR="00BC59AA" w:rsidRPr="00423B69" w:rsidRDefault="00BC59AA" w:rsidP="005E0038">
            <w:pPr>
              <w:jc w:val="center"/>
              <w:rPr>
                <w:rFonts w:ascii="Arial" w:hAnsi="Arial" w:cs="Arial"/>
                <w:b/>
                <w:color w:val="FFFFFF" w:themeColor="background1"/>
              </w:rPr>
            </w:pPr>
            <w:r w:rsidRPr="00423B69">
              <w:rPr>
                <w:rFonts w:ascii="Arial" w:hAnsi="Arial" w:cs="Arial"/>
                <w:b/>
                <w:color w:val="FFFFFF" w:themeColor="background1"/>
              </w:rPr>
              <w:t>%</w:t>
            </w:r>
          </w:p>
        </w:tc>
      </w:tr>
      <w:tr w:rsidR="00BC59AA" w:rsidRPr="00423B69" w14:paraId="4CD5B29B" w14:textId="77777777" w:rsidTr="005E0038">
        <w:trPr>
          <w:trHeight w:val="397"/>
          <w:jc w:val="center"/>
        </w:trPr>
        <w:tc>
          <w:tcPr>
            <w:tcW w:w="5603" w:type="dxa"/>
            <w:tcBorders>
              <w:top w:val="single" w:sz="4" w:space="0" w:color="FFFFFF" w:themeColor="background1"/>
            </w:tcBorders>
            <w:vAlign w:val="center"/>
          </w:tcPr>
          <w:p w14:paraId="5DE21811" w14:textId="77777777" w:rsidR="00BC59AA" w:rsidRPr="00423B69" w:rsidRDefault="00BC59AA" w:rsidP="00282D2B">
            <w:pPr>
              <w:jc w:val="both"/>
              <w:rPr>
                <w:rFonts w:ascii="Arial" w:hAnsi="Arial" w:cs="Arial"/>
                <w:sz w:val="18"/>
                <w:szCs w:val="18"/>
              </w:rPr>
            </w:pPr>
            <w:r w:rsidRPr="00423B69">
              <w:rPr>
                <w:rFonts w:ascii="Arial" w:hAnsi="Arial" w:cs="Arial"/>
                <w:color w:val="000000"/>
                <w:sz w:val="18"/>
                <w:szCs w:val="18"/>
              </w:rPr>
              <w:t>11.1. Mejorar el control interno.</w:t>
            </w:r>
          </w:p>
        </w:tc>
        <w:tc>
          <w:tcPr>
            <w:tcW w:w="1834" w:type="dxa"/>
            <w:vAlign w:val="center"/>
          </w:tcPr>
          <w:p w14:paraId="45C21ADE"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144</w:t>
            </w:r>
          </w:p>
        </w:tc>
        <w:tc>
          <w:tcPr>
            <w:tcW w:w="1401" w:type="dxa"/>
            <w:vAlign w:val="center"/>
          </w:tcPr>
          <w:p w14:paraId="428D968F"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75</w:t>
            </w:r>
          </w:p>
        </w:tc>
      </w:tr>
      <w:tr w:rsidR="00BC59AA" w:rsidRPr="00423B69" w14:paraId="4AD7B026" w14:textId="77777777" w:rsidTr="005E0038">
        <w:trPr>
          <w:trHeight w:val="567"/>
          <w:jc w:val="center"/>
        </w:trPr>
        <w:tc>
          <w:tcPr>
            <w:tcW w:w="5603" w:type="dxa"/>
            <w:shd w:val="clear" w:color="auto" w:fill="F2F2F2" w:themeFill="background1" w:themeFillShade="F2"/>
            <w:vAlign w:val="center"/>
          </w:tcPr>
          <w:p w14:paraId="3D31C92A" w14:textId="77777777" w:rsidR="00BC59AA" w:rsidRPr="00423B69" w:rsidRDefault="00BC59AA" w:rsidP="00282D2B">
            <w:pPr>
              <w:jc w:val="both"/>
              <w:rPr>
                <w:rFonts w:ascii="Arial" w:hAnsi="Arial" w:cs="Arial"/>
                <w:sz w:val="18"/>
                <w:szCs w:val="18"/>
              </w:rPr>
            </w:pPr>
            <w:r w:rsidRPr="00423B69">
              <w:rPr>
                <w:rFonts w:ascii="Arial" w:hAnsi="Arial" w:cs="Arial"/>
                <w:color w:val="000000"/>
                <w:sz w:val="18"/>
                <w:szCs w:val="18"/>
              </w:rPr>
              <w:t>11.6. Fortalecer los procesos de planeación en las actividades sustantivas del ente</w:t>
            </w:r>
          </w:p>
        </w:tc>
        <w:tc>
          <w:tcPr>
            <w:tcW w:w="1834" w:type="dxa"/>
            <w:shd w:val="clear" w:color="auto" w:fill="F2F2F2" w:themeFill="background1" w:themeFillShade="F2"/>
            <w:vAlign w:val="center"/>
          </w:tcPr>
          <w:p w14:paraId="39FF1677"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18</w:t>
            </w:r>
          </w:p>
        </w:tc>
        <w:tc>
          <w:tcPr>
            <w:tcW w:w="1401" w:type="dxa"/>
            <w:shd w:val="clear" w:color="auto" w:fill="F2F2F2" w:themeFill="background1" w:themeFillShade="F2"/>
            <w:vAlign w:val="center"/>
          </w:tcPr>
          <w:p w14:paraId="0A0DB4A4"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9</w:t>
            </w:r>
          </w:p>
        </w:tc>
      </w:tr>
      <w:tr w:rsidR="00BC59AA" w:rsidRPr="00423B69" w14:paraId="7BB2CC38" w14:textId="77777777" w:rsidTr="005E0038">
        <w:trPr>
          <w:trHeight w:val="567"/>
          <w:jc w:val="center"/>
        </w:trPr>
        <w:tc>
          <w:tcPr>
            <w:tcW w:w="5603" w:type="dxa"/>
            <w:vAlign w:val="center"/>
          </w:tcPr>
          <w:p w14:paraId="4F8D80F7" w14:textId="77777777" w:rsidR="00BC59AA" w:rsidRPr="00423B69" w:rsidRDefault="00BC59AA" w:rsidP="00282D2B">
            <w:pPr>
              <w:jc w:val="both"/>
              <w:rPr>
                <w:rFonts w:ascii="Arial" w:hAnsi="Arial" w:cs="Arial"/>
                <w:sz w:val="18"/>
                <w:szCs w:val="18"/>
              </w:rPr>
            </w:pPr>
            <w:r w:rsidRPr="00423B69">
              <w:rPr>
                <w:rFonts w:ascii="Arial" w:hAnsi="Arial" w:cs="Arial"/>
                <w:color w:val="000000"/>
                <w:sz w:val="18"/>
                <w:szCs w:val="18"/>
              </w:rPr>
              <w:t>11.5. Mejorar la coordinación interinstitucional con otras dependencias involucradas en la implementación de fondos, programas o políticas públicas (por ejemplo, entes coordinadores de fondos federales)</w:t>
            </w:r>
          </w:p>
        </w:tc>
        <w:tc>
          <w:tcPr>
            <w:tcW w:w="1834" w:type="dxa"/>
            <w:vAlign w:val="center"/>
          </w:tcPr>
          <w:p w14:paraId="0299516F"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12</w:t>
            </w:r>
          </w:p>
        </w:tc>
        <w:tc>
          <w:tcPr>
            <w:tcW w:w="1401" w:type="dxa"/>
            <w:vAlign w:val="center"/>
          </w:tcPr>
          <w:p w14:paraId="4ED5D0A9"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6</w:t>
            </w:r>
          </w:p>
        </w:tc>
      </w:tr>
      <w:tr w:rsidR="00BC59AA" w:rsidRPr="00423B69" w14:paraId="7D56CA9E" w14:textId="77777777" w:rsidTr="005E0038">
        <w:trPr>
          <w:trHeight w:val="397"/>
          <w:jc w:val="center"/>
        </w:trPr>
        <w:tc>
          <w:tcPr>
            <w:tcW w:w="5603" w:type="dxa"/>
            <w:shd w:val="clear" w:color="auto" w:fill="F2F2F2" w:themeFill="background1" w:themeFillShade="F2"/>
            <w:vAlign w:val="center"/>
          </w:tcPr>
          <w:p w14:paraId="1551759C" w14:textId="77777777" w:rsidR="00BC59AA" w:rsidRPr="00423B69" w:rsidRDefault="00BC59AA" w:rsidP="00282D2B">
            <w:pPr>
              <w:jc w:val="both"/>
              <w:rPr>
                <w:rFonts w:ascii="Arial" w:hAnsi="Arial" w:cs="Arial"/>
                <w:sz w:val="18"/>
                <w:szCs w:val="18"/>
              </w:rPr>
            </w:pPr>
            <w:r w:rsidRPr="00423B69">
              <w:rPr>
                <w:rFonts w:ascii="Arial" w:hAnsi="Arial" w:cs="Arial"/>
                <w:color w:val="000000"/>
                <w:sz w:val="18"/>
                <w:szCs w:val="18"/>
              </w:rPr>
              <w:t>11.4. Mejorar el diseño de los fondos, programas o políticas públicas.</w:t>
            </w:r>
          </w:p>
        </w:tc>
        <w:tc>
          <w:tcPr>
            <w:tcW w:w="1834" w:type="dxa"/>
            <w:shd w:val="clear" w:color="auto" w:fill="F2F2F2" w:themeFill="background1" w:themeFillShade="F2"/>
            <w:vAlign w:val="center"/>
          </w:tcPr>
          <w:p w14:paraId="71199F7C"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7</w:t>
            </w:r>
          </w:p>
        </w:tc>
        <w:tc>
          <w:tcPr>
            <w:tcW w:w="1401" w:type="dxa"/>
            <w:shd w:val="clear" w:color="auto" w:fill="F2F2F2" w:themeFill="background1" w:themeFillShade="F2"/>
            <w:vAlign w:val="center"/>
          </w:tcPr>
          <w:p w14:paraId="7F0852A0"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4</w:t>
            </w:r>
          </w:p>
        </w:tc>
      </w:tr>
      <w:tr w:rsidR="00BC59AA" w:rsidRPr="00423B69" w14:paraId="1001C85E" w14:textId="77777777" w:rsidTr="005E0038">
        <w:trPr>
          <w:trHeight w:val="249"/>
          <w:jc w:val="center"/>
        </w:trPr>
        <w:tc>
          <w:tcPr>
            <w:tcW w:w="5603" w:type="dxa"/>
            <w:vAlign w:val="center"/>
          </w:tcPr>
          <w:p w14:paraId="05A81167" w14:textId="77777777" w:rsidR="00BC59AA" w:rsidRPr="00423B69" w:rsidRDefault="00BC59AA" w:rsidP="00282D2B">
            <w:pPr>
              <w:jc w:val="both"/>
              <w:rPr>
                <w:rFonts w:ascii="Arial" w:hAnsi="Arial" w:cs="Arial"/>
                <w:sz w:val="18"/>
                <w:szCs w:val="18"/>
              </w:rPr>
            </w:pPr>
            <w:r w:rsidRPr="00423B69">
              <w:rPr>
                <w:rFonts w:ascii="Arial" w:hAnsi="Arial" w:cs="Arial"/>
                <w:color w:val="000000"/>
                <w:sz w:val="18"/>
                <w:szCs w:val="18"/>
              </w:rPr>
              <w:t>11.3. Promover modificaciones en la regulación o normativa aplicable.</w:t>
            </w:r>
          </w:p>
        </w:tc>
        <w:tc>
          <w:tcPr>
            <w:tcW w:w="1834" w:type="dxa"/>
            <w:vAlign w:val="center"/>
          </w:tcPr>
          <w:p w14:paraId="1BB05597"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6</w:t>
            </w:r>
          </w:p>
        </w:tc>
        <w:tc>
          <w:tcPr>
            <w:tcW w:w="1401" w:type="dxa"/>
            <w:vAlign w:val="center"/>
          </w:tcPr>
          <w:p w14:paraId="56D04C09"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3</w:t>
            </w:r>
          </w:p>
        </w:tc>
      </w:tr>
      <w:tr w:rsidR="00BC59AA" w:rsidRPr="00423B69" w14:paraId="2916F159" w14:textId="77777777" w:rsidTr="005E0038">
        <w:trPr>
          <w:trHeight w:val="397"/>
          <w:jc w:val="center"/>
        </w:trPr>
        <w:tc>
          <w:tcPr>
            <w:tcW w:w="5603" w:type="dxa"/>
            <w:shd w:val="clear" w:color="auto" w:fill="F2F2F2" w:themeFill="background1" w:themeFillShade="F2"/>
            <w:vAlign w:val="center"/>
          </w:tcPr>
          <w:p w14:paraId="2F70827C" w14:textId="77777777" w:rsidR="00BC59AA" w:rsidRPr="00423B69" w:rsidRDefault="00BC59AA" w:rsidP="00282D2B">
            <w:pPr>
              <w:jc w:val="both"/>
              <w:rPr>
                <w:rFonts w:ascii="Arial" w:hAnsi="Arial" w:cs="Arial"/>
                <w:sz w:val="18"/>
                <w:szCs w:val="18"/>
              </w:rPr>
            </w:pPr>
            <w:r w:rsidRPr="00423B69">
              <w:rPr>
                <w:rFonts w:ascii="Arial" w:hAnsi="Arial" w:cs="Arial"/>
                <w:color w:val="000000"/>
                <w:sz w:val="18"/>
                <w:szCs w:val="18"/>
              </w:rPr>
              <w:t>11.2. Reducir la discrecionalidad del servidor público a partir de cambios normativos.</w:t>
            </w:r>
          </w:p>
        </w:tc>
        <w:tc>
          <w:tcPr>
            <w:tcW w:w="1834" w:type="dxa"/>
            <w:shd w:val="clear" w:color="auto" w:fill="F2F2F2" w:themeFill="background1" w:themeFillShade="F2"/>
            <w:vAlign w:val="center"/>
          </w:tcPr>
          <w:p w14:paraId="0A4A9BB4"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3</w:t>
            </w:r>
          </w:p>
        </w:tc>
        <w:tc>
          <w:tcPr>
            <w:tcW w:w="1401" w:type="dxa"/>
            <w:shd w:val="clear" w:color="auto" w:fill="F2F2F2" w:themeFill="background1" w:themeFillShade="F2"/>
            <w:vAlign w:val="center"/>
          </w:tcPr>
          <w:p w14:paraId="6B43F4E5"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2</w:t>
            </w:r>
          </w:p>
        </w:tc>
      </w:tr>
      <w:tr w:rsidR="00BC59AA" w:rsidRPr="00423B69" w14:paraId="5D4D2B6E" w14:textId="77777777" w:rsidTr="005E0038">
        <w:trPr>
          <w:trHeight w:val="397"/>
          <w:jc w:val="center"/>
        </w:trPr>
        <w:tc>
          <w:tcPr>
            <w:tcW w:w="5603" w:type="dxa"/>
            <w:vAlign w:val="center"/>
          </w:tcPr>
          <w:p w14:paraId="7035BC6B" w14:textId="77777777" w:rsidR="00BC59AA" w:rsidRPr="00423B69" w:rsidRDefault="00BC59AA" w:rsidP="00282D2B">
            <w:pPr>
              <w:jc w:val="both"/>
              <w:rPr>
                <w:rFonts w:ascii="Arial" w:hAnsi="Arial" w:cs="Arial"/>
                <w:sz w:val="18"/>
                <w:szCs w:val="18"/>
              </w:rPr>
            </w:pPr>
            <w:r w:rsidRPr="00423B69">
              <w:rPr>
                <w:rFonts w:ascii="Arial" w:hAnsi="Arial" w:cs="Arial"/>
                <w:color w:val="000000"/>
                <w:sz w:val="18"/>
                <w:szCs w:val="18"/>
              </w:rPr>
              <w:t>11.7. Establecer/ mejorar la política de integridad.</w:t>
            </w:r>
          </w:p>
        </w:tc>
        <w:tc>
          <w:tcPr>
            <w:tcW w:w="1834" w:type="dxa"/>
            <w:vAlign w:val="center"/>
          </w:tcPr>
          <w:p w14:paraId="588A53F3"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1</w:t>
            </w:r>
          </w:p>
        </w:tc>
        <w:tc>
          <w:tcPr>
            <w:tcW w:w="1401" w:type="dxa"/>
            <w:vAlign w:val="center"/>
          </w:tcPr>
          <w:p w14:paraId="4DC36D83"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1</w:t>
            </w:r>
          </w:p>
        </w:tc>
      </w:tr>
      <w:tr w:rsidR="00BC59AA" w:rsidRPr="00423B69" w14:paraId="571C84C8" w14:textId="77777777" w:rsidTr="005E0038">
        <w:trPr>
          <w:trHeight w:val="397"/>
          <w:jc w:val="center"/>
        </w:trPr>
        <w:tc>
          <w:tcPr>
            <w:tcW w:w="5603" w:type="dxa"/>
            <w:shd w:val="clear" w:color="auto" w:fill="F2F2F2" w:themeFill="background1" w:themeFillShade="F2"/>
            <w:vAlign w:val="center"/>
          </w:tcPr>
          <w:p w14:paraId="748809ED" w14:textId="77777777" w:rsidR="00BC59AA" w:rsidRPr="00423B69" w:rsidRDefault="00BC59AA" w:rsidP="00282D2B">
            <w:pPr>
              <w:jc w:val="both"/>
              <w:rPr>
                <w:rFonts w:ascii="Arial" w:hAnsi="Arial" w:cs="Arial"/>
                <w:sz w:val="18"/>
                <w:szCs w:val="18"/>
              </w:rPr>
            </w:pPr>
            <w:r w:rsidRPr="00423B69">
              <w:rPr>
                <w:rFonts w:ascii="Arial" w:hAnsi="Arial" w:cs="Arial"/>
                <w:color w:val="000000"/>
                <w:sz w:val="18"/>
                <w:szCs w:val="18"/>
              </w:rPr>
              <w:t>11.8. Solicitar mayores recursos presupuestales.</w:t>
            </w:r>
          </w:p>
        </w:tc>
        <w:tc>
          <w:tcPr>
            <w:tcW w:w="1834" w:type="dxa"/>
            <w:shd w:val="clear" w:color="auto" w:fill="F2F2F2" w:themeFill="background1" w:themeFillShade="F2"/>
            <w:vAlign w:val="center"/>
          </w:tcPr>
          <w:p w14:paraId="21F1C9AD"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0</w:t>
            </w:r>
          </w:p>
        </w:tc>
        <w:tc>
          <w:tcPr>
            <w:tcW w:w="1401" w:type="dxa"/>
            <w:shd w:val="clear" w:color="auto" w:fill="F2F2F2" w:themeFill="background1" w:themeFillShade="F2"/>
            <w:vAlign w:val="center"/>
          </w:tcPr>
          <w:p w14:paraId="53D2BFFF" w14:textId="77777777" w:rsidR="00BC59AA" w:rsidRPr="001F022E" w:rsidRDefault="00BC59AA" w:rsidP="005E0038">
            <w:pPr>
              <w:spacing w:before="76" w:line="360" w:lineRule="auto"/>
              <w:ind w:left="36"/>
              <w:jc w:val="center"/>
              <w:rPr>
                <w:rFonts w:ascii="Arial" w:hAnsi="Arial" w:cs="Arial"/>
                <w:sz w:val="18"/>
                <w:szCs w:val="18"/>
              </w:rPr>
            </w:pPr>
            <w:r w:rsidRPr="001F022E">
              <w:rPr>
                <w:rFonts w:ascii="Arial" w:hAnsi="Arial" w:cs="Arial"/>
                <w:color w:val="000000"/>
                <w:sz w:val="18"/>
                <w:szCs w:val="18"/>
              </w:rPr>
              <w:t>0</w:t>
            </w:r>
          </w:p>
        </w:tc>
      </w:tr>
      <w:tr w:rsidR="00BC59AA" w:rsidRPr="00423B69" w14:paraId="4867018A" w14:textId="77777777" w:rsidTr="005E0038">
        <w:trPr>
          <w:trHeight w:val="340"/>
          <w:jc w:val="center"/>
        </w:trPr>
        <w:tc>
          <w:tcPr>
            <w:tcW w:w="5603" w:type="dxa"/>
            <w:vAlign w:val="center"/>
          </w:tcPr>
          <w:p w14:paraId="7C1EE31D" w14:textId="77777777" w:rsidR="00BC59AA" w:rsidRPr="00423B69" w:rsidRDefault="00BC59AA" w:rsidP="005E0038">
            <w:pPr>
              <w:jc w:val="right"/>
              <w:rPr>
                <w:rFonts w:ascii="Arial" w:hAnsi="Arial" w:cs="Arial"/>
                <w:b/>
                <w:sz w:val="18"/>
              </w:rPr>
            </w:pPr>
            <w:r w:rsidRPr="00423B69">
              <w:rPr>
                <w:rFonts w:ascii="Arial" w:hAnsi="Arial" w:cs="Arial"/>
                <w:b/>
                <w:sz w:val="18"/>
              </w:rPr>
              <w:t>Total</w:t>
            </w:r>
          </w:p>
        </w:tc>
        <w:tc>
          <w:tcPr>
            <w:tcW w:w="1834" w:type="dxa"/>
            <w:vAlign w:val="center"/>
          </w:tcPr>
          <w:p w14:paraId="47FBD668" w14:textId="77777777" w:rsidR="00BC59AA" w:rsidRPr="001F022E" w:rsidRDefault="00BC59AA" w:rsidP="005E0038">
            <w:pPr>
              <w:jc w:val="center"/>
              <w:rPr>
                <w:rFonts w:ascii="Arial" w:hAnsi="Arial" w:cs="Arial"/>
                <w:b/>
                <w:bCs/>
                <w:sz w:val="18"/>
                <w:szCs w:val="18"/>
              </w:rPr>
            </w:pPr>
            <w:r w:rsidRPr="001F022E">
              <w:rPr>
                <w:rFonts w:ascii="Arial" w:hAnsi="Arial" w:cs="Arial"/>
                <w:b/>
                <w:bCs/>
                <w:color w:val="000000"/>
                <w:sz w:val="18"/>
                <w:szCs w:val="18"/>
              </w:rPr>
              <w:t>191</w:t>
            </w:r>
          </w:p>
        </w:tc>
        <w:tc>
          <w:tcPr>
            <w:tcW w:w="1401" w:type="dxa"/>
            <w:vAlign w:val="center"/>
          </w:tcPr>
          <w:p w14:paraId="235D2BD3" w14:textId="77777777" w:rsidR="00BC59AA" w:rsidRPr="001F022E" w:rsidRDefault="00BC59AA" w:rsidP="005E0038">
            <w:pPr>
              <w:jc w:val="center"/>
              <w:rPr>
                <w:rFonts w:ascii="Arial" w:hAnsi="Arial" w:cs="Arial"/>
                <w:b/>
                <w:sz w:val="18"/>
                <w:szCs w:val="18"/>
              </w:rPr>
            </w:pPr>
            <w:r w:rsidRPr="001F022E">
              <w:rPr>
                <w:rFonts w:ascii="Arial" w:hAnsi="Arial" w:cs="Arial"/>
                <w:b/>
                <w:bCs/>
                <w:color w:val="000000"/>
                <w:sz w:val="18"/>
                <w:szCs w:val="18"/>
              </w:rPr>
              <w:t>100</w:t>
            </w:r>
          </w:p>
        </w:tc>
      </w:tr>
      <w:tr w:rsidR="00BC59AA" w:rsidRPr="00F7194B" w14:paraId="1188D2D8" w14:textId="77777777" w:rsidTr="005E0038">
        <w:trPr>
          <w:trHeight w:val="187"/>
          <w:jc w:val="center"/>
        </w:trPr>
        <w:tc>
          <w:tcPr>
            <w:tcW w:w="8838" w:type="dxa"/>
            <w:gridSpan w:val="3"/>
            <w:vAlign w:val="center"/>
          </w:tcPr>
          <w:p w14:paraId="32B2D457" w14:textId="77777777" w:rsidR="00BC59AA" w:rsidRPr="009C35C4" w:rsidRDefault="0071701E" w:rsidP="0071701E">
            <w:pPr>
              <w:pStyle w:val="Textoindependiente"/>
              <w:spacing w:line="276" w:lineRule="auto"/>
              <w:ind w:left="-76"/>
              <w:rPr>
                <w:sz w:val="18"/>
                <w:szCs w:val="18"/>
              </w:rPr>
            </w:pPr>
            <w:r w:rsidRPr="009C35C4">
              <w:rPr>
                <w:b/>
                <w:noProof/>
                <w:sz w:val="18"/>
                <w:szCs w:val="16"/>
                <w:lang w:eastAsia="es-MX"/>
              </w:rPr>
              <w:t>Tabla No. 19</w:t>
            </w:r>
            <w:r w:rsidR="00BC59AA" w:rsidRPr="009C35C4">
              <w:rPr>
                <w:b/>
                <w:noProof/>
                <w:sz w:val="18"/>
                <w:szCs w:val="16"/>
                <w:lang w:eastAsia="es-MX"/>
              </w:rPr>
              <w:t>:</w:t>
            </w:r>
            <w:r w:rsidR="00BC59AA" w:rsidRPr="009C35C4">
              <w:rPr>
                <w:noProof/>
                <w:sz w:val="18"/>
                <w:szCs w:val="16"/>
                <w:lang w:eastAsia="es-MX"/>
              </w:rPr>
              <w:t xml:space="preserve"> Elaboración propia, datos provenientes de los cuestionarios aplicados.</w:t>
            </w:r>
          </w:p>
        </w:tc>
      </w:tr>
    </w:tbl>
    <w:p w14:paraId="490D55A6" w14:textId="77777777" w:rsidR="00BC59AA" w:rsidRPr="00B92CE4" w:rsidRDefault="00BC59AA" w:rsidP="00BC59AA">
      <w:pPr>
        <w:pStyle w:val="Prrafodelista"/>
        <w:spacing w:line="360" w:lineRule="auto"/>
        <w:ind w:left="0" w:right="142"/>
        <w:jc w:val="both"/>
        <w:rPr>
          <w:rFonts w:ascii="Arial" w:hAnsi="Arial" w:cs="Arial"/>
          <w:sz w:val="18"/>
          <w:szCs w:val="10"/>
        </w:rPr>
      </w:pPr>
    </w:p>
    <w:p w14:paraId="1F9BAF74" w14:textId="77777777" w:rsidR="00BC59AA" w:rsidRPr="00F7194B" w:rsidRDefault="00BC59AA" w:rsidP="00BC59AA">
      <w:pPr>
        <w:spacing w:line="276" w:lineRule="auto"/>
        <w:ind w:left="283"/>
        <w:jc w:val="both"/>
        <w:rPr>
          <w:rFonts w:ascii="Arial" w:hAnsi="Arial" w:cs="Arial"/>
          <w:sz w:val="24"/>
          <w:szCs w:val="24"/>
        </w:rPr>
      </w:pPr>
      <w:r w:rsidRPr="00F7194B">
        <w:rPr>
          <w:rFonts w:ascii="Arial" w:hAnsi="Arial" w:cs="Arial"/>
          <w:sz w:val="24"/>
          <w:szCs w:val="24"/>
        </w:rPr>
        <w:t>Como se puede observar en la tabla anterior, el mejorar el control interno, fortalecer</w:t>
      </w:r>
      <w:r>
        <w:rPr>
          <w:rFonts w:ascii="Arial" w:hAnsi="Arial" w:cs="Arial"/>
          <w:sz w:val="24"/>
          <w:szCs w:val="24"/>
        </w:rPr>
        <w:t>á</w:t>
      </w:r>
      <w:r w:rsidRPr="00F7194B">
        <w:rPr>
          <w:rFonts w:ascii="Arial" w:hAnsi="Arial" w:cs="Arial"/>
          <w:sz w:val="24"/>
          <w:szCs w:val="24"/>
        </w:rPr>
        <w:t xml:space="preserve"> los procesos de planeación en las actividades sustantivas del ente, </w:t>
      </w:r>
      <w:r w:rsidR="00952E1B">
        <w:rPr>
          <w:rFonts w:ascii="Arial" w:hAnsi="Arial" w:cs="Arial"/>
          <w:sz w:val="24"/>
          <w:szCs w:val="24"/>
        </w:rPr>
        <w:t>m</w:t>
      </w:r>
      <w:r>
        <w:rPr>
          <w:rFonts w:ascii="Arial" w:hAnsi="Arial" w:cs="Arial"/>
          <w:sz w:val="24"/>
          <w:szCs w:val="24"/>
        </w:rPr>
        <w:t xml:space="preserve">ejorar la coordinación institucional con otras dependencias involucradas en la </w:t>
      </w:r>
      <w:r>
        <w:rPr>
          <w:rFonts w:ascii="Arial" w:hAnsi="Arial" w:cs="Arial"/>
          <w:sz w:val="24"/>
          <w:szCs w:val="24"/>
        </w:rPr>
        <w:lastRenderedPageBreak/>
        <w:t>implementación de fondos, programas o políticas públicas y me</w:t>
      </w:r>
      <w:r w:rsidRPr="00F7194B">
        <w:rPr>
          <w:rFonts w:ascii="Arial" w:hAnsi="Arial" w:cs="Arial"/>
          <w:sz w:val="24"/>
          <w:szCs w:val="24"/>
        </w:rPr>
        <w:t xml:space="preserve">jorar el diseño de los fondos, programas o políticas públicas, son los rubros de oportunidad más representativos para dar solución a las problemáticas detectadas ya que en conjunto representan el </w:t>
      </w:r>
      <w:r>
        <w:rPr>
          <w:rFonts w:ascii="Arial" w:hAnsi="Arial" w:cs="Arial"/>
          <w:sz w:val="24"/>
          <w:szCs w:val="24"/>
        </w:rPr>
        <w:t>9</w:t>
      </w:r>
      <w:r w:rsidR="009927D1">
        <w:rPr>
          <w:rFonts w:ascii="Arial" w:hAnsi="Arial" w:cs="Arial"/>
          <w:sz w:val="24"/>
          <w:szCs w:val="24"/>
        </w:rPr>
        <w:t>4</w:t>
      </w:r>
      <w:r w:rsidRPr="00F7194B">
        <w:rPr>
          <w:rFonts w:ascii="Arial" w:hAnsi="Arial" w:cs="Arial"/>
          <w:sz w:val="24"/>
          <w:szCs w:val="24"/>
        </w:rPr>
        <w:t xml:space="preserve"> por ciento de los registros.</w:t>
      </w:r>
    </w:p>
    <w:p w14:paraId="32A6A911" w14:textId="77777777" w:rsidR="00BC59AA" w:rsidRPr="00F7194B" w:rsidRDefault="00BC59AA" w:rsidP="00BC59AA">
      <w:pPr>
        <w:spacing w:line="276" w:lineRule="auto"/>
        <w:ind w:left="283"/>
        <w:jc w:val="both"/>
        <w:rPr>
          <w:rFonts w:ascii="Arial" w:hAnsi="Arial" w:cs="Arial"/>
          <w:sz w:val="10"/>
          <w:szCs w:val="24"/>
        </w:rPr>
      </w:pPr>
    </w:p>
    <w:p w14:paraId="3EB0C64B" w14:textId="77777777" w:rsidR="00BC59AA" w:rsidRPr="00F7194B" w:rsidRDefault="00BC59AA" w:rsidP="00BC59AA">
      <w:pPr>
        <w:spacing w:line="276" w:lineRule="auto"/>
        <w:ind w:left="283"/>
        <w:jc w:val="both"/>
        <w:rPr>
          <w:rFonts w:ascii="Arial" w:hAnsi="Arial" w:cs="Arial"/>
          <w:sz w:val="12"/>
          <w:szCs w:val="24"/>
        </w:rPr>
      </w:pPr>
      <w:r w:rsidRPr="00F7194B">
        <w:rPr>
          <w:rFonts w:ascii="Arial" w:hAnsi="Arial" w:cs="Arial"/>
          <w:sz w:val="24"/>
          <w:szCs w:val="24"/>
        </w:rPr>
        <w:t xml:space="preserve">En referencia con el área de oportunidad que representa el mejorar el control interno, se pueden identificar 8 factores </w:t>
      </w:r>
      <w:r w:rsidRPr="002641A5">
        <w:rPr>
          <w:rFonts w:ascii="Arial" w:hAnsi="Arial" w:cs="Arial"/>
          <w:sz w:val="24"/>
          <w:szCs w:val="24"/>
        </w:rPr>
        <w:t>que se describen en la siguiente tabla que fueron valorados</w:t>
      </w:r>
      <w:r w:rsidRPr="00F7194B">
        <w:rPr>
          <w:rFonts w:ascii="Arial" w:hAnsi="Arial" w:cs="Arial"/>
          <w:sz w:val="24"/>
          <w:szCs w:val="24"/>
        </w:rPr>
        <w:t xml:space="preserve"> desde el punto de vista de los auditores, resultando los de mayor relevancia, </w:t>
      </w:r>
      <w:r w:rsidRPr="003D391A">
        <w:rPr>
          <w:rFonts w:ascii="Arial" w:hAnsi="Arial" w:cs="Arial"/>
          <w:sz w:val="24"/>
          <w:szCs w:val="24"/>
        </w:rPr>
        <w:t xml:space="preserve">en primer lugar, mejorar las tareas de supervisión, incluyendo la auditoría interna y, en segundo lugar, contar con la actualización periódica de la normativa interna y realizar análisis de riesgos, con un </w:t>
      </w:r>
      <w:r>
        <w:rPr>
          <w:rFonts w:ascii="Arial" w:hAnsi="Arial" w:cs="Arial"/>
          <w:sz w:val="24"/>
          <w:szCs w:val="24"/>
        </w:rPr>
        <w:t>42</w:t>
      </w:r>
      <w:r w:rsidRPr="003D391A">
        <w:rPr>
          <w:rFonts w:ascii="Arial" w:hAnsi="Arial" w:cs="Arial"/>
          <w:sz w:val="24"/>
          <w:szCs w:val="24"/>
        </w:rPr>
        <w:t xml:space="preserve"> y un </w:t>
      </w:r>
      <w:r>
        <w:rPr>
          <w:rFonts w:ascii="Arial" w:hAnsi="Arial" w:cs="Arial"/>
          <w:sz w:val="24"/>
          <w:szCs w:val="24"/>
        </w:rPr>
        <w:t>31</w:t>
      </w:r>
      <w:r w:rsidRPr="003D391A">
        <w:rPr>
          <w:rFonts w:ascii="Arial" w:hAnsi="Arial" w:cs="Arial"/>
          <w:sz w:val="24"/>
          <w:szCs w:val="24"/>
        </w:rPr>
        <w:t xml:space="preserve"> por ciento respectivamente.</w:t>
      </w:r>
    </w:p>
    <w:p w14:paraId="1EB41246" w14:textId="77777777" w:rsidR="00BC59AA" w:rsidRPr="00716CFE" w:rsidRDefault="00BC59AA" w:rsidP="00BC59AA">
      <w:pPr>
        <w:pStyle w:val="Prrafodelista"/>
        <w:spacing w:line="360" w:lineRule="auto"/>
        <w:ind w:left="0" w:right="142"/>
        <w:jc w:val="both"/>
        <w:rPr>
          <w:rFonts w:ascii="Arial" w:hAnsi="Arial" w:cs="Arial"/>
          <w:sz w:val="16"/>
          <w:szCs w:val="16"/>
        </w:rPr>
      </w:pPr>
    </w:p>
    <w:tbl>
      <w:tblPr>
        <w:tblStyle w:val="Tablaconcuadrcul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736"/>
        <w:gridCol w:w="737"/>
        <w:gridCol w:w="737"/>
        <w:gridCol w:w="737"/>
        <w:gridCol w:w="737"/>
        <w:gridCol w:w="737"/>
        <w:gridCol w:w="737"/>
        <w:gridCol w:w="655"/>
      </w:tblGrid>
      <w:tr w:rsidR="00BC59AA" w:rsidRPr="00423B69" w14:paraId="62C095E7" w14:textId="77777777" w:rsidTr="005E0038">
        <w:trPr>
          <w:trHeight w:val="567"/>
          <w:jc w:val="center"/>
        </w:trPr>
        <w:tc>
          <w:tcPr>
            <w:tcW w:w="9498" w:type="dxa"/>
            <w:gridSpan w:val="9"/>
            <w:shd w:val="clear" w:color="auto" w:fill="A5A5A5" w:themeFill="accent3"/>
            <w:vAlign w:val="center"/>
          </w:tcPr>
          <w:p w14:paraId="7D2DD7E6" w14:textId="77777777" w:rsidR="00BC59AA" w:rsidRPr="00423B69" w:rsidRDefault="00BC59AA" w:rsidP="005E0038">
            <w:pPr>
              <w:jc w:val="center"/>
              <w:rPr>
                <w:rFonts w:ascii="Arial" w:hAnsi="Arial" w:cs="Arial"/>
                <w:b/>
                <w:color w:val="FFFFFF" w:themeColor="background1"/>
                <w:sz w:val="18"/>
                <w:szCs w:val="18"/>
              </w:rPr>
            </w:pPr>
            <w:r>
              <w:rPr>
                <w:rFonts w:ascii="Arial" w:hAnsi="Arial" w:cs="Arial"/>
                <w:b/>
                <w:color w:val="FFFFFF" w:themeColor="background1"/>
                <w:sz w:val="18"/>
                <w:szCs w:val="18"/>
              </w:rPr>
              <w:t>Áreas de Oportunidad para el Control Interno</w:t>
            </w:r>
          </w:p>
        </w:tc>
      </w:tr>
      <w:tr w:rsidR="00BC59AA" w:rsidRPr="00423B69" w14:paraId="077AC94C" w14:textId="77777777" w:rsidTr="005E0038">
        <w:trPr>
          <w:trHeight w:val="567"/>
          <w:jc w:val="center"/>
        </w:trPr>
        <w:tc>
          <w:tcPr>
            <w:tcW w:w="3685" w:type="dxa"/>
            <w:tcBorders>
              <w:right w:val="single" w:sz="4" w:space="0" w:color="FFFFFF" w:themeColor="background1"/>
            </w:tcBorders>
            <w:shd w:val="clear" w:color="auto" w:fill="A5A5A5" w:themeFill="accent3"/>
            <w:vAlign w:val="center"/>
          </w:tcPr>
          <w:p w14:paraId="1143A8CB" w14:textId="77777777" w:rsidR="00BC59AA" w:rsidRPr="00423B69" w:rsidRDefault="00BC59AA" w:rsidP="005E0038">
            <w:pPr>
              <w:jc w:val="center"/>
              <w:rPr>
                <w:rFonts w:ascii="Arial" w:hAnsi="Arial" w:cs="Arial"/>
                <w:b/>
                <w:color w:val="FFFFFF" w:themeColor="background1"/>
                <w:sz w:val="18"/>
                <w:szCs w:val="18"/>
              </w:rPr>
            </w:pPr>
            <w:r w:rsidRPr="00423B69">
              <w:rPr>
                <w:rFonts w:ascii="Arial" w:hAnsi="Arial" w:cs="Arial"/>
                <w:b/>
                <w:color w:val="FFFFFF" w:themeColor="background1"/>
                <w:sz w:val="18"/>
                <w:szCs w:val="18"/>
              </w:rPr>
              <w:t>Recomendaciones de los equipos auditores</w:t>
            </w:r>
          </w:p>
        </w:tc>
        <w:tc>
          <w:tcPr>
            <w:tcW w:w="736" w:type="dxa"/>
            <w:tcBorders>
              <w:left w:val="single" w:sz="4" w:space="0" w:color="FFFFFF" w:themeColor="background1"/>
              <w:right w:val="single" w:sz="4" w:space="0" w:color="FFFFFF" w:themeColor="background1"/>
            </w:tcBorders>
            <w:shd w:val="clear" w:color="auto" w:fill="A5A5A5" w:themeFill="accent3"/>
            <w:vAlign w:val="center"/>
          </w:tcPr>
          <w:p w14:paraId="6BAF4078" w14:textId="77777777" w:rsidR="00BC59AA" w:rsidRPr="00423B69" w:rsidRDefault="00BC59AA" w:rsidP="005E0038">
            <w:pPr>
              <w:jc w:val="center"/>
              <w:rPr>
                <w:rFonts w:ascii="Arial" w:hAnsi="Arial" w:cs="Arial"/>
                <w:b/>
                <w:color w:val="FFFFFF" w:themeColor="background1"/>
                <w:sz w:val="18"/>
                <w:szCs w:val="18"/>
              </w:rPr>
            </w:pPr>
            <w:r w:rsidRPr="00423B69">
              <w:rPr>
                <w:rFonts w:ascii="Arial" w:hAnsi="Arial" w:cs="Arial"/>
                <w:b/>
                <w:color w:val="FFFFFF" w:themeColor="background1"/>
                <w:sz w:val="18"/>
                <w:szCs w:val="18"/>
              </w:rPr>
              <w:t>1°</w:t>
            </w:r>
          </w:p>
        </w:tc>
        <w:tc>
          <w:tcPr>
            <w:tcW w:w="737" w:type="dxa"/>
            <w:tcBorders>
              <w:left w:val="single" w:sz="4" w:space="0" w:color="FFFFFF" w:themeColor="background1"/>
              <w:right w:val="single" w:sz="4" w:space="0" w:color="FFFFFF" w:themeColor="background1"/>
            </w:tcBorders>
            <w:shd w:val="clear" w:color="auto" w:fill="A5A5A5" w:themeFill="accent3"/>
            <w:vAlign w:val="center"/>
          </w:tcPr>
          <w:p w14:paraId="3D493BCC" w14:textId="77777777" w:rsidR="00BC59AA" w:rsidRPr="00423B69" w:rsidRDefault="00BC59AA" w:rsidP="005E0038">
            <w:pPr>
              <w:jc w:val="center"/>
              <w:rPr>
                <w:rFonts w:ascii="Arial" w:hAnsi="Arial" w:cs="Arial"/>
                <w:b/>
                <w:color w:val="FFFFFF" w:themeColor="background1"/>
                <w:sz w:val="18"/>
                <w:szCs w:val="18"/>
              </w:rPr>
            </w:pPr>
            <w:r w:rsidRPr="00423B69">
              <w:rPr>
                <w:rFonts w:ascii="Arial" w:hAnsi="Arial" w:cs="Arial"/>
                <w:b/>
                <w:color w:val="FFFFFF" w:themeColor="background1"/>
                <w:sz w:val="18"/>
                <w:szCs w:val="18"/>
              </w:rPr>
              <w:t>2°</w:t>
            </w:r>
          </w:p>
        </w:tc>
        <w:tc>
          <w:tcPr>
            <w:tcW w:w="737" w:type="dxa"/>
            <w:tcBorders>
              <w:left w:val="single" w:sz="4" w:space="0" w:color="FFFFFF" w:themeColor="background1"/>
              <w:right w:val="single" w:sz="4" w:space="0" w:color="FFFFFF" w:themeColor="background1"/>
            </w:tcBorders>
            <w:shd w:val="clear" w:color="auto" w:fill="A5A5A5" w:themeFill="accent3"/>
            <w:vAlign w:val="center"/>
          </w:tcPr>
          <w:p w14:paraId="3D87D2DB" w14:textId="77777777" w:rsidR="00BC59AA" w:rsidRPr="00423B69" w:rsidRDefault="00BC59AA" w:rsidP="005E0038">
            <w:pPr>
              <w:jc w:val="center"/>
              <w:rPr>
                <w:rFonts w:ascii="Arial" w:hAnsi="Arial" w:cs="Arial"/>
                <w:b/>
                <w:color w:val="FFFFFF" w:themeColor="background1"/>
                <w:sz w:val="18"/>
                <w:szCs w:val="18"/>
              </w:rPr>
            </w:pPr>
            <w:r w:rsidRPr="00423B69">
              <w:rPr>
                <w:rFonts w:ascii="Arial" w:hAnsi="Arial" w:cs="Arial"/>
                <w:b/>
                <w:color w:val="FFFFFF" w:themeColor="background1"/>
                <w:sz w:val="18"/>
                <w:szCs w:val="18"/>
              </w:rPr>
              <w:t>3°</w:t>
            </w:r>
          </w:p>
        </w:tc>
        <w:tc>
          <w:tcPr>
            <w:tcW w:w="737" w:type="dxa"/>
            <w:tcBorders>
              <w:left w:val="single" w:sz="4" w:space="0" w:color="FFFFFF" w:themeColor="background1"/>
              <w:right w:val="single" w:sz="4" w:space="0" w:color="FFFFFF" w:themeColor="background1"/>
            </w:tcBorders>
            <w:shd w:val="clear" w:color="auto" w:fill="A5A5A5" w:themeFill="accent3"/>
            <w:vAlign w:val="center"/>
          </w:tcPr>
          <w:p w14:paraId="1EB0FBEB" w14:textId="77777777" w:rsidR="00BC59AA" w:rsidRPr="00423B69" w:rsidRDefault="00BC59AA" w:rsidP="005E0038">
            <w:pPr>
              <w:jc w:val="center"/>
              <w:rPr>
                <w:rFonts w:ascii="Arial" w:hAnsi="Arial" w:cs="Arial"/>
                <w:b/>
                <w:color w:val="FFFFFF" w:themeColor="background1"/>
                <w:sz w:val="18"/>
                <w:szCs w:val="18"/>
              </w:rPr>
            </w:pPr>
            <w:r w:rsidRPr="00423B69">
              <w:rPr>
                <w:rFonts w:ascii="Arial" w:hAnsi="Arial" w:cs="Arial"/>
                <w:b/>
                <w:color w:val="FFFFFF" w:themeColor="background1"/>
                <w:sz w:val="18"/>
                <w:szCs w:val="18"/>
              </w:rPr>
              <w:t>4°</w:t>
            </w:r>
          </w:p>
        </w:tc>
        <w:tc>
          <w:tcPr>
            <w:tcW w:w="737" w:type="dxa"/>
            <w:tcBorders>
              <w:left w:val="single" w:sz="4" w:space="0" w:color="FFFFFF" w:themeColor="background1"/>
              <w:right w:val="single" w:sz="4" w:space="0" w:color="FFFFFF" w:themeColor="background1"/>
            </w:tcBorders>
            <w:shd w:val="clear" w:color="auto" w:fill="A5A5A5" w:themeFill="accent3"/>
            <w:vAlign w:val="center"/>
          </w:tcPr>
          <w:p w14:paraId="06BD307B" w14:textId="77777777" w:rsidR="00BC59AA" w:rsidRPr="00423B69" w:rsidRDefault="00BC59AA" w:rsidP="005E0038">
            <w:pPr>
              <w:jc w:val="center"/>
              <w:rPr>
                <w:rFonts w:ascii="Arial" w:hAnsi="Arial" w:cs="Arial"/>
                <w:b/>
                <w:color w:val="FFFFFF" w:themeColor="background1"/>
                <w:sz w:val="18"/>
                <w:szCs w:val="18"/>
              </w:rPr>
            </w:pPr>
            <w:r w:rsidRPr="00423B69">
              <w:rPr>
                <w:rFonts w:ascii="Arial" w:hAnsi="Arial" w:cs="Arial"/>
                <w:b/>
                <w:color w:val="FFFFFF" w:themeColor="background1"/>
                <w:sz w:val="18"/>
                <w:szCs w:val="18"/>
              </w:rPr>
              <w:t>5°</w:t>
            </w:r>
          </w:p>
        </w:tc>
        <w:tc>
          <w:tcPr>
            <w:tcW w:w="737" w:type="dxa"/>
            <w:tcBorders>
              <w:left w:val="single" w:sz="4" w:space="0" w:color="FFFFFF" w:themeColor="background1"/>
              <w:right w:val="single" w:sz="4" w:space="0" w:color="FFFFFF" w:themeColor="background1"/>
            </w:tcBorders>
            <w:shd w:val="clear" w:color="auto" w:fill="A5A5A5" w:themeFill="accent3"/>
            <w:vAlign w:val="center"/>
          </w:tcPr>
          <w:p w14:paraId="22F98473" w14:textId="77777777" w:rsidR="00BC59AA" w:rsidRPr="00423B69" w:rsidRDefault="00BC59AA" w:rsidP="005E0038">
            <w:pPr>
              <w:jc w:val="center"/>
              <w:rPr>
                <w:rFonts w:ascii="Arial" w:hAnsi="Arial" w:cs="Arial"/>
                <w:b/>
                <w:color w:val="FFFFFF" w:themeColor="background1"/>
                <w:sz w:val="18"/>
                <w:szCs w:val="18"/>
              </w:rPr>
            </w:pPr>
            <w:r w:rsidRPr="00423B69">
              <w:rPr>
                <w:rFonts w:ascii="Arial" w:hAnsi="Arial" w:cs="Arial"/>
                <w:b/>
                <w:color w:val="FFFFFF" w:themeColor="background1"/>
                <w:sz w:val="18"/>
                <w:szCs w:val="18"/>
              </w:rPr>
              <w:t>6°</w:t>
            </w:r>
          </w:p>
        </w:tc>
        <w:tc>
          <w:tcPr>
            <w:tcW w:w="737" w:type="dxa"/>
            <w:tcBorders>
              <w:left w:val="single" w:sz="4" w:space="0" w:color="FFFFFF" w:themeColor="background1"/>
            </w:tcBorders>
            <w:shd w:val="clear" w:color="auto" w:fill="A5A5A5" w:themeFill="accent3"/>
            <w:vAlign w:val="center"/>
          </w:tcPr>
          <w:p w14:paraId="595AF83B" w14:textId="77777777" w:rsidR="00BC59AA" w:rsidRPr="00423B69" w:rsidRDefault="00BC59AA" w:rsidP="005E0038">
            <w:pPr>
              <w:jc w:val="center"/>
              <w:rPr>
                <w:rFonts w:ascii="Arial" w:hAnsi="Arial" w:cs="Arial"/>
                <w:b/>
                <w:color w:val="FFFFFF" w:themeColor="background1"/>
                <w:sz w:val="18"/>
                <w:szCs w:val="18"/>
              </w:rPr>
            </w:pPr>
            <w:r w:rsidRPr="00423B69">
              <w:rPr>
                <w:rFonts w:ascii="Arial" w:hAnsi="Arial" w:cs="Arial"/>
                <w:b/>
                <w:color w:val="FFFFFF" w:themeColor="background1"/>
                <w:sz w:val="18"/>
                <w:szCs w:val="18"/>
              </w:rPr>
              <w:t>7°</w:t>
            </w:r>
          </w:p>
        </w:tc>
        <w:tc>
          <w:tcPr>
            <w:tcW w:w="655" w:type="dxa"/>
            <w:tcBorders>
              <w:left w:val="single" w:sz="4" w:space="0" w:color="FFFFFF" w:themeColor="background1"/>
            </w:tcBorders>
            <w:shd w:val="clear" w:color="auto" w:fill="A5A5A5" w:themeFill="accent3"/>
            <w:vAlign w:val="center"/>
          </w:tcPr>
          <w:p w14:paraId="11F1E214" w14:textId="77777777" w:rsidR="00BC59AA" w:rsidRPr="00423B69" w:rsidRDefault="00BC59AA" w:rsidP="005E0038">
            <w:pPr>
              <w:jc w:val="center"/>
              <w:rPr>
                <w:rFonts w:ascii="Arial" w:hAnsi="Arial" w:cs="Arial"/>
                <w:b/>
                <w:color w:val="FFFFFF" w:themeColor="background1"/>
                <w:sz w:val="18"/>
                <w:szCs w:val="18"/>
              </w:rPr>
            </w:pPr>
            <w:r w:rsidRPr="00423B69">
              <w:rPr>
                <w:rFonts w:ascii="Arial" w:hAnsi="Arial" w:cs="Arial"/>
                <w:b/>
                <w:color w:val="FFFFFF" w:themeColor="background1"/>
                <w:sz w:val="18"/>
                <w:szCs w:val="18"/>
              </w:rPr>
              <w:t>8°</w:t>
            </w:r>
          </w:p>
        </w:tc>
      </w:tr>
      <w:tr w:rsidR="00BC59AA" w:rsidRPr="00423B69" w14:paraId="1E55E364" w14:textId="77777777" w:rsidTr="005E0038">
        <w:trPr>
          <w:trHeight w:val="340"/>
          <w:jc w:val="center"/>
        </w:trPr>
        <w:tc>
          <w:tcPr>
            <w:tcW w:w="3685" w:type="dxa"/>
            <w:vMerge w:val="restart"/>
            <w:vAlign w:val="center"/>
          </w:tcPr>
          <w:p w14:paraId="0C892CA6" w14:textId="77777777" w:rsidR="00BC59AA" w:rsidRPr="00423B69" w:rsidRDefault="00BC59AA" w:rsidP="00EB395D">
            <w:pPr>
              <w:jc w:val="both"/>
              <w:rPr>
                <w:rFonts w:ascii="Arial" w:hAnsi="Arial" w:cs="Arial"/>
                <w:sz w:val="18"/>
                <w:szCs w:val="18"/>
              </w:rPr>
            </w:pPr>
            <w:r w:rsidRPr="00423B69">
              <w:rPr>
                <w:rFonts w:ascii="Arial" w:hAnsi="Arial" w:cs="Arial"/>
                <w:sz w:val="18"/>
                <w:szCs w:val="18"/>
              </w:rPr>
              <w:t>Mejorar las tareas de supervisión, incluyendo la auditoría interna.</w:t>
            </w:r>
          </w:p>
        </w:tc>
        <w:tc>
          <w:tcPr>
            <w:tcW w:w="736" w:type="dxa"/>
            <w:vAlign w:val="center"/>
          </w:tcPr>
          <w:p w14:paraId="05828D16"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61</w:t>
            </w:r>
          </w:p>
        </w:tc>
        <w:tc>
          <w:tcPr>
            <w:tcW w:w="737" w:type="dxa"/>
            <w:vAlign w:val="center"/>
          </w:tcPr>
          <w:p w14:paraId="7C6B41FB"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36</w:t>
            </w:r>
          </w:p>
        </w:tc>
        <w:tc>
          <w:tcPr>
            <w:tcW w:w="737" w:type="dxa"/>
            <w:vAlign w:val="center"/>
          </w:tcPr>
          <w:p w14:paraId="39CF34D8"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w:t>
            </w:r>
          </w:p>
        </w:tc>
        <w:tc>
          <w:tcPr>
            <w:tcW w:w="737" w:type="dxa"/>
            <w:vAlign w:val="center"/>
          </w:tcPr>
          <w:p w14:paraId="5D2B0348"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18</w:t>
            </w:r>
          </w:p>
        </w:tc>
        <w:tc>
          <w:tcPr>
            <w:tcW w:w="737" w:type="dxa"/>
            <w:vAlign w:val="center"/>
          </w:tcPr>
          <w:p w14:paraId="5629BF91"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w:t>
            </w:r>
          </w:p>
        </w:tc>
        <w:tc>
          <w:tcPr>
            <w:tcW w:w="737" w:type="dxa"/>
            <w:vAlign w:val="center"/>
          </w:tcPr>
          <w:p w14:paraId="1AA6F26C"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w:t>
            </w:r>
          </w:p>
        </w:tc>
        <w:tc>
          <w:tcPr>
            <w:tcW w:w="737" w:type="dxa"/>
            <w:vAlign w:val="center"/>
          </w:tcPr>
          <w:p w14:paraId="11AEDD6C"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w:t>
            </w:r>
          </w:p>
        </w:tc>
        <w:tc>
          <w:tcPr>
            <w:tcW w:w="655" w:type="dxa"/>
            <w:vAlign w:val="center"/>
          </w:tcPr>
          <w:p w14:paraId="7C7136F2"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17</w:t>
            </w:r>
          </w:p>
        </w:tc>
      </w:tr>
      <w:tr w:rsidR="00BC59AA" w:rsidRPr="00423B69" w14:paraId="0FFED624" w14:textId="77777777" w:rsidTr="005E0038">
        <w:trPr>
          <w:trHeight w:val="340"/>
          <w:jc w:val="center"/>
        </w:trPr>
        <w:tc>
          <w:tcPr>
            <w:tcW w:w="3685" w:type="dxa"/>
            <w:vMerge/>
            <w:vAlign w:val="center"/>
          </w:tcPr>
          <w:p w14:paraId="6001485F" w14:textId="77777777" w:rsidR="00BC59AA" w:rsidRPr="00423B69" w:rsidRDefault="00BC59AA" w:rsidP="00EB395D">
            <w:pPr>
              <w:jc w:val="both"/>
              <w:rPr>
                <w:rFonts w:ascii="Arial" w:hAnsi="Arial" w:cs="Arial"/>
                <w:sz w:val="18"/>
                <w:szCs w:val="18"/>
              </w:rPr>
            </w:pPr>
          </w:p>
        </w:tc>
        <w:tc>
          <w:tcPr>
            <w:tcW w:w="736" w:type="dxa"/>
            <w:vAlign w:val="center"/>
          </w:tcPr>
          <w:p w14:paraId="2C424492"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42%</w:t>
            </w:r>
          </w:p>
        </w:tc>
        <w:tc>
          <w:tcPr>
            <w:tcW w:w="737" w:type="dxa"/>
            <w:vAlign w:val="center"/>
          </w:tcPr>
          <w:p w14:paraId="054D69A3"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25%</w:t>
            </w:r>
          </w:p>
        </w:tc>
        <w:tc>
          <w:tcPr>
            <w:tcW w:w="737" w:type="dxa"/>
            <w:vAlign w:val="center"/>
          </w:tcPr>
          <w:p w14:paraId="05DA4878"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w:t>
            </w:r>
          </w:p>
        </w:tc>
        <w:tc>
          <w:tcPr>
            <w:tcW w:w="737" w:type="dxa"/>
            <w:vAlign w:val="center"/>
          </w:tcPr>
          <w:p w14:paraId="221AC431"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13%</w:t>
            </w:r>
          </w:p>
        </w:tc>
        <w:tc>
          <w:tcPr>
            <w:tcW w:w="737" w:type="dxa"/>
            <w:vAlign w:val="center"/>
          </w:tcPr>
          <w:p w14:paraId="77E53FCC"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w:t>
            </w:r>
          </w:p>
        </w:tc>
        <w:tc>
          <w:tcPr>
            <w:tcW w:w="737" w:type="dxa"/>
            <w:vAlign w:val="center"/>
          </w:tcPr>
          <w:p w14:paraId="30CD7790"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w:t>
            </w:r>
          </w:p>
        </w:tc>
        <w:tc>
          <w:tcPr>
            <w:tcW w:w="737" w:type="dxa"/>
            <w:vAlign w:val="center"/>
          </w:tcPr>
          <w:p w14:paraId="55708BEE"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w:t>
            </w:r>
          </w:p>
        </w:tc>
        <w:tc>
          <w:tcPr>
            <w:tcW w:w="655" w:type="dxa"/>
            <w:vAlign w:val="center"/>
          </w:tcPr>
          <w:p w14:paraId="59B50147"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12%</w:t>
            </w:r>
          </w:p>
        </w:tc>
      </w:tr>
      <w:tr w:rsidR="00BC59AA" w:rsidRPr="00423B69" w14:paraId="7E2047EA" w14:textId="77777777" w:rsidTr="005E0038">
        <w:trPr>
          <w:trHeight w:val="340"/>
          <w:jc w:val="center"/>
        </w:trPr>
        <w:tc>
          <w:tcPr>
            <w:tcW w:w="3685" w:type="dxa"/>
            <w:vMerge w:val="restart"/>
            <w:shd w:val="clear" w:color="auto" w:fill="F2F2F2" w:themeFill="background1" w:themeFillShade="F2"/>
            <w:vAlign w:val="center"/>
          </w:tcPr>
          <w:p w14:paraId="3E69D249" w14:textId="77777777" w:rsidR="00BC59AA" w:rsidRPr="00423B69" w:rsidRDefault="00BC59AA" w:rsidP="00EB395D">
            <w:pPr>
              <w:jc w:val="both"/>
              <w:rPr>
                <w:rFonts w:ascii="Arial" w:hAnsi="Arial" w:cs="Arial"/>
                <w:sz w:val="18"/>
                <w:szCs w:val="18"/>
              </w:rPr>
            </w:pPr>
            <w:r w:rsidRPr="00423B69">
              <w:rPr>
                <w:rFonts w:ascii="Arial" w:hAnsi="Arial" w:cs="Arial"/>
                <w:sz w:val="18"/>
                <w:szCs w:val="18"/>
              </w:rPr>
              <w:t>Actualizar Periódicamente la Normativa Interna y realizar análisis de riesgos.</w:t>
            </w:r>
          </w:p>
        </w:tc>
        <w:tc>
          <w:tcPr>
            <w:tcW w:w="736" w:type="dxa"/>
            <w:shd w:val="clear" w:color="auto" w:fill="F2F2F2" w:themeFill="background1" w:themeFillShade="F2"/>
            <w:vAlign w:val="center"/>
          </w:tcPr>
          <w:p w14:paraId="7CB4FEA0"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46</w:t>
            </w:r>
          </w:p>
        </w:tc>
        <w:tc>
          <w:tcPr>
            <w:tcW w:w="737" w:type="dxa"/>
            <w:shd w:val="clear" w:color="auto" w:fill="F2F2F2" w:themeFill="background1" w:themeFillShade="F2"/>
            <w:vAlign w:val="center"/>
          </w:tcPr>
          <w:p w14:paraId="46994499"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5</w:t>
            </w:r>
          </w:p>
        </w:tc>
        <w:tc>
          <w:tcPr>
            <w:tcW w:w="737" w:type="dxa"/>
            <w:shd w:val="clear" w:color="auto" w:fill="F2F2F2" w:themeFill="background1" w:themeFillShade="F2"/>
            <w:vAlign w:val="center"/>
          </w:tcPr>
          <w:p w14:paraId="00E980D2"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6</w:t>
            </w:r>
          </w:p>
        </w:tc>
        <w:tc>
          <w:tcPr>
            <w:tcW w:w="737" w:type="dxa"/>
            <w:shd w:val="clear" w:color="auto" w:fill="F2F2F2" w:themeFill="background1" w:themeFillShade="F2"/>
            <w:vAlign w:val="center"/>
          </w:tcPr>
          <w:p w14:paraId="18FFA699"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15</w:t>
            </w:r>
          </w:p>
        </w:tc>
        <w:tc>
          <w:tcPr>
            <w:tcW w:w="737" w:type="dxa"/>
            <w:shd w:val="clear" w:color="auto" w:fill="F2F2F2" w:themeFill="background1" w:themeFillShade="F2"/>
            <w:vAlign w:val="center"/>
          </w:tcPr>
          <w:p w14:paraId="22A6F8C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35</w:t>
            </w:r>
          </w:p>
        </w:tc>
        <w:tc>
          <w:tcPr>
            <w:tcW w:w="737" w:type="dxa"/>
            <w:shd w:val="clear" w:color="auto" w:fill="F2F2F2" w:themeFill="background1" w:themeFillShade="F2"/>
            <w:vAlign w:val="center"/>
          </w:tcPr>
          <w:p w14:paraId="7AA39ECF"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20</w:t>
            </w:r>
          </w:p>
        </w:tc>
        <w:tc>
          <w:tcPr>
            <w:tcW w:w="737" w:type="dxa"/>
            <w:shd w:val="clear" w:color="auto" w:fill="F2F2F2" w:themeFill="background1" w:themeFillShade="F2"/>
            <w:vAlign w:val="center"/>
          </w:tcPr>
          <w:p w14:paraId="7210549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6</w:t>
            </w:r>
          </w:p>
        </w:tc>
        <w:tc>
          <w:tcPr>
            <w:tcW w:w="655" w:type="dxa"/>
            <w:shd w:val="clear" w:color="auto" w:fill="F2F2F2" w:themeFill="background1" w:themeFillShade="F2"/>
            <w:vAlign w:val="center"/>
          </w:tcPr>
          <w:p w14:paraId="7789D794"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11</w:t>
            </w:r>
          </w:p>
        </w:tc>
      </w:tr>
      <w:tr w:rsidR="00BC59AA" w:rsidRPr="00423B69" w14:paraId="731AC4F1" w14:textId="77777777" w:rsidTr="005E0038">
        <w:trPr>
          <w:trHeight w:val="340"/>
          <w:jc w:val="center"/>
        </w:trPr>
        <w:tc>
          <w:tcPr>
            <w:tcW w:w="3685" w:type="dxa"/>
            <w:vMerge/>
            <w:shd w:val="clear" w:color="auto" w:fill="F2F2F2" w:themeFill="background1" w:themeFillShade="F2"/>
            <w:vAlign w:val="center"/>
          </w:tcPr>
          <w:p w14:paraId="3773E5A7" w14:textId="77777777" w:rsidR="00BC59AA" w:rsidRPr="00423B69" w:rsidRDefault="00BC59AA" w:rsidP="00EB395D">
            <w:pPr>
              <w:jc w:val="both"/>
              <w:rPr>
                <w:rFonts w:ascii="Arial" w:hAnsi="Arial" w:cs="Arial"/>
                <w:sz w:val="18"/>
                <w:szCs w:val="18"/>
              </w:rPr>
            </w:pPr>
          </w:p>
        </w:tc>
        <w:tc>
          <w:tcPr>
            <w:tcW w:w="736" w:type="dxa"/>
            <w:shd w:val="clear" w:color="auto" w:fill="F2F2F2" w:themeFill="background1" w:themeFillShade="F2"/>
            <w:vAlign w:val="center"/>
          </w:tcPr>
          <w:p w14:paraId="743E0511"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31%</w:t>
            </w:r>
          </w:p>
        </w:tc>
        <w:tc>
          <w:tcPr>
            <w:tcW w:w="737" w:type="dxa"/>
            <w:shd w:val="clear" w:color="auto" w:fill="F2F2F2" w:themeFill="background1" w:themeFillShade="F2"/>
            <w:vAlign w:val="center"/>
          </w:tcPr>
          <w:p w14:paraId="0A554F5F"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w:t>
            </w:r>
          </w:p>
        </w:tc>
        <w:tc>
          <w:tcPr>
            <w:tcW w:w="737" w:type="dxa"/>
            <w:shd w:val="clear" w:color="auto" w:fill="F2F2F2" w:themeFill="background1" w:themeFillShade="F2"/>
            <w:vAlign w:val="center"/>
          </w:tcPr>
          <w:p w14:paraId="05D29C19"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w:t>
            </w:r>
          </w:p>
        </w:tc>
        <w:tc>
          <w:tcPr>
            <w:tcW w:w="737" w:type="dxa"/>
            <w:shd w:val="clear" w:color="auto" w:fill="F2F2F2" w:themeFill="background1" w:themeFillShade="F2"/>
            <w:vAlign w:val="center"/>
          </w:tcPr>
          <w:p w14:paraId="7BBB217A"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10%</w:t>
            </w:r>
          </w:p>
        </w:tc>
        <w:tc>
          <w:tcPr>
            <w:tcW w:w="737" w:type="dxa"/>
            <w:shd w:val="clear" w:color="auto" w:fill="F2F2F2" w:themeFill="background1" w:themeFillShade="F2"/>
            <w:vAlign w:val="center"/>
          </w:tcPr>
          <w:p w14:paraId="55004094"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24%</w:t>
            </w:r>
          </w:p>
        </w:tc>
        <w:tc>
          <w:tcPr>
            <w:tcW w:w="737" w:type="dxa"/>
            <w:shd w:val="clear" w:color="auto" w:fill="F2F2F2" w:themeFill="background1" w:themeFillShade="F2"/>
            <w:vAlign w:val="center"/>
          </w:tcPr>
          <w:p w14:paraId="05BA3FF7"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14%</w:t>
            </w:r>
          </w:p>
        </w:tc>
        <w:tc>
          <w:tcPr>
            <w:tcW w:w="737" w:type="dxa"/>
            <w:shd w:val="clear" w:color="auto" w:fill="F2F2F2" w:themeFill="background1" w:themeFillShade="F2"/>
            <w:vAlign w:val="center"/>
          </w:tcPr>
          <w:p w14:paraId="5534A42C"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w:t>
            </w:r>
          </w:p>
        </w:tc>
        <w:tc>
          <w:tcPr>
            <w:tcW w:w="655" w:type="dxa"/>
            <w:shd w:val="clear" w:color="auto" w:fill="F2F2F2" w:themeFill="background1" w:themeFillShade="F2"/>
            <w:vAlign w:val="center"/>
          </w:tcPr>
          <w:p w14:paraId="5F8B03B9"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7%</w:t>
            </w:r>
          </w:p>
        </w:tc>
      </w:tr>
      <w:tr w:rsidR="00BC59AA" w:rsidRPr="00423B69" w14:paraId="0BBCEA81" w14:textId="77777777" w:rsidTr="005E0038">
        <w:trPr>
          <w:trHeight w:val="340"/>
          <w:jc w:val="center"/>
        </w:trPr>
        <w:tc>
          <w:tcPr>
            <w:tcW w:w="3685" w:type="dxa"/>
            <w:vMerge w:val="restart"/>
            <w:vAlign w:val="center"/>
          </w:tcPr>
          <w:p w14:paraId="6502519A" w14:textId="77777777" w:rsidR="00BC59AA" w:rsidRPr="00423B69" w:rsidRDefault="00BC59AA" w:rsidP="00EB395D">
            <w:pPr>
              <w:spacing w:after="160" w:line="259" w:lineRule="auto"/>
              <w:jc w:val="both"/>
              <w:rPr>
                <w:rFonts w:ascii="Arial" w:hAnsi="Arial" w:cs="Arial"/>
                <w:sz w:val="18"/>
                <w:szCs w:val="18"/>
              </w:rPr>
            </w:pPr>
            <w:r w:rsidRPr="00423B69">
              <w:rPr>
                <w:rFonts w:ascii="Arial" w:hAnsi="Arial" w:cs="Arial"/>
                <w:sz w:val="18"/>
                <w:szCs w:val="18"/>
              </w:rPr>
              <w:t>Mejorar la planificación de los procedimientos de contratación/ licitación (plazos, riesgos, autorizaciones, permisos, definición clara de los servicios requeridos, proyectos ejecutivos, evaluaciones de proyectos, etc.)</w:t>
            </w:r>
            <w:r>
              <w:rPr>
                <w:rFonts w:ascii="Arial" w:hAnsi="Arial" w:cs="Arial"/>
                <w:sz w:val="18"/>
                <w:szCs w:val="18"/>
              </w:rPr>
              <w:t>.</w:t>
            </w:r>
          </w:p>
        </w:tc>
        <w:tc>
          <w:tcPr>
            <w:tcW w:w="736" w:type="dxa"/>
            <w:vAlign w:val="center"/>
          </w:tcPr>
          <w:p w14:paraId="25016B1F"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10</w:t>
            </w:r>
          </w:p>
        </w:tc>
        <w:tc>
          <w:tcPr>
            <w:tcW w:w="737" w:type="dxa"/>
            <w:vAlign w:val="center"/>
          </w:tcPr>
          <w:p w14:paraId="42774680"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16</w:t>
            </w:r>
          </w:p>
        </w:tc>
        <w:tc>
          <w:tcPr>
            <w:tcW w:w="737" w:type="dxa"/>
            <w:vAlign w:val="center"/>
          </w:tcPr>
          <w:p w14:paraId="74D865DA"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11</w:t>
            </w:r>
          </w:p>
        </w:tc>
        <w:tc>
          <w:tcPr>
            <w:tcW w:w="737" w:type="dxa"/>
            <w:vAlign w:val="center"/>
          </w:tcPr>
          <w:p w14:paraId="2CC855BB"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36</w:t>
            </w:r>
          </w:p>
        </w:tc>
        <w:tc>
          <w:tcPr>
            <w:tcW w:w="737" w:type="dxa"/>
            <w:vAlign w:val="center"/>
          </w:tcPr>
          <w:p w14:paraId="1C8DB264"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13</w:t>
            </w:r>
          </w:p>
        </w:tc>
        <w:tc>
          <w:tcPr>
            <w:tcW w:w="737" w:type="dxa"/>
            <w:vAlign w:val="center"/>
          </w:tcPr>
          <w:p w14:paraId="03015670"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25</w:t>
            </w:r>
          </w:p>
        </w:tc>
        <w:tc>
          <w:tcPr>
            <w:tcW w:w="737" w:type="dxa"/>
            <w:vAlign w:val="center"/>
          </w:tcPr>
          <w:p w14:paraId="655DAB53"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19</w:t>
            </w:r>
          </w:p>
        </w:tc>
        <w:tc>
          <w:tcPr>
            <w:tcW w:w="655" w:type="dxa"/>
            <w:vAlign w:val="center"/>
          </w:tcPr>
          <w:p w14:paraId="5582888A"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14</w:t>
            </w:r>
          </w:p>
        </w:tc>
      </w:tr>
      <w:tr w:rsidR="00BC59AA" w:rsidRPr="00423B69" w14:paraId="4AD2427D" w14:textId="77777777" w:rsidTr="005E0038">
        <w:trPr>
          <w:trHeight w:val="340"/>
          <w:jc w:val="center"/>
        </w:trPr>
        <w:tc>
          <w:tcPr>
            <w:tcW w:w="3685" w:type="dxa"/>
            <w:vMerge/>
            <w:vAlign w:val="center"/>
          </w:tcPr>
          <w:p w14:paraId="697D1E91" w14:textId="77777777" w:rsidR="00BC59AA" w:rsidRPr="00423B69" w:rsidRDefault="00BC59AA" w:rsidP="00EB395D">
            <w:pPr>
              <w:jc w:val="both"/>
              <w:rPr>
                <w:rFonts w:ascii="Arial" w:hAnsi="Arial" w:cs="Arial"/>
                <w:sz w:val="18"/>
                <w:szCs w:val="18"/>
              </w:rPr>
            </w:pPr>
          </w:p>
        </w:tc>
        <w:tc>
          <w:tcPr>
            <w:tcW w:w="736" w:type="dxa"/>
            <w:vAlign w:val="center"/>
          </w:tcPr>
          <w:p w14:paraId="000A9A5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8%</w:t>
            </w:r>
          </w:p>
        </w:tc>
        <w:tc>
          <w:tcPr>
            <w:tcW w:w="737" w:type="dxa"/>
            <w:vAlign w:val="center"/>
          </w:tcPr>
          <w:p w14:paraId="31D094AA"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14%</w:t>
            </w:r>
          </w:p>
        </w:tc>
        <w:tc>
          <w:tcPr>
            <w:tcW w:w="737" w:type="dxa"/>
            <w:vAlign w:val="center"/>
          </w:tcPr>
          <w:p w14:paraId="29E3FE0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9%</w:t>
            </w:r>
          </w:p>
        </w:tc>
        <w:tc>
          <w:tcPr>
            <w:tcW w:w="737" w:type="dxa"/>
            <w:vAlign w:val="center"/>
          </w:tcPr>
          <w:p w14:paraId="2A95F3FE"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31%</w:t>
            </w:r>
          </w:p>
        </w:tc>
        <w:tc>
          <w:tcPr>
            <w:tcW w:w="737" w:type="dxa"/>
            <w:vAlign w:val="center"/>
          </w:tcPr>
          <w:p w14:paraId="55BE24C0"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11%</w:t>
            </w:r>
          </w:p>
        </w:tc>
        <w:tc>
          <w:tcPr>
            <w:tcW w:w="737" w:type="dxa"/>
            <w:vAlign w:val="center"/>
          </w:tcPr>
          <w:p w14:paraId="7A94AC8B"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21%</w:t>
            </w:r>
          </w:p>
        </w:tc>
        <w:tc>
          <w:tcPr>
            <w:tcW w:w="737" w:type="dxa"/>
            <w:vAlign w:val="center"/>
          </w:tcPr>
          <w:p w14:paraId="34AC45AF"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16%</w:t>
            </w:r>
          </w:p>
        </w:tc>
        <w:tc>
          <w:tcPr>
            <w:tcW w:w="655" w:type="dxa"/>
            <w:vAlign w:val="center"/>
          </w:tcPr>
          <w:p w14:paraId="4FFA27B6"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12%</w:t>
            </w:r>
          </w:p>
        </w:tc>
      </w:tr>
      <w:tr w:rsidR="00BC59AA" w:rsidRPr="00423B69" w14:paraId="00DE0E60" w14:textId="77777777" w:rsidTr="005E0038">
        <w:trPr>
          <w:trHeight w:val="340"/>
          <w:jc w:val="center"/>
        </w:trPr>
        <w:tc>
          <w:tcPr>
            <w:tcW w:w="3685" w:type="dxa"/>
            <w:vMerge w:val="restart"/>
            <w:shd w:val="clear" w:color="auto" w:fill="F2F2F2" w:themeFill="background1" w:themeFillShade="F2"/>
            <w:vAlign w:val="center"/>
          </w:tcPr>
          <w:p w14:paraId="7F4D9949" w14:textId="77777777" w:rsidR="00BC59AA" w:rsidRPr="00423B69" w:rsidRDefault="00BC59AA" w:rsidP="00EB395D">
            <w:pPr>
              <w:jc w:val="both"/>
              <w:rPr>
                <w:rFonts w:ascii="Arial" w:hAnsi="Arial" w:cs="Arial"/>
                <w:sz w:val="18"/>
                <w:szCs w:val="18"/>
              </w:rPr>
            </w:pPr>
            <w:r w:rsidRPr="00423B69">
              <w:rPr>
                <w:rFonts w:ascii="Arial" w:hAnsi="Arial" w:cs="Arial"/>
                <w:sz w:val="18"/>
                <w:szCs w:val="18"/>
              </w:rPr>
              <w:t>Mejorar la cadena de responsabilidades (procesos de autorización)</w:t>
            </w:r>
          </w:p>
        </w:tc>
        <w:tc>
          <w:tcPr>
            <w:tcW w:w="736" w:type="dxa"/>
            <w:shd w:val="clear" w:color="auto" w:fill="F2F2F2" w:themeFill="background1" w:themeFillShade="F2"/>
            <w:vAlign w:val="center"/>
          </w:tcPr>
          <w:p w14:paraId="5EFE8A97"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10</w:t>
            </w:r>
          </w:p>
        </w:tc>
        <w:tc>
          <w:tcPr>
            <w:tcW w:w="737" w:type="dxa"/>
            <w:shd w:val="clear" w:color="auto" w:fill="F2F2F2" w:themeFill="background1" w:themeFillShade="F2"/>
            <w:vAlign w:val="center"/>
          </w:tcPr>
          <w:p w14:paraId="6617B378"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40</w:t>
            </w:r>
          </w:p>
        </w:tc>
        <w:tc>
          <w:tcPr>
            <w:tcW w:w="737" w:type="dxa"/>
            <w:shd w:val="clear" w:color="auto" w:fill="F2F2F2" w:themeFill="background1" w:themeFillShade="F2"/>
            <w:vAlign w:val="center"/>
          </w:tcPr>
          <w:p w14:paraId="364D0306"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24</w:t>
            </w:r>
          </w:p>
        </w:tc>
        <w:tc>
          <w:tcPr>
            <w:tcW w:w="737" w:type="dxa"/>
            <w:shd w:val="clear" w:color="auto" w:fill="F2F2F2" w:themeFill="background1" w:themeFillShade="F2"/>
            <w:vAlign w:val="center"/>
          </w:tcPr>
          <w:p w14:paraId="4379BD6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30</w:t>
            </w:r>
          </w:p>
        </w:tc>
        <w:tc>
          <w:tcPr>
            <w:tcW w:w="737" w:type="dxa"/>
            <w:shd w:val="clear" w:color="auto" w:fill="F2F2F2" w:themeFill="background1" w:themeFillShade="F2"/>
            <w:vAlign w:val="center"/>
          </w:tcPr>
          <w:p w14:paraId="306398B8"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5</w:t>
            </w:r>
          </w:p>
        </w:tc>
        <w:tc>
          <w:tcPr>
            <w:tcW w:w="737" w:type="dxa"/>
            <w:shd w:val="clear" w:color="auto" w:fill="F2F2F2" w:themeFill="background1" w:themeFillShade="F2"/>
            <w:vAlign w:val="center"/>
          </w:tcPr>
          <w:p w14:paraId="77E69A31"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11</w:t>
            </w:r>
          </w:p>
        </w:tc>
        <w:tc>
          <w:tcPr>
            <w:tcW w:w="737" w:type="dxa"/>
            <w:shd w:val="clear" w:color="auto" w:fill="F2F2F2" w:themeFill="background1" w:themeFillShade="F2"/>
            <w:vAlign w:val="center"/>
          </w:tcPr>
          <w:p w14:paraId="64B6315A"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23</w:t>
            </w:r>
          </w:p>
        </w:tc>
        <w:tc>
          <w:tcPr>
            <w:tcW w:w="655" w:type="dxa"/>
            <w:shd w:val="clear" w:color="auto" w:fill="F2F2F2" w:themeFill="background1" w:themeFillShade="F2"/>
            <w:vAlign w:val="center"/>
          </w:tcPr>
          <w:p w14:paraId="3C9024BC"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w:t>
            </w:r>
          </w:p>
        </w:tc>
      </w:tr>
      <w:tr w:rsidR="00BC59AA" w:rsidRPr="00423B69" w14:paraId="69804FAA" w14:textId="77777777" w:rsidTr="005E0038">
        <w:trPr>
          <w:trHeight w:val="340"/>
          <w:jc w:val="center"/>
        </w:trPr>
        <w:tc>
          <w:tcPr>
            <w:tcW w:w="3685" w:type="dxa"/>
            <w:vMerge/>
            <w:shd w:val="clear" w:color="auto" w:fill="F2F2F2" w:themeFill="background1" w:themeFillShade="F2"/>
            <w:vAlign w:val="center"/>
          </w:tcPr>
          <w:p w14:paraId="61DA36B0" w14:textId="77777777" w:rsidR="00BC59AA" w:rsidRPr="00423B69" w:rsidRDefault="00BC59AA" w:rsidP="00EB395D">
            <w:pPr>
              <w:jc w:val="both"/>
              <w:rPr>
                <w:rFonts w:ascii="Arial" w:hAnsi="Arial" w:cs="Arial"/>
                <w:sz w:val="18"/>
                <w:szCs w:val="18"/>
              </w:rPr>
            </w:pPr>
          </w:p>
        </w:tc>
        <w:tc>
          <w:tcPr>
            <w:tcW w:w="736" w:type="dxa"/>
            <w:shd w:val="clear" w:color="auto" w:fill="F2F2F2" w:themeFill="background1" w:themeFillShade="F2"/>
            <w:vAlign w:val="center"/>
          </w:tcPr>
          <w:p w14:paraId="0B70F886"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8%</w:t>
            </w:r>
          </w:p>
        </w:tc>
        <w:tc>
          <w:tcPr>
            <w:tcW w:w="737" w:type="dxa"/>
            <w:shd w:val="clear" w:color="auto" w:fill="F2F2F2" w:themeFill="background1" w:themeFillShade="F2"/>
            <w:vAlign w:val="center"/>
          </w:tcPr>
          <w:p w14:paraId="07FAF1EB"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34%</w:t>
            </w:r>
          </w:p>
        </w:tc>
        <w:tc>
          <w:tcPr>
            <w:tcW w:w="737" w:type="dxa"/>
            <w:shd w:val="clear" w:color="auto" w:fill="F2F2F2" w:themeFill="background1" w:themeFillShade="F2"/>
            <w:vAlign w:val="center"/>
          </w:tcPr>
          <w:p w14:paraId="411F718E"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20%</w:t>
            </w:r>
          </w:p>
        </w:tc>
        <w:tc>
          <w:tcPr>
            <w:tcW w:w="737" w:type="dxa"/>
            <w:shd w:val="clear" w:color="auto" w:fill="F2F2F2" w:themeFill="background1" w:themeFillShade="F2"/>
            <w:vAlign w:val="center"/>
          </w:tcPr>
          <w:p w14:paraId="6E541C5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25%</w:t>
            </w:r>
          </w:p>
        </w:tc>
        <w:tc>
          <w:tcPr>
            <w:tcW w:w="737" w:type="dxa"/>
            <w:shd w:val="clear" w:color="auto" w:fill="F2F2F2" w:themeFill="background1" w:themeFillShade="F2"/>
            <w:vAlign w:val="center"/>
          </w:tcPr>
          <w:p w14:paraId="2BD11C70"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w:t>
            </w:r>
          </w:p>
        </w:tc>
        <w:tc>
          <w:tcPr>
            <w:tcW w:w="737" w:type="dxa"/>
            <w:shd w:val="clear" w:color="auto" w:fill="F2F2F2" w:themeFill="background1" w:themeFillShade="F2"/>
            <w:vAlign w:val="center"/>
          </w:tcPr>
          <w:p w14:paraId="103CC9E2"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9%</w:t>
            </w:r>
          </w:p>
        </w:tc>
        <w:tc>
          <w:tcPr>
            <w:tcW w:w="737" w:type="dxa"/>
            <w:shd w:val="clear" w:color="auto" w:fill="F2F2F2" w:themeFill="background1" w:themeFillShade="F2"/>
            <w:vAlign w:val="center"/>
          </w:tcPr>
          <w:p w14:paraId="0719AAB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19%</w:t>
            </w:r>
          </w:p>
        </w:tc>
        <w:tc>
          <w:tcPr>
            <w:tcW w:w="655" w:type="dxa"/>
            <w:shd w:val="clear" w:color="auto" w:fill="F2F2F2" w:themeFill="background1" w:themeFillShade="F2"/>
            <w:vAlign w:val="center"/>
          </w:tcPr>
          <w:p w14:paraId="7EB7BAA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w:t>
            </w:r>
          </w:p>
        </w:tc>
      </w:tr>
      <w:tr w:rsidR="00BC59AA" w:rsidRPr="00423B69" w14:paraId="120C58FE" w14:textId="77777777" w:rsidTr="005E0038">
        <w:trPr>
          <w:trHeight w:val="340"/>
          <w:jc w:val="center"/>
        </w:trPr>
        <w:tc>
          <w:tcPr>
            <w:tcW w:w="3685" w:type="dxa"/>
            <w:vMerge w:val="restart"/>
            <w:vAlign w:val="center"/>
          </w:tcPr>
          <w:p w14:paraId="7A7D132E" w14:textId="77777777" w:rsidR="00BC59AA" w:rsidRPr="00423B69" w:rsidRDefault="00BC59AA" w:rsidP="00EB395D">
            <w:pPr>
              <w:jc w:val="both"/>
              <w:rPr>
                <w:rFonts w:ascii="Arial" w:hAnsi="Arial" w:cs="Arial"/>
                <w:sz w:val="18"/>
                <w:szCs w:val="18"/>
              </w:rPr>
            </w:pPr>
            <w:r w:rsidRPr="00423B69">
              <w:rPr>
                <w:rFonts w:ascii="Arial" w:hAnsi="Arial" w:cs="Arial"/>
                <w:sz w:val="18"/>
                <w:szCs w:val="18"/>
              </w:rPr>
              <w:t>Mejorar los procesos involucrados en la operación del ente.</w:t>
            </w:r>
          </w:p>
        </w:tc>
        <w:tc>
          <w:tcPr>
            <w:tcW w:w="736" w:type="dxa"/>
            <w:vAlign w:val="center"/>
          </w:tcPr>
          <w:p w14:paraId="2B55D787"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10</w:t>
            </w:r>
          </w:p>
        </w:tc>
        <w:tc>
          <w:tcPr>
            <w:tcW w:w="737" w:type="dxa"/>
            <w:vAlign w:val="center"/>
          </w:tcPr>
          <w:p w14:paraId="173A2DC9"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40</w:t>
            </w:r>
          </w:p>
        </w:tc>
        <w:tc>
          <w:tcPr>
            <w:tcW w:w="737" w:type="dxa"/>
            <w:vAlign w:val="center"/>
          </w:tcPr>
          <w:p w14:paraId="2DFB466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24</w:t>
            </w:r>
          </w:p>
        </w:tc>
        <w:tc>
          <w:tcPr>
            <w:tcW w:w="737" w:type="dxa"/>
            <w:vAlign w:val="center"/>
          </w:tcPr>
          <w:p w14:paraId="1BC86A62"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30</w:t>
            </w:r>
          </w:p>
        </w:tc>
        <w:tc>
          <w:tcPr>
            <w:tcW w:w="737" w:type="dxa"/>
            <w:vAlign w:val="center"/>
          </w:tcPr>
          <w:p w14:paraId="72A5F55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5</w:t>
            </w:r>
          </w:p>
        </w:tc>
        <w:tc>
          <w:tcPr>
            <w:tcW w:w="737" w:type="dxa"/>
            <w:vAlign w:val="center"/>
          </w:tcPr>
          <w:p w14:paraId="63C1C5DF"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11</w:t>
            </w:r>
          </w:p>
        </w:tc>
        <w:tc>
          <w:tcPr>
            <w:tcW w:w="737" w:type="dxa"/>
            <w:vAlign w:val="center"/>
          </w:tcPr>
          <w:p w14:paraId="1BD0EFEE"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23</w:t>
            </w:r>
          </w:p>
        </w:tc>
        <w:tc>
          <w:tcPr>
            <w:tcW w:w="655" w:type="dxa"/>
            <w:vAlign w:val="center"/>
          </w:tcPr>
          <w:p w14:paraId="399130D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w:t>
            </w:r>
          </w:p>
        </w:tc>
      </w:tr>
      <w:tr w:rsidR="00BC59AA" w:rsidRPr="00423B69" w14:paraId="153091CD" w14:textId="77777777" w:rsidTr="005E0038">
        <w:trPr>
          <w:trHeight w:val="340"/>
          <w:jc w:val="center"/>
        </w:trPr>
        <w:tc>
          <w:tcPr>
            <w:tcW w:w="3685" w:type="dxa"/>
            <w:vMerge/>
            <w:vAlign w:val="center"/>
          </w:tcPr>
          <w:p w14:paraId="7EBEBF6B" w14:textId="77777777" w:rsidR="00BC59AA" w:rsidRPr="00423B69" w:rsidRDefault="00BC59AA" w:rsidP="00EB395D">
            <w:pPr>
              <w:jc w:val="both"/>
              <w:rPr>
                <w:rFonts w:ascii="Arial" w:hAnsi="Arial" w:cs="Arial"/>
                <w:sz w:val="18"/>
                <w:szCs w:val="18"/>
              </w:rPr>
            </w:pPr>
          </w:p>
        </w:tc>
        <w:tc>
          <w:tcPr>
            <w:tcW w:w="736" w:type="dxa"/>
            <w:vAlign w:val="center"/>
          </w:tcPr>
          <w:p w14:paraId="76C2601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8%</w:t>
            </w:r>
          </w:p>
        </w:tc>
        <w:tc>
          <w:tcPr>
            <w:tcW w:w="737" w:type="dxa"/>
            <w:vAlign w:val="center"/>
          </w:tcPr>
          <w:p w14:paraId="19ECFB58"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34%</w:t>
            </w:r>
          </w:p>
        </w:tc>
        <w:tc>
          <w:tcPr>
            <w:tcW w:w="737" w:type="dxa"/>
            <w:vAlign w:val="center"/>
          </w:tcPr>
          <w:p w14:paraId="3373203B"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20%</w:t>
            </w:r>
          </w:p>
        </w:tc>
        <w:tc>
          <w:tcPr>
            <w:tcW w:w="737" w:type="dxa"/>
            <w:vAlign w:val="center"/>
          </w:tcPr>
          <w:p w14:paraId="62A8594A"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25%</w:t>
            </w:r>
          </w:p>
        </w:tc>
        <w:tc>
          <w:tcPr>
            <w:tcW w:w="737" w:type="dxa"/>
            <w:vAlign w:val="center"/>
          </w:tcPr>
          <w:p w14:paraId="6F764E43"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w:t>
            </w:r>
          </w:p>
        </w:tc>
        <w:tc>
          <w:tcPr>
            <w:tcW w:w="737" w:type="dxa"/>
            <w:vAlign w:val="center"/>
          </w:tcPr>
          <w:p w14:paraId="28A54D23"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9%</w:t>
            </w:r>
          </w:p>
        </w:tc>
        <w:tc>
          <w:tcPr>
            <w:tcW w:w="737" w:type="dxa"/>
            <w:vAlign w:val="center"/>
          </w:tcPr>
          <w:p w14:paraId="688D07A9"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19%</w:t>
            </w:r>
          </w:p>
        </w:tc>
        <w:tc>
          <w:tcPr>
            <w:tcW w:w="655" w:type="dxa"/>
            <w:vAlign w:val="center"/>
          </w:tcPr>
          <w:p w14:paraId="056BD75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w:t>
            </w:r>
          </w:p>
        </w:tc>
      </w:tr>
      <w:tr w:rsidR="00BC59AA" w:rsidRPr="00423B69" w14:paraId="74A88E78" w14:textId="77777777" w:rsidTr="005E0038">
        <w:trPr>
          <w:trHeight w:val="340"/>
          <w:jc w:val="center"/>
        </w:trPr>
        <w:tc>
          <w:tcPr>
            <w:tcW w:w="3685" w:type="dxa"/>
            <w:vMerge w:val="restart"/>
            <w:shd w:val="clear" w:color="auto" w:fill="F2F2F2" w:themeFill="background1" w:themeFillShade="F2"/>
            <w:vAlign w:val="center"/>
          </w:tcPr>
          <w:p w14:paraId="0356289D" w14:textId="77777777" w:rsidR="00BC59AA" w:rsidRPr="00423B69" w:rsidRDefault="00BC59AA" w:rsidP="00EB395D">
            <w:pPr>
              <w:jc w:val="both"/>
              <w:rPr>
                <w:rFonts w:ascii="Arial" w:hAnsi="Arial" w:cs="Arial"/>
                <w:sz w:val="18"/>
                <w:szCs w:val="18"/>
              </w:rPr>
            </w:pPr>
            <w:r w:rsidRPr="00423B69">
              <w:rPr>
                <w:rFonts w:ascii="Arial" w:hAnsi="Arial" w:cs="Arial"/>
                <w:sz w:val="18"/>
                <w:szCs w:val="18"/>
              </w:rPr>
              <w:t>Mejorar el diseño de los documentos que controlan los procesos (contratos, convenios, órdenes de compra, autorizaciones, etc).</w:t>
            </w:r>
          </w:p>
        </w:tc>
        <w:tc>
          <w:tcPr>
            <w:tcW w:w="736" w:type="dxa"/>
            <w:shd w:val="clear" w:color="auto" w:fill="F2F2F2" w:themeFill="background1" w:themeFillShade="F2"/>
            <w:vAlign w:val="center"/>
          </w:tcPr>
          <w:p w14:paraId="1B60B8EC"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w:t>
            </w:r>
          </w:p>
        </w:tc>
        <w:tc>
          <w:tcPr>
            <w:tcW w:w="737" w:type="dxa"/>
            <w:shd w:val="clear" w:color="auto" w:fill="F2F2F2" w:themeFill="background1" w:themeFillShade="F2"/>
            <w:vAlign w:val="center"/>
          </w:tcPr>
          <w:p w14:paraId="68A2FDD0"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10</w:t>
            </w:r>
          </w:p>
        </w:tc>
        <w:tc>
          <w:tcPr>
            <w:tcW w:w="737" w:type="dxa"/>
            <w:shd w:val="clear" w:color="auto" w:fill="F2F2F2" w:themeFill="background1" w:themeFillShade="F2"/>
            <w:vAlign w:val="center"/>
          </w:tcPr>
          <w:p w14:paraId="4FF00AB9"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48</w:t>
            </w:r>
          </w:p>
        </w:tc>
        <w:tc>
          <w:tcPr>
            <w:tcW w:w="737" w:type="dxa"/>
            <w:shd w:val="clear" w:color="auto" w:fill="F2F2F2" w:themeFill="background1" w:themeFillShade="F2"/>
            <w:vAlign w:val="center"/>
          </w:tcPr>
          <w:p w14:paraId="46D84634"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14</w:t>
            </w:r>
          </w:p>
        </w:tc>
        <w:tc>
          <w:tcPr>
            <w:tcW w:w="737" w:type="dxa"/>
            <w:shd w:val="clear" w:color="auto" w:fill="F2F2F2" w:themeFill="background1" w:themeFillShade="F2"/>
            <w:vAlign w:val="center"/>
          </w:tcPr>
          <w:p w14:paraId="720A216A"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12</w:t>
            </w:r>
          </w:p>
        </w:tc>
        <w:tc>
          <w:tcPr>
            <w:tcW w:w="737" w:type="dxa"/>
            <w:shd w:val="clear" w:color="auto" w:fill="F2F2F2" w:themeFill="background1" w:themeFillShade="F2"/>
            <w:vAlign w:val="center"/>
          </w:tcPr>
          <w:p w14:paraId="09B0C843"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14</w:t>
            </w:r>
          </w:p>
        </w:tc>
        <w:tc>
          <w:tcPr>
            <w:tcW w:w="737" w:type="dxa"/>
            <w:shd w:val="clear" w:color="auto" w:fill="F2F2F2" w:themeFill="background1" w:themeFillShade="F2"/>
            <w:vAlign w:val="center"/>
          </w:tcPr>
          <w:p w14:paraId="5DFF636B"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23</w:t>
            </w:r>
          </w:p>
        </w:tc>
        <w:tc>
          <w:tcPr>
            <w:tcW w:w="655" w:type="dxa"/>
            <w:shd w:val="clear" w:color="auto" w:fill="F2F2F2" w:themeFill="background1" w:themeFillShade="F2"/>
            <w:vAlign w:val="center"/>
          </w:tcPr>
          <w:p w14:paraId="2995D8B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20</w:t>
            </w:r>
          </w:p>
        </w:tc>
      </w:tr>
      <w:tr w:rsidR="00BC59AA" w:rsidRPr="00423B69" w14:paraId="1BF9365F" w14:textId="77777777" w:rsidTr="005E0038">
        <w:trPr>
          <w:trHeight w:val="340"/>
          <w:jc w:val="center"/>
        </w:trPr>
        <w:tc>
          <w:tcPr>
            <w:tcW w:w="3685" w:type="dxa"/>
            <w:vMerge/>
            <w:shd w:val="clear" w:color="auto" w:fill="F2F2F2" w:themeFill="background1" w:themeFillShade="F2"/>
            <w:vAlign w:val="center"/>
          </w:tcPr>
          <w:p w14:paraId="016E7A33" w14:textId="77777777" w:rsidR="00BC59AA" w:rsidRPr="00423B69" w:rsidRDefault="00BC59AA" w:rsidP="00EB395D">
            <w:pPr>
              <w:jc w:val="both"/>
              <w:rPr>
                <w:rFonts w:ascii="Arial" w:hAnsi="Arial" w:cs="Arial"/>
                <w:sz w:val="18"/>
                <w:szCs w:val="18"/>
              </w:rPr>
            </w:pPr>
          </w:p>
        </w:tc>
        <w:tc>
          <w:tcPr>
            <w:tcW w:w="736" w:type="dxa"/>
            <w:shd w:val="clear" w:color="auto" w:fill="F2F2F2" w:themeFill="background1" w:themeFillShade="F2"/>
            <w:vAlign w:val="center"/>
          </w:tcPr>
          <w:p w14:paraId="06529986"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w:t>
            </w:r>
          </w:p>
        </w:tc>
        <w:tc>
          <w:tcPr>
            <w:tcW w:w="737" w:type="dxa"/>
            <w:shd w:val="clear" w:color="auto" w:fill="F2F2F2" w:themeFill="background1" w:themeFillShade="F2"/>
            <w:vAlign w:val="center"/>
          </w:tcPr>
          <w:p w14:paraId="29D8567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8%</w:t>
            </w:r>
          </w:p>
        </w:tc>
        <w:tc>
          <w:tcPr>
            <w:tcW w:w="737" w:type="dxa"/>
            <w:shd w:val="clear" w:color="auto" w:fill="F2F2F2" w:themeFill="background1" w:themeFillShade="F2"/>
            <w:vAlign w:val="center"/>
          </w:tcPr>
          <w:p w14:paraId="6B7AD03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41%</w:t>
            </w:r>
          </w:p>
        </w:tc>
        <w:tc>
          <w:tcPr>
            <w:tcW w:w="737" w:type="dxa"/>
            <w:shd w:val="clear" w:color="auto" w:fill="F2F2F2" w:themeFill="background1" w:themeFillShade="F2"/>
            <w:vAlign w:val="center"/>
          </w:tcPr>
          <w:p w14:paraId="61927727"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12%</w:t>
            </w:r>
          </w:p>
        </w:tc>
        <w:tc>
          <w:tcPr>
            <w:tcW w:w="737" w:type="dxa"/>
            <w:shd w:val="clear" w:color="auto" w:fill="F2F2F2" w:themeFill="background1" w:themeFillShade="F2"/>
            <w:vAlign w:val="center"/>
          </w:tcPr>
          <w:p w14:paraId="4AF1F8FF"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10%</w:t>
            </w:r>
          </w:p>
        </w:tc>
        <w:tc>
          <w:tcPr>
            <w:tcW w:w="737" w:type="dxa"/>
            <w:shd w:val="clear" w:color="auto" w:fill="F2F2F2" w:themeFill="background1" w:themeFillShade="F2"/>
            <w:vAlign w:val="center"/>
          </w:tcPr>
          <w:p w14:paraId="3FEA22B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12%</w:t>
            </w:r>
          </w:p>
        </w:tc>
        <w:tc>
          <w:tcPr>
            <w:tcW w:w="737" w:type="dxa"/>
            <w:shd w:val="clear" w:color="auto" w:fill="F2F2F2" w:themeFill="background1" w:themeFillShade="F2"/>
            <w:vAlign w:val="center"/>
          </w:tcPr>
          <w:p w14:paraId="14424BF4"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19%</w:t>
            </w:r>
          </w:p>
        </w:tc>
        <w:tc>
          <w:tcPr>
            <w:tcW w:w="655" w:type="dxa"/>
            <w:shd w:val="clear" w:color="auto" w:fill="F2F2F2" w:themeFill="background1" w:themeFillShade="F2"/>
            <w:vAlign w:val="center"/>
          </w:tcPr>
          <w:p w14:paraId="4E688D1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17%</w:t>
            </w:r>
          </w:p>
        </w:tc>
      </w:tr>
      <w:tr w:rsidR="00BC59AA" w:rsidRPr="00423B69" w14:paraId="6C179FE2" w14:textId="77777777" w:rsidTr="005E0038">
        <w:trPr>
          <w:trHeight w:val="340"/>
          <w:jc w:val="center"/>
        </w:trPr>
        <w:tc>
          <w:tcPr>
            <w:tcW w:w="3685" w:type="dxa"/>
            <w:vMerge w:val="restart"/>
            <w:vAlign w:val="center"/>
          </w:tcPr>
          <w:p w14:paraId="42A7A8E3" w14:textId="77777777" w:rsidR="00BC59AA" w:rsidRPr="00423B69" w:rsidRDefault="00BC59AA" w:rsidP="00EB395D">
            <w:pPr>
              <w:jc w:val="both"/>
              <w:rPr>
                <w:rFonts w:ascii="Arial" w:hAnsi="Arial" w:cs="Arial"/>
                <w:sz w:val="18"/>
                <w:szCs w:val="18"/>
              </w:rPr>
            </w:pPr>
            <w:r w:rsidRPr="00423B69">
              <w:rPr>
                <w:rFonts w:ascii="Arial" w:hAnsi="Arial" w:cs="Arial"/>
                <w:sz w:val="18"/>
                <w:szCs w:val="18"/>
              </w:rPr>
              <w:t>Contar con personal con perfil/ experiencia/ capacitación adecuada.</w:t>
            </w:r>
          </w:p>
        </w:tc>
        <w:tc>
          <w:tcPr>
            <w:tcW w:w="736" w:type="dxa"/>
            <w:vAlign w:val="center"/>
          </w:tcPr>
          <w:p w14:paraId="3506E628"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w:t>
            </w:r>
          </w:p>
        </w:tc>
        <w:tc>
          <w:tcPr>
            <w:tcW w:w="737" w:type="dxa"/>
            <w:vAlign w:val="center"/>
          </w:tcPr>
          <w:p w14:paraId="64B85044"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w:t>
            </w:r>
          </w:p>
        </w:tc>
        <w:tc>
          <w:tcPr>
            <w:tcW w:w="737" w:type="dxa"/>
            <w:vAlign w:val="center"/>
          </w:tcPr>
          <w:p w14:paraId="0DEC2257"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12</w:t>
            </w:r>
          </w:p>
        </w:tc>
        <w:tc>
          <w:tcPr>
            <w:tcW w:w="737" w:type="dxa"/>
            <w:vAlign w:val="center"/>
          </w:tcPr>
          <w:p w14:paraId="36EE0AB8"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15</w:t>
            </w:r>
          </w:p>
        </w:tc>
        <w:tc>
          <w:tcPr>
            <w:tcW w:w="737" w:type="dxa"/>
            <w:vAlign w:val="center"/>
          </w:tcPr>
          <w:p w14:paraId="651E07A3"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39</w:t>
            </w:r>
          </w:p>
        </w:tc>
        <w:tc>
          <w:tcPr>
            <w:tcW w:w="737" w:type="dxa"/>
            <w:vAlign w:val="center"/>
          </w:tcPr>
          <w:p w14:paraId="4C17ED67"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42</w:t>
            </w:r>
          </w:p>
        </w:tc>
        <w:tc>
          <w:tcPr>
            <w:tcW w:w="737" w:type="dxa"/>
            <w:vAlign w:val="center"/>
          </w:tcPr>
          <w:p w14:paraId="4CFB658E"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26</w:t>
            </w:r>
          </w:p>
        </w:tc>
        <w:tc>
          <w:tcPr>
            <w:tcW w:w="655" w:type="dxa"/>
            <w:vAlign w:val="center"/>
          </w:tcPr>
          <w:p w14:paraId="6373C9F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w:t>
            </w:r>
          </w:p>
        </w:tc>
      </w:tr>
      <w:tr w:rsidR="00BC59AA" w:rsidRPr="00423B69" w14:paraId="7AAC5F40" w14:textId="77777777" w:rsidTr="005E0038">
        <w:trPr>
          <w:trHeight w:val="340"/>
          <w:jc w:val="center"/>
        </w:trPr>
        <w:tc>
          <w:tcPr>
            <w:tcW w:w="3685" w:type="dxa"/>
            <w:vMerge/>
            <w:vAlign w:val="center"/>
          </w:tcPr>
          <w:p w14:paraId="615D7FCF" w14:textId="77777777" w:rsidR="00BC59AA" w:rsidRPr="00423B69" w:rsidRDefault="00BC59AA" w:rsidP="00EB395D">
            <w:pPr>
              <w:jc w:val="both"/>
              <w:rPr>
                <w:rFonts w:ascii="Arial" w:hAnsi="Arial" w:cs="Arial"/>
                <w:sz w:val="18"/>
                <w:szCs w:val="18"/>
              </w:rPr>
            </w:pPr>
          </w:p>
        </w:tc>
        <w:tc>
          <w:tcPr>
            <w:tcW w:w="736" w:type="dxa"/>
            <w:vAlign w:val="center"/>
          </w:tcPr>
          <w:p w14:paraId="5AFD18D1"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w:t>
            </w:r>
          </w:p>
        </w:tc>
        <w:tc>
          <w:tcPr>
            <w:tcW w:w="737" w:type="dxa"/>
            <w:vAlign w:val="center"/>
          </w:tcPr>
          <w:p w14:paraId="3AADE3FE"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w:t>
            </w:r>
          </w:p>
        </w:tc>
        <w:tc>
          <w:tcPr>
            <w:tcW w:w="737" w:type="dxa"/>
            <w:vAlign w:val="center"/>
          </w:tcPr>
          <w:p w14:paraId="3C10477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10%</w:t>
            </w:r>
          </w:p>
        </w:tc>
        <w:tc>
          <w:tcPr>
            <w:tcW w:w="737" w:type="dxa"/>
            <w:vAlign w:val="center"/>
          </w:tcPr>
          <w:p w14:paraId="5793536F"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13%</w:t>
            </w:r>
          </w:p>
        </w:tc>
        <w:tc>
          <w:tcPr>
            <w:tcW w:w="737" w:type="dxa"/>
            <w:vAlign w:val="center"/>
          </w:tcPr>
          <w:p w14:paraId="49F4BF09"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33%</w:t>
            </w:r>
          </w:p>
        </w:tc>
        <w:tc>
          <w:tcPr>
            <w:tcW w:w="737" w:type="dxa"/>
            <w:vAlign w:val="center"/>
          </w:tcPr>
          <w:p w14:paraId="4D51A3D2"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36%</w:t>
            </w:r>
          </w:p>
        </w:tc>
        <w:tc>
          <w:tcPr>
            <w:tcW w:w="737" w:type="dxa"/>
            <w:vAlign w:val="center"/>
          </w:tcPr>
          <w:p w14:paraId="50068A2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22%</w:t>
            </w:r>
          </w:p>
        </w:tc>
        <w:tc>
          <w:tcPr>
            <w:tcW w:w="655" w:type="dxa"/>
            <w:vAlign w:val="center"/>
          </w:tcPr>
          <w:p w14:paraId="25EFC6DA"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w:t>
            </w:r>
          </w:p>
        </w:tc>
      </w:tr>
      <w:tr w:rsidR="00BC59AA" w:rsidRPr="00423B69" w14:paraId="5EAE0680" w14:textId="77777777" w:rsidTr="005E0038">
        <w:trPr>
          <w:trHeight w:val="340"/>
          <w:jc w:val="center"/>
        </w:trPr>
        <w:tc>
          <w:tcPr>
            <w:tcW w:w="3685" w:type="dxa"/>
            <w:vMerge w:val="restart"/>
            <w:shd w:val="clear" w:color="auto" w:fill="F2F2F2" w:themeFill="background1" w:themeFillShade="F2"/>
            <w:vAlign w:val="center"/>
          </w:tcPr>
          <w:p w14:paraId="41CF1415" w14:textId="77777777" w:rsidR="00BC59AA" w:rsidRPr="00423B69" w:rsidRDefault="00BC59AA" w:rsidP="00EB395D">
            <w:pPr>
              <w:jc w:val="both"/>
              <w:rPr>
                <w:rFonts w:ascii="Arial" w:hAnsi="Arial" w:cs="Arial"/>
                <w:sz w:val="18"/>
                <w:szCs w:val="18"/>
              </w:rPr>
            </w:pPr>
            <w:r w:rsidRPr="00423B69">
              <w:rPr>
                <w:rFonts w:ascii="Arial" w:hAnsi="Arial" w:cs="Arial"/>
                <w:sz w:val="18"/>
                <w:szCs w:val="18"/>
              </w:rPr>
              <w:t>Mejorar los sistemas de información y la infraestructura tecnológica.</w:t>
            </w:r>
          </w:p>
        </w:tc>
        <w:tc>
          <w:tcPr>
            <w:tcW w:w="736" w:type="dxa"/>
            <w:shd w:val="clear" w:color="auto" w:fill="F2F2F2" w:themeFill="background1" w:themeFillShade="F2"/>
            <w:vAlign w:val="center"/>
          </w:tcPr>
          <w:p w14:paraId="404250F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w:t>
            </w:r>
          </w:p>
        </w:tc>
        <w:tc>
          <w:tcPr>
            <w:tcW w:w="737" w:type="dxa"/>
            <w:shd w:val="clear" w:color="auto" w:fill="F2F2F2" w:themeFill="background1" w:themeFillShade="F2"/>
            <w:vAlign w:val="center"/>
          </w:tcPr>
          <w:p w14:paraId="4B288CFD"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8</w:t>
            </w:r>
          </w:p>
        </w:tc>
        <w:tc>
          <w:tcPr>
            <w:tcW w:w="737" w:type="dxa"/>
            <w:shd w:val="clear" w:color="auto" w:fill="F2F2F2" w:themeFill="background1" w:themeFillShade="F2"/>
            <w:vAlign w:val="center"/>
          </w:tcPr>
          <w:p w14:paraId="6DB59269"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w:t>
            </w:r>
          </w:p>
        </w:tc>
        <w:tc>
          <w:tcPr>
            <w:tcW w:w="737" w:type="dxa"/>
            <w:shd w:val="clear" w:color="auto" w:fill="F2F2F2" w:themeFill="background1" w:themeFillShade="F2"/>
            <w:vAlign w:val="center"/>
          </w:tcPr>
          <w:p w14:paraId="69BEB171"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5</w:t>
            </w:r>
          </w:p>
        </w:tc>
        <w:tc>
          <w:tcPr>
            <w:tcW w:w="737" w:type="dxa"/>
            <w:shd w:val="clear" w:color="auto" w:fill="F2F2F2" w:themeFill="background1" w:themeFillShade="F2"/>
            <w:vAlign w:val="center"/>
          </w:tcPr>
          <w:p w14:paraId="53AA1A16"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30</w:t>
            </w:r>
          </w:p>
        </w:tc>
        <w:tc>
          <w:tcPr>
            <w:tcW w:w="737" w:type="dxa"/>
            <w:shd w:val="clear" w:color="auto" w:fill="F2F2F2" w:themeFill="background1" w:themeFillShade="F2"/>
            <w:vAlign w:val="center"/>
          </w:tcPr>
          <w:p w14:paraId="3FB79642"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11</w:t>
            </w:r>
          </w:p>
        </w:tc>
        <w:tc>
          <w:tcPr>
            <w:tcW w:w="737" w:type="dxa"/>
            <w:shd w:val="clear" w:color="auto" w:fill="F2F2F2" w:themeFill="background1" w:themeFillShade="F2"/>
            <w:vAlign w:val="center"/>
          </w:tcPr>
          <w:p w14:paraId="010C3AC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8</w:t>
            </w:r>
          </w:p>
        </w:tc>
        <w:tc>
          <w:tcPr>
            <w:tcW w:w="655" w:type="dxa"/>
            <w:shd w:val="clear" w:color="auto" w:fill="F2F2F2" w:themeFill="background1" w:themeFillShade="F2"/>
            <w:vAlign w:val="center"/>
          </w:tcPr>
          <w:p w14:paraId="4D375468"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77</w:t>
            </w:r>
          </w:p>
        </w:tc>
      </w:tr>
      <w:tr w:rsidR="00BC59AA" w:rsidRPr="00423B69" w14:paraId="196C00A3" w14:textId="77777777" w:rsidTr="005E0038">
        <w:trPr>
          <w:trHeight w:val="340"/>
          <w:jc w:val="center"/>
        </w:trPr>
        <w:tc>
          <w:tcPr>
            <w:tcW w:w="3685" w:type="dxa"/>
            <w:vMerge/>
            <w:shd w:val="clear" w:color="auto" w:fill="F2F2F2" w:themeFill="background1" w:themeFillShade="F2"/>
            <w:vAlign w:val="center"/>
          </w:tcPr>
          <w:p w14:paraId="553C574E" w14:textId="77777777" w:rsidR="00BC59AA" w:rsidRPr="00423B69" w:rsidRDefault="00BC59AA" w:rsidP="005E0038">
            <w:pPr>
              <w:rPr>
                <w:rFonts w:ascii="Arial" w:hAnsi="Arial" w:cs="Arial"/>
                <w:sz w:val="18"/>
                <w:szCs w:val="18"/>
              </w:rPr>
            </w:pPr>
          </w:p>
        </w:tc>
        <w:tc>
          <w:tcPr>
            <w:tcW w:w="736" w:type="dxa"/>
            <w:shd w:val="clear" w:color="auto" w:fill="F2F2F2" w:themeFill="background1" w:themeFillShade="F2"/>
            <w:vAlign w:val="center"/>
          </w:tcPr>
          <w:p w14:paraId="06EE4061"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1%</w:t>
            </w:r>
          </w:p>
        </w:tc>
        <w:tc>
          <w:tcPr>
            <w:tcW w:w="737" w:type="dxa"/>
            <w:shd w:val="clear" w:color="auto" w:fill="F2F2F2" w:themeFill="background1" w:themeFillShade="F2"/>
            <w:vAlign w:val="center"/>
          </w:tcPr>
          <w:p w14:paraId="7D287212"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7%</w:t>
            </w:r>
          </w:p>
        </w:tc>
        <w:tc>
          <w:tcPr>
            <w:tcW w:w="737" w:type="dxa"/>
            <w:shd w:val="clear" w:color="auto" w:fill="F2F2F2" w:themeFill="background1" w:themeFillShade="F2"/>
            <w:vAlign w:val="center"/>
          </w:tcPr>
          <w:p w14:paraId="13AD1C8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3%</w:t>
            </w:r>
          </w:p>
        </w:tc>
        <w:tc>
          <w:tcPr>
            <w:tcW w:w="737" w:type="dxa"/>
            <w:shd w:val="clear" w:color="auto" w:fill="F2F2F2" w:themeFill="background1" w:themeFillShade="F2"/>
            <w:vAlign w:val="center"/>
          </w:tcPr>
          <w:p w14:paraId="732BD715"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4%</w:t>
            </w:r>
          </w:p>
        </w:tc>
        <w:tc>
          <w:tcPr>
            <w:tcW w:w="737" w:type="dxa"/>
            <w:shd w:val="clear" w:color="auto" w:fill="F2F2F2" w:themeFill="background1" w:themeFillShade="F2"/>
            <w:vAlign w:val="center"/>
          </w:tcPr>
          <w:p w14:paraId="73E72661"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25%</w:t>
            </w:r>
          </w:p>
        </w:tc>
        <w:tc>
          <w:tcPr>
            <w:tcW w:w="737" w:type="dxa"/>
            <w:shd w:val="clear" w:color="auto" w:fill="F2F2F2" w:themeFill="background1" w:themeFillShade="F2"/>
            <w:vAlign w:val="center"/>
          </w:tcPr>
          <w:p w14:paraId="05B84ADB"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9%</w:t>
            </w:r>
          </w:p>
        </w:tc>
        <w:tc>
          <w:tcPr>
            <w:tcW w:w="737" w:type="dxa"/>
            <w:shd w:val="clear" w:color="auto" w:fill="F2F2F2" w:themeFill="background1" w:themeFillShade="F2"/>
            <w:vAlign w:val="center"/>
          </w:tcPr>
          <w:p w14:paraId="0A1C7187"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7%</w:t>
            </w:r>
          </w:p>
        </w:tc>
        <w:tc>
          <w:tcPr>
            <w:tcW w:w="655" w:type="dxa"/>
            <w:shd w:val="clear" w:color="auto" w:fill="F2F2F2" w:themeFill="background1" w:themeFillShade="F2"/>
            <w:vAlign w:val="center"/>
          </w:tcPr>
          <w:p w14:paraId="003C03D7" w14:textId="77777777" w:rsidR="00BC59AA" w:rsidRPr="00AE4853" w:rsidRDefault="00BC59AA" w:rsidP="005E0038">
            <w:pPr>
              <w:jc w:val="center"/>
              <w:rPr>
                <w:rFonts w:ascii="Arial" w:hAnsi="Arial" w:cs="Arial"/>
                <w:sz w:val="18"/>
                <w:szCs w:val="18"/>
              </w:rPr>
            </w:pPr>
            <w:r>
              <w:rPr>
                <w:rFonts w:ascii="Arial" w:hAnsi="Arial" w:cs="Arial"/>
                <w:color w:val="000000"/>
                <w:sz w:val="20"/>
                <w:szCs w:val="20"/>
              </w:rPr>
              <w:t>65%</w:t>
            </w:r>
          </w:p>
        </w:tc>
      </w:tr>
      <w:tr w:rsidR="00BC59AA" w:rsidRPr="00F7194B" w14:paraId="0083BA77" w14:textId="77777777" w:rsidTr="005E0038">
        <w:trPr>
          <w:trHeight w:val="283"/>
          <w:jc w:val="center"/>
        </w:trPr>
        <w:tc>
          <w:tcPr>
            <w:tcW w:w="8843" w:type="dxa"/>
            <w:gridSpan w:val="8"/>
            <w:vAlign w:val="bottom"/>
          </w:tcPr>
          <w:p w14:paraId="5F61232A" w14:textId="77777777" w:rsidR="00BC59AA" w:rsidRPr="009C35C4" w:rsidRDefault="00BC59AA" w:rsidP="0071701E">
            <w:pPr>
              <w:pStyle w:val="Textoindependiente"/>
              <w:spacing w:line="276" w:lineRule="auto"/>
              <w:ind w:left="-76"/>
              <w:rPr>
                <w:noProof/>
                <w:sz w:val="18"/>
                <w:szCs w:val="16"/>
                <w:lang w:eastAsia="es-MX"/>
              </w:rPr>
            </w:pPr>
            <w:r w:rsidRPr="009C35C4">
              <w:rPr>
                <w:b/>
                <w:noProof/>
                <w:sz w:val="18"/>
                <w:szCs w:val="16"/>
                <w:lang w:eastAsia="es-MX"/>
              </w:rPr>
              <w:t>Tabla No. 2</w:t>
            </w:r>
            <w:r w:rsidR="0071701E" w:rsidRPr="009C35C4">
              <w:rPr>
                <w:b/>
                <w:noProof/>
                <w:sz w:val="18"/>
                <w:szCs w:val="16"/>
                <w:lang w:eastAsia="es-MX"/>
              </w:rPr>
              <w:t>0</w:t>
            </w:r>
            <w:r w:rsidRPr="009C35C4">
              <w:rPr>
                <w:b/>
                <w:noProof/>
                <w:sz w:val="18"/>
                <w:szCs w:val="16"/>
                <w:lang w:eastAsia="es-MX"/>
              </w:rPr>
              <w:t>:</w:t>
            </w:r>
            <w:r w:rsidRPr="009C35C4">
              <w:rPr>
                <w:noProof/>
                <w:sz w:val="18"/>
                <w:szCs w:val="16"/>
                <w:lang w:eastAsia="es-MX"/>
              </w:rPr>
              <w:t xml:space="preserve"> Elaboración propia, datos provenientes de los cuestionarios aplicados. </w:t>
            </w:r>
          </w:p>
        </w:tc>
        <w:tc>
          <w:tcPr>
            <w:tcW w:w="655" w:type="dxa"/>
          </w:tcPr>
          <w:p w14:paraId="2C8EE213" w14:textId="77777777" w:rsidR="00BC59AA" w:rsidRPr="00F7194B" w:rsidRDefault="00BC59AA" w:rsidP="005E0038">
            <w:pPr>
              <w:rPr>
                <w:rFonts w:ascii="Arial" w:hAnsi="Arial" w:cs="Arial"/>
                <w:b/>
                <w:sz w:val="18"/>
                <w:szCs w:val="18"/>
              </w:rPr>
            </w:pPr>
          </w:p>
        </w:tc>
      </w:tr>
    </w:tbl>
    <w:p w14:paraId="58950640" w14:textId="77777777" w:rsidR="00BC59AA" w:rsidRDefault="00BC59AA" w:rsidP="00BC59AA">
      <w:pPr>
        <w:rPr>
          <w:rFonts w:ascii="Arial" w:hAnsi="Arial" w:cs="Arial"/>
          <w:sz w:val="24"/>
          <w:szCs w:val="24"/>
        </w:rPr>
        <w:sectPr w:rsidR="00BC59AA" w:rsidSect="00747D75">
          <w:headerReference w:type="default" r:id="rId37"/>
          <w:footerReference w:type="default" r:id="rId38"/>
          <w:pgSz w:w="12240" w:h="15840"/>
          <w:pgMar w:top="1404" w:right="1701" w:bottom="993" w:left="1701" w:header="426" w:footer="708" w:gutter="0"/>
          <w:pgNumType w:start="35"/>
          <w:cols w:space="708"/>
          <w:docGrid w:linePitch="360"/>
        </w:sectPr>
      </w:pPr>
    </w:p>
    <w:p w14:paraId="681DA6BB" w14:textId="77777777" w:rsidR="00414DED" w:rsidRPr="004A600D" w:rsidRDefault="00414DED" w:rsidP="00801E11">
      <w:pPr>
        <w:rPr>
          <w:rFonts w:ascii="Arial" w:hAnsi="Arial" w:cs="Arial"/>
          <w:sz w:val="24"/>
          <w:szCs w:val="24"/>
        </w:rPr>
      </w:pPr>
    </w:p>
    <w:p w14:paraId="5492454D" w14:textId="77777777" w:rsidR="00414DED" w:rsidRPr="004A600D" w:rsidRDefault="00414DED" w:rsidP="00801E11">
      <w:pPr>
        <w:rPr>
          <w:rFonts w:ascii="Arial" w:hAnsi="Arial" w:cs="Arial"/>
          <w:sz w:val="24"/>
          <w:szCs w:val="24"/>
        </w:rPr>
      </w:pPr>
    </w:p>
    <w:p w14:paraId="0A796DFF" w14:textId="77777777" w:rsidR="00414DED" w:rsidRPr="004A600D" w:rsidRDefault="00414DED" w:rsidP="00801E11">
      <w:pPr>
        <w:rPr>
          <w:rFonts w:ascii="Arial" w:hAnsi="Arial" w:cs="Arial"/>
          <w:sz w:val="24"/>
          <w:szCs w:val="24"/>
        </w:rPr>
      </w:pPr>
    </w:p>
    <w:p w14:paraId="6F7D8D00" w14:textId="77777777" w:rsidR="00414DED" w:rsidRPr="004A600D" w:rsidRDefault="00414DED" w:rsidP="00801E11">
      <w:pPr>
        <w:rPr>
          <w:rFonts w:ascii="Arial" w:hAnsi="Arial" w:cs="Arial"/>
          <w:sz w:val="24"/>
          <w:szCs w:val="24"/>
        </w:rPr>
      </w:pPr>
    </w:p>
    <w:p w14:paraId="3E973023" w14:textId="77777777" w:rsidR="00414DED" w:rsidRPr="004A600D" w:rsidRDefault="00414DED" w:rsidP="00801E11">
      <w:pPr>
        <w:rPr>
          <w:rFonts w:ascii="Arial" w:hAnsi="Arial" w:cs="Arial"/>
          <w:sz w:val="24"/>
          <w:szCs w:val="24"/>
        </w:rPr>
      </w:pPr>
    </w:p>
    <w:p w14:paraId="491E815C" w14:textId="77777777" w:rsidR="00414DED" w:rsidRPr="004A600D" w:rsidRDefault="00414DED" w:rsidP="00801E11">
      <w:pPr>
        <w:rPr>
          <w:rFonts w:ascii="Arial" w:hAnsi="Arial" w:cs="Arial"/>
          <w:sz w:val="24"/>
          <w:szCs w:val="24"/>
        </w:rPr>
      </w:pPr>
    </w:p>
    <w:p w14:paraId="32558DAD" w14:textId="77777777" w:rsidR="00414DED" w:rsidRPr="004A600D" w:rsidRDefault="00414DED" w:rsidP="00801E11">
      <w:pPr>
        <w:rPr>
          <w:rFonts w:ascii="Arial" w:hAnsi="Arial" w:cs="Arial"/>
          <w:sz w:val="24"/>
          <w:szCs w:val="24"/>
        </w:rPr>
      </w:pPr>
    </w:p>
    <w:p w14:paraId="1728E4DD" w14:textId="77777777" w:rsidR="00414DED" w:rsidRPr="004A600D" w:rsidRDefault="00414DED" w:rsidP="00801E11">
      <w:pPr>
        <w:rPr>
          <w:rFonts w:ascii="Arial" w:hAnsi="Arial" w:cs="Arial"/>
          <w:sz w:val="24"/>
          <w:szCs w:val="24"/>
        </w:rPr>
      </w:pPr>
    </w:p>
    <w:p w14:paraId="16E0C2E9" w14:textId="77777777" w:rsidR="00414DED" w:rsidRPr="004A600D" w:rsidRDefault="00414DED" w:rsidP="00801E11">
      <w:pPr>
        <w:rPr>
          <w:rFonts w:ascii="Arial" w:hAnsi="Arial" w:cs="Arial"/>
          <w:sz w:val="24"/>
          <w:szCs w:val="24"/>
        </w:rPr>
      </w:pPr>
    </w:p>
    <w:p w14:paraId="47A22934" w14:textId="77777777" w:rsidR="00414DED" w:rsidRPr="004A600D" w:rsidRDefault="00414DED" w:rsidP="00801E11">
      <w:pPr>
        <w:rPr>
          <w:rFonts w:ascii="Arial" w:hAnsi="Arial" w:cs="Arial"/>
          <w:sz w:val="24"/>
          <w:szCs w:val="24"/>
        </w:rPr>
      </w:pPr>
    </w:p>
    <w:p w14:paraId="33139173" w14:textId="77777777" w:rsidR="00414DED" w:rsidRPr="004A600D" w:rsidRDefault="00414DED" w:rsidP="00801E11">
      <w:pPr>
        <w:rPr>
          <w:rFonts w:ascii="Arial" w:hAnsi="Arial" w:cs="Arial"/>
          <w:sz w:val="24"/>
          <w:szCs w:val="24"/>
        </w:rPr>
      </w:pPr>
    </w:p>
    <w:p w14:paraId="10BFAF4A" w14:textId="77777777" w:rsidR="002641A5" w:rsidRDefault="00FD4225" w:rsidP="002641A5">
      <w:pPr>
        <w:pStyle w:val="Ttulo1"/>
        <w:spacing w:before="0" w:line="276" w:lineRule="auto"/>
        <w:jc w:val="center"/>
        <w:rPr>
          <w:rFonts w:ascii="Arial" w:eastAsia="Arial" w:hAnsi="Arial" w:cs="Arial"/>
          <w:b/>
          <w:color w:val="auto"/>
          <w:sz w:val="40"/>
          <w:szCs w:val="24"/>
          <w:lang w:val="es-ES" w:eastAsia="es-ES" w:bidi="es-ES"/>
        </w:rPr>
      </w:pPr>
      <w:bookmarkStart w:id="31" w:name="_Toc158567486"/>
      <w:r w:rsidRPr="005470E4">
        <w:rPr>
          <w:rFonts w:ascii="Arial" w:eastAsia="Arial" w:hAnsi="Arial" w:cs="Arial"/>
          <w:b/>
          <w:color w:val="auto"/>
          <w:sz w:val="40"/>
          <w:szCs w:val="24"/>
          <w:lang w:val="es-ES" w:eastAsia="es-ES" w:bidi="es-ES"/>
        </w:rPr>
        <w:t>CAPÍTULO 3</w:t>
      </w:r>
      <w:bookmarkEnd w:id="31"/>
    </w:p>
    <w:p w14:paraId="24B45A70" w14:textId="77777777" w:rsidR="00215A85" w:rsidRPr="005470E4" w:rsidRDefault="00322D1A" w:rsidP="002641A5">
      <w:pPr>
        <w:pStyle w:val="Ttulo1"/>
        <w:spacing w:before="0" w:line="276" w:lineRule="auto"/>
        <w:jc w:val="center"/>
        <w:rPr>
          <w:rFonts w:ascii="Arial" w:eastAsia="Arial" w:hAnsi="Arial" w:cs="Arial"/>
          <w:b/>
          <w:color w:val="auto"/>
          <w:sz w:val="40"/>
          <w:szCs w:val="24"/>
          <w:lang w:val="es-ES" w:eastAsia="es-ES" w:bidi="es-ES"/>
        </w:rPr>
      </w:pPr>
      <w:bookmarkStart w:id="32" w:name="_Toc158567487"/>
      <w:r w:rsidRPr="005470E4">
        <w:rPr>
          <w:rFonts w:ascii="Arial" w:eastAsia="Arial" w:hAnsi="Arial" w:cs="Arial"/>
          <w:b/>
          <w:color w:val="auto"/>
          <w:sz w:val="40"/>
          <w:szCs w:val="24"/>
          <w:lang w:val="es-ES" w:eastAsia="es-ES" w:bidi="es-ES"/>
        </w:rPr>
        <w:t>Resumen</w:t>
      </w:r>
      <w:r w:rsidR="005470E4" w:rsidRPr="005470E4">
        <w:rPr>
          <w:rFonts w:ascii="Arial" w:eastAsia="Arial" w:hAnsi="Arial" w:cs="Arial"/>
          <w:b/>
          <w:color w:val="auto"/>
          <w:sz w:val="40"/>
          <w:szCs w:val="24"/>
          <w:lang w:val="es-ES" w:eastAsia="es-ES" w:bidi="es-ES"/>
        </w:rPr>
        <w:t xml:space="preserve"> de R</w:t>
      </w:r>
      <w:r w:rsidRPr="005470E4">
        <w:rPr>
          <w:rFonts w:ascii="Arial" w:eastAsia="Arial" w:hAnsi="Arial" w:cs="Arial"/>
          <w:b/>
          <w:color w:val="auto"/>
          <w:sz w:val="40"/>
          <w:szCs w:val="24"/>
          <w:lang w:val="es-ES" w:eastAsia="es-ES" w:bidi="es-ES"/>
        </w:rPr>
        <w:t>esultados</w:t>
      </w:r>
      <w:bookmarkEnd w:id="32"/>
    </w:p>
    <w:p w14:paraId="35FE4923" w14:textId="77777777" w:rsidR="008C19DD" w:rsidRPr="004A600D" w:rsidRDefault="00A87300" w:rsidP="00156241">
      <w:pPr>
        <w:spacing w:before="240"/>
        <w:jc w:val="center"/>
        <w:rPr>
          <w:rFonts w:ascii="Arial" w:hAnsi="Arial" w:cs="Arial"/>
          <w:sz w:val="20"/>
          <w:szCs w:val="20"/>
        </w:rPr>
      </w:pPr>
      <w:r w:rsidRPr="00D65ADB">
        <w:rPr>
          <w:rFonts w:ascii="Arial" w:eastAsia="Arial" w:hAnsi="Arial" w:cs="Arial"/>
          <w:sz w:val="28"/>
          <w:szCs w:val="20"/>
          <w:lang w:val="es-ES" w:eastAsia="es-ES" w:bidi="es-ES"/>
        </w:rPr>
        <w:t>Cumplimiento de la Fracción III</w:t>
      </w:r>
      <w:r w:rsidR="00E225FF" w:rsidRPr="00D65ADB">
        <w:rPr>
          <w:rFonts w:ascii="Arial" w:eastAsia="Arial" w:hAnsi="Arial" w:cs="Arial"/>
          <w:sz w:val="28"/>
          <w:szCs w:val="20"/>
          <w:lang w:val="es-ES" w:eastAsia="es-ES" w:bidi="es-ES"/>
        </w:rPr>
        <w:t xml:space="preserve"> y VII</w:t>
      </w:r>
      <w:r w:rsidRPr="00D65ADB">
        <w:rPr>
          <w:rFonts w:ascii="Arial" w:eastAsia="Arial" w:hAnsi="Arial" w:cs="Arial"/>
          <w:sz w:val="28"/>
          <w:szCs w:val="20"/>
          <w:lang w:val="es-ES" w:eastAsia="es-ES" w:bidi="es-ES"/>
        </w:rPr>
        <w:t xml:space="preserve"> artículo 36 de la LFRCEQROO</w:t>
      </w:r>
    </w:p>
    <w:p w14:paraId="7748A45F" w14:textId="77777777" w:rsidR="00397739" w:rsidRPr="004A600D" w:rsidRDefault="00397739" w:rsidP="00A87300">
      <w:pPr>
        <w:rPr>
          <w:rFonts w:ascii="Arial" w:hAnsi="Arial" w:cs="Arial"/>
          <w:sz w:val="20"/>
          <w:szCs w:val="20"/>
        </w:rPr>
      </w:pPr>
    </w:p>
    <w:p w14:paraId="38D6B67D" w14:textId="77777777" w:rsidR="00976DF8" w:rsidRPr="004A600D" w:rsidRDefault="00976DF8" w:rsidP="00A87300">
      <w:pPr>
        <w:rPr>
          <w:rFonts w:ascii="Arial" w:hAnsi="Arial" w:cs="Arial"/>
          <w:sz w:val="20"/>
          <w:szCs w:val="20"/>
        </w:rPr>
      </w:pPr>
    </w:p>
    <w:p w14:paraId="2023BB7E" w14:textId="77777777" w:rsidR="00976DF8" w:rsidRPr="004A600D" w:rsidRDefault="00976DF8" w:rsidP="00A87300">
      <w:pPr>
        <w:rPr>
          <w:rFonts w:ascii="Arial" w:hAnsi="Arial" w:cs="Arial"/>
          <w:sz w:val="20"/>
          <w:szCs w:val="20"/>
        </w:rPr>
      </w:pPr>
    </w:p>
    <w:p w14:paraId="15DCA1B3" w14:textId="77777777" w:rsidR="00976DF8" w:rsidRPr="004A600D" w:rsidRDefault="00976DF8" w:rsidP="00A87300">
      <w:pPr>
        <w:rPr>
          <w:rFonts w:ascii="Arial" w:hAnsi="Arial" w:cs="Arial"/>
          <w:sz w:val="20"/>
          <w:szCs w:val="20"/>
        </w:rPr>
      </w:pPr>
    </w:p>
    <w:p w14:paraId="4C340A19" w14:textId="77777777" w:rsidR="00976DF8" w:rsidRPr="004A600D" w:rsidRDefault="00976DF8" w:rsidP="00A87300">
      <w:pPr>
        <w:rPr>
          <w:rFonts w:ascii="Arial" w:hAnsi="Arial" w:cs="Arial"/>
          <w:sz w:val="20"/>
          <w:szCs w:val="20"/>
        </w:rPr>
      </w:pPr>
    </w:p>
    <w:p w14:paraId="03743229" w14:textId="77777777" w:rsidR="00976DF8" w:rsidRPr="004A600D" w:rsidRDefault="00976DF8" w:rsidP="00A87300">
      <w:pPr>
        <w:rPr>
          <w:rFonts w:ascii="Arial" w:hAnsi="Arial" w:cs="Arial"/>
          <w:sz w:val="20"/>
          <w:szCs w:val="20"/>
        </w:rPr>
      </w:pPr>
    </w:p>
    <w:p w14:paraId="1BB4F08A" w14:textId="77777777" w:rsidR="00976DF8" w:rsidRPr="004A600D" w:rsidRDefault="00976DF8" w:rsidP="00A87300">
      <w:pPr>
        <w:rPr>
          <w:rFonts w:ascii="Arial" w:hAnsi="Arial" w:cs="Arial"/>
          <w:sz w:val="20"/>
          <w:szCs w:val="20"/>
        </w:rPr>
      </w:pPr>
    </w:p>
    <w:p w14:paraId="077CA6F8" w14:textId="77777777" w:rsidR="00976DF8" w:rsidRPr="004A600D" w:rsidRDefault="00976DF8" w:rsidP="00A87300">
      <w:pPr>
        <w:rPr>
          <w:rFonts w:ascii="Arial" w:hAnsi="Arial" w:cs="Arial"/>
          <w:sz w:val="20"/>
          <w:szCs w:val="20"/>
        </w:rPr>
      </w:pPr>
    </w:p>
    <w:p w14:paraId="541E1A7C" w14:textId="77777777" w:rsidR="00976DF8" w:rsidRPr="004A600D" w:rsidRDefault="00976DF8" w:rsidP="00A87300">
      <w:pPr>
        <w:rPr>
          <w:rFonts w:ascii="Arial" w:hAnsi="Arial" w:cs="Arial"/>
          <w:sz w:val="20"/>
          <w:szCs w:val="20"/>
        </w:rPr>
      </w:pPr>
    </w:p>
    <w:p w14:paraId="21EAEF33" w14:textId="77777777" w:rsidR="00976DF8" w:rsidRPr="004A600D" w:rsidRDefault="00976DF8" w:rsidP="00A87300">
      <w:pPr>
        <w:rPr>
          <w:rFonts w:ascii="Arial" w:hAnsi="Arial" w:cs="Arial"/>
          <w:sz w:val="20"/>
          <w:szCs w:val="20"/>
        </w:rPr>
      </w:pPr>
    </w:p>
    <w:p w14:paraId="4CE73D6F" w14:textId="77777777" w:rsidR="00976DF8" w:rsidRPr="004A600D" w:rsidRDefault="00976DF8" w:rsidP="00A87300">
      <w:pPr>
        <w:rPr>
          <w:rFonts w:ascii="Arial" w:hAnsi="Arial" w:cs="Arial"/>
          <w:sz w:val="20"/>
          <w:szCs w:val="20"/>
        </w:rPr>
      </w:pPr>
    </w:p>
    <w:p w14:paraId="5E2CB738" w14:textId="77777777" w:rsidR="00976DF8" w:rsidRPr="004A600D" w:rsidRDefault="00976DF8" w:rsidP="00A87300">
      <w:pPr>
        <w:rPr>
          <w:rFonts w:ascii="Arial" w:hAnsi="Arial" w:cs="Arial"/>
          <w:sz w:val="20"/>
          <w:szCs w:val="20"/>
        </w:rPr>
      </w:pPr>
    </w:p>
    <w:p w14:paraId="747DCEC2" w14:textId="77777777" w:rsidR="00414DED" w:rsidRPr="004A600D" w:rsidRDefault="00414DED" w:rsidP="00A87300">
      <w:pPr>
        <w:rPr>
          <w:rFonts w:ascii="Arial" w:hAnsi="Arial" w:cs="Arial"/>
          <w:sz w:val="20"/>
          <w:szCs w:val="20"/>
        </w:rPr>
      </w:pPr>
    </w:p>
    <w:p w14:paraId="1971EC81" w14:textId="77777777" w:rsidR="00952E1B" w:rsidRDefault="00952E1B" w:rsidP="00F21EDB">
      <w:pPr>
        <w:spacing w:line="276" w:lineRule="auto"/>
        <w:jc w:val="both"/>
        <w:rPr>
          <w:rFonts w:ascii="Arial" w:hAnsi="Arial" w:cs="Arial"/>
          <w:sz w:val="20"/>
          <w:szCs w:val="20"/>
        </w:rPr>
      </w:pPr>
    </w:p>
    <w:p w14:paraId="428AC670" w14:textId="77777777" w:rsidR="00E57B75" w:rsidRDefault="00F21EDB" w:rsidP="00F21EDB">
      <w:pPr>
        <w:spacing w:line="276" w:lineRule="auto"/>
        <w:jc w:val="both"/>
        <w:rPr>
          <w:rFonts w:ascii="Arial" w:hAnsi="Arial" w:cs="Arial"/>
          <w:sz w:val="24"/>
          <w:szCs w:val="24"/>
        </w:rPr>
      </w:pPr>
      <w:r w:rsidRPr="004A600D">
        <w:rPr>
          <w:rFonts w:ascii="Arial" w:hAnsi="Arial" w:cs="Arial"/>
          <w:sz w:val="24"/>
          <w:szCs w:val="24"/>
        </w:rPr>
        <w:lastRenderedPageBreak/>
        <w:t xml:space="preserve">En el presente apartado se incluyen el total de </w:t>
      </w:r>
      <w:r w:rsidR="001F5B93">
        <w:rPr>
          <w:rFonts w:ascii="Arial" w:hAnsi="Arial" w:cs="Arial"/>
          <w:sz w:val="24"/>
          <w:szCs w:val="24"/>
        </w:rPr>
        <w:t xml:space="preserve">las </w:t>
      </w:r>
      <w:r w:rsidR="001F5B93" w:rsidRPr="008A5825">
        <w:rPr>
          <w:rFonts w:ascii="Arial" w:hAnsi="Arial" w:cs="Arial"/>
          <w:sz w:val="24"/>
          <w:szCs w:val="24"/>
        </w:rPr>
        <w:t>24</w:t>
      </w:r>
      <w:r w:rsidR="008A5825" w:rsidRPr="008A5825">
        <w:rPr>
          <w:rFonts w:ascii="Arial" w:hAnsi="Arial" w:cs="Arial"/>
          <w:sz w:val="24"/>
          <w:szCs w:val="24"/>
        </w:rPr>
        <w:t>7</w:t>
      </w:r>
      <w:r w:rsidR="001F5B93">
        <w:rPr>
          <w:rFonts w:ascii="Arial" w:hAnsi="Arial" w:cs="Arial"/>
          <w:sz w:val="24"/>
          <w:szCs w:val="24"/>
        </w:rPr>
        <w:t xml:space="preserve"> </w:t>
      </w:r>
      <w:r w:rsidRPr="004A600D">
        <w:rPr>
          <w:rFonts w:ascii="Arial" w:hAnsi="Arial" w:cs="Arial"/>
          <w:sz w:val="24"/>
          <w:szCs w:val="24"/>
        </w:rPr>
        <w:t>auditorías que se rea</w:t>
      </w:r>
      <w:r w:rsidR="001F5B93">
        <w:rPr>
          <w:rFonts w:ascii="Arial" w:hAnsi="Arial" w:cs="Arial"/>
          <w:sz w:val="24"/>
          <w:szCs w:val="24"/>
        </w:rPr>
        <w:t>lizaron a la Cuenta Pública 202</w:t>
      </w:r>
      <w:r w:rsidR="00443E3F">
        <w:rPr>
          <w:rFonts w:ascii="Arial" w:hAnsi="Arial" w:cs="Arial"/>
          <w:sz w:val="24"/>
          <w:szCs w:val="24"/>
        </w:rPr>
        <w:t>2</w:t>
      </w:r>
      <w:r w:rsidRPr="004A600D">
        <w:rPr>
          <w:rFonts w:ascii="Arial" w:hAnsi="Arial" w:cs="Arial"/>
          <w:sz w:val="24"/>
          <w:szCs w:val="24"/>
        </w:rPr>
        <w:t xml:space="preserve">, cabe mencionar que las auditorías realizadas a la Deuda Pública se encuentran inmersas en las de cumplimiento </w:t>
      </w:r>
      <w:r w:rsidR="001F49A3">
        <w:rPr>
          <w:rFonts w:ascii="Arial" w:hAnsi="Arial" w:cs="Arial"/>
          <w:sz w:val="24"/>
          <w:szCs w:val="24"/>
        </w:rPr>
        <w:t>financiero, las cuales fueron 7</w:t>
      </w:r>
      <w:r w:rsidRPr="004A600D">
        <w:rPr>
          <w:rFonts w:ascii="Arial" w:hAnsi="Arial" w:cs="Arial"/>
          <w:sz w:val="24"/>
          <w:szCs w:val="24"/>
        </w:rPr>
        <w:t xml:space="preserve">, hecho que </w:t>
      </w:r>
      <w:r w:rsidR="00FD6D48">
        <w:rPr>
          <w:rFonts w:ascii="Arial" w:hAnsi="Arial" w:cs="Arial"/>
          <w:sz w:val="24"/>
          <w:szCs w:val="24"/>
        </w:rPr>
        <w:t xml:space="preserve">se </w:t>
      </w:r>
      <w:r w:rsidRPr="004A600D">
        <w:rPr>
          <w:rFonts w:ascii="Arial" w:hAnsi="Arial" w:cs="Arial"/>
          <w:sz w:val="24"/>
          <w:szCs w:val="24"/>
        </w:rPr>
        <w:t>especifica en el siguiente cuadro, así como además se grafica la proporción que t</w:t>
      </w:r>
      <w:r w:rsidR="00032301">
        <w:rPr>
          <w:rFonts w:ascii="Arial" w:hAnsi="Arial" w:cs="Arial"/>
          <w:sz w:val="24"/>
          <w:szCs w:val="24"/>
        </w:rPr>
        <w:t>ienen las auditorías realizadas.</w:t>
      </w:r>
    </w:p>
    <w:p w14:paraId="60EB8BA8" w14:textId="77777777" w:rsidR="00E57B75" w:rsidRPr="007B7273" w:rsidRDefault="00E57B75" w:rsidP="00E57B75">
      <w:pPr>
        <w:spacing w:after="0" w:line="276" w:lineRule="auto"/>
        <w:jc w:val="both"/>
        <w:rPr>
          <w:rFonts w:ascii="Arial" w:hAnsi="Arial" w:cs="Arial"/>
          <w:sz w:val="8"/>
          <w:szCs w:val="16"/>
        </w:rPr>
      </w:pPr>
    </w:p>
    <w:tbl>
      <w:tblPr>
        <w:tblW w:w="8838" w:type="dxa"/>
        <w:jc w:val="center"/>
        <w:tblCellMar>
          <w:left w:w="70" w:type="dxa"/>
          <w:right w:w="70" w:type="dxa"/>
        </w:tblCellMar>
        <w:tblLook w:val="04A0" w:firstRow="1" w:lastRow="0" w:firstColumn="1" w:lastColumn="0" w:noHBand="0" w:noVBand="1"/>
      </w:tblPr>
      <w:tblGrid>
        <w:gridCol w:w="1160"/>
        <w:gridCol w:w="3038"/>
        <w:gridCol w:w="1160"/>
        <w:gridCol w:w="1160"/>
        <w:gridCol w:w="1160"/>
        <w:gridCol w:w="1160"/>
      </w:tblGrid>
      <w:tr w:rsidR="009B2B9B" w:rsidRPr="00D23B3D" w14:paraId="6095290E" w14:textId="77777777" w:rsidTr="007B7273">
        <w:trPr>
          <w:trHeight w:val="706"/>
          <w:jc w:val="center"/>
        </w:trPr>
        <w:tc>
          <w:tcPr>
            <w:tcW w:w="8838" w:type="dxa"/>
            <w:gridSpan w:val="6"/>
            <w:tcBorders>
              <w:bottom w:val="single" w:sz="4" w:space="0" w:color="BFBFBF" w:themeColor="background1" w:themeShade="BF"/>
            </w:tcBorders>
          </w:tcPr>
          <w:p w14:paraId="4759851F" w14:textId="77777777" w:rsidR="009B2B9B" w:rsidRPr="00D23B3D" w:rsidRDefault="009B2B9B" w:rsidP="007B7273">
            <w:pPr>
              <w:spacing w:after="0"/>
              <w:jc w:val="center"/>
              <w:rPr>
                <w:rFonts w:ascii="Arial" w:hAnsi="Arial" w:cs="Arial"/>
                <w:b/>
                <w:sz w:val="24"/>
                <w:lang w:eastAsia="es-MX"/>
              </w:rPr>
            </w:pPr>
            <w:bookmarkStart w:id="33" w:name="_Toc64067634"/>
            <w:r w:rsidRPr="00D23B3D">
              <w:rPr>
                <w:rFonts w:ascii="Arial" w:hAnsi="Arial" w:cs="Arial"/>
                <w:b/>
                <w:sz w:val="24"/>
                <w:lang w:eastAsia="es-MX"/>
              </w:rPr>
              <w:t xml:space="preserve">Auditorías </w:t>
            </w:r>
            <w:r w:rsidR="005D1A5D">
              <w:rPr>
                <w:rFonts w:ascii="Arial" w:hAnsi="Arial" w:cs="Arial"/>
                <w:b/>
                <w:sz w:val="24"/>
                <w:lang w:eastAsia="es-MX"/>
              </w:rPr>
              <w:t xml:space="preserve">realizadas </w:t>
            </w:r>
            <w:r w:rsidRPr="00D23B3D">
              <w:rPr>
                <w:rFonts w:ascii="Arial" w:hAnsi="Arial" w:cs="Arial"/>
                <w:b/>
                <w:sz w:val="24"/>
                <w:lang w:eastAsia="es-MX"/>
              </w:rPr>
              <w:t>a</w:t>
            </w:r>
            <w:r w:rsidR="00F62EE4">
              <w:rPr>
                <w:rFonts w:ascii="Arial" w:hAnsi="Arial" w:cs="Arial"/>
                <w:b/>
                <w:sz w:val="24"/>
                <w:lang w:eastAsia="es-MX"/>
              </w:rPr>
              <w:t xml:space="preserve"> </w:t>
            </w:r>
            <w:r w:rsidRPr="00D23B3D">
              <w:rPr>
                <w:rFonts w:ascii="Arial" w:hAnsi="Arial" w:cs="Arial"/>
                <w:b/>
                <w:sz w:val="24"/>
                <w:lang w:eastAsia="es-MX"/>
              </w:rPr>
              <w:t>l</w:t>
            </w:r>
            <w:r w:rsidR="00F62EE4">
              <w:rPr>
                <w:rFonts w:ascii="Arial" w:hAnsi="Arial" w:cs="Arial"/>
                <w:b/>
                <w:sz w:val="24"/>
                <w:lang w:eastAsia="es-MX"/>
              </w:rPr>
              <w:t xml:space="preserve">a Cuenta Pública </w:t>
            </w:r>
            <w:r w:rsidRPr="00D23B3D">
              <w:rPr>
                <w:rFonts w:ascii="Arial" w:hAnsi="Arial" w:cs="Arial"/>
                <w:b/>
                <w:sz w:val="24"/>
                <w:lang w:eastAsia="es-MX"/>
              </w:rPr>
              <w:t>20</w:t>
            </w:r>
            <w:bookmarkEnd w:id="33"/>
            <w:r w:rsidR="000E350E">
              <w:rPr>
                <w:rFonts w:ascii="Arial" w:hAnsi="Arial" w:cs="Arial"/>
                <w:b/>
                <w:sz w:val="24"/>
                <w:lang w:eastAsia="es-MX"/>
              </w:rPr>
              <w:t>2</w:t>
            </w:r>
            <w:r w:rsidR="0058345D">
              <w:rPr>
                <w:rFonts w:ascii="Arial" w:hAnsi="Arial" w:cs="Arial"/>
                <w:b/>
                <w:sz w:val="24"/>
                <w:lang w:eastAsia="es-MX"/>
              </w:rPr>
              <w:t>2</w:t>
            </w:r>
          </w:p>
          <w:p w14:paraId="5054CEFA" w14:textId="77777777" w:rsidR="009B2B9B" w:rsidRPr="00D23B3D" w:rsidRDefault="009B2B9B" w:rsidP="007B7273">
            <w:pPr>
              <w:spacing w:after="0"/>
              <w:jc w:val="center"/>
              <w:rPr>
                <w:rFonts w:ascii="Arial" w:hAnsi="Arial" w:cs="Arial"/>
                <w:b/>
                <w:sz w:val="24"/>
                <w:lang w:eastAsia="es-MX"/>
              </w:rPr>
            </w:pPr>
            <w:bookmarkStart w:id="34" w:name="_Toc63340071"/>
            <w:bookmarkStart w:id="35" w:name="_Toc63343871"/>
            <w:bookmarkStart w:id="36" w:name="_Toc63344548"/>
            <w:bookmarkStart w:id="37" w:name="_Toc63346531"/>
            <w:bookmarkStart w:id="38" w:name="_Toc63420008"/>
            <w:bookmarkStart w:id="39" w:name="_Toc63433270"/>
            <w:r w:rsidRPr="00D23B3D">
              <w:rPr>
                <w:rFonts w:ascii="Arial" w:hAnsi="Arial" w:cs="Arial"/>
                <w:b/>
                <w:sz w:val="24"/>
                <w:lang w:eastAsia="es-MX"/>
              </w:rPr>
              <w:t>(Por cada Entrega)</w:t>
            </w:r>
            <w:bookmarkEnd w:id="34"/>
            <w:bookmarkEnd w:id="35"/>
            <w:bookmarkEnd w:id="36"/>
            <w:bookmarkEnd w:id="37"/>
            <w:bookmarkEnd w:id="38"/>
            <w:bookmarkEnd w:id="39"/>
          </w:p>
        </w:tc>
      </w:tr>
      <w:tr w:rsidR="009B2B9B" w:rsidRPr="00D23B3D" w14:paraId="5261C97A" w14:textId="77777777" w:rsidTr="007F180B">
        <w:trPr>
          <w:trHeight w:val="356"/>
          <w:jc w:val="center"/>
        </w:trPr>
        <w:tc>
          <w:tcPr>
            <w:tcW w:w="4198"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center"/>
            <w:hideMark/>
          </w:tcPr>
          <w:p w14:paraId="5554EEED" w14:textId="77777777" w:rsidR="009B2B9B" w:rsidRPr="00D23B3D" w:rsidRDefault="009B2B9B" w:rsidP="007F180B">
            <w:pPr>
              <w:spacing w:after="0" w:line="240" w:lineRule="auto"/>
              <w:jc w:val="center"/>
              <w:rPr>
                <w:rFonts w:ascii="Arial" w:eastAsia="Times New Roman" w:hAnsi="Arial" w:cs="Arial"/>
                <w:b/>
                <w:sz w:val="24"/>
                <w:szCs w:val="20"/>
                <w:lang w:eastAsia="es-MX"/>
              </w:rPr>
            </w:pPr>
            <w:r w:rsidRPr="00D23B3D">
              <w:rPr>
                <w:rFonts w:ascii="Arial" w:eastAsia="Times New Roman" w:hAnsi="Arial" w:cs="Arial"/>
                <w:b/>
                <w:sz w:val="24"/>
                <w:szCs w:val="20"/>
                <w:lang w:eastAsia="es-MX"/>
              </w:rPr>
              <w:t>Tipo de Auditorías</w:t>
            </w:r>
          </w:p>
        </w:tc>
        <w:tc>
          <w:tcPr>
            <w:tcW w:w="34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65EE911" w14:textId="77777777" w:rsidR="009B2B9B" w:rsidRPr="00D23B3D" w:rsidRDefault="009B2B9B" w:rsidP="007F180B">
            <w:pPr>
              <w:spacing w:after="0" w:line="240" w:lineRule="auto"/>
              <w:jc w:val="center"/>
              <w:rPr>
                <w:rFonts w:ascii="Arial" w:eastAsia="Times New Roman" w:hAnsi="Arial" w:cs="Arial"/>
                <w:b/>
                <w:color w:val="000000"/>
                <w:sz w:val="24"/>
                <w:szCs w:val="20"/>
                <w:lang w:eastAsia="es-MX"/>
              </w:rPr>
            </w:pPr>
            <w:r w:rsidRPr="00D23B3D">
              <w:rPr>
                <w:rFonts w:ascii="Arial" w:eastAsia="Times New Roman" w:hAnsi="Arial" w:cs="Arial"/>
                <w:b/>
                <w:color w:val="000000"/>
                <w:sz w:val="24"/>
                <w:szCs w:val="20"/>
                <w:lang w:eastAsia="es-MX"/>
              </w:rPr>
              <w:t>Entregas</w:t>
            </w:r>
          </w:p>
        </w:tc>
        <w:tc>
          <w:tcPr>
            <w:tcW w:w="1160" w:type="dxa"/>
            <w:vMerge w:val="restart"/>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2200B63" w14:textId="77777777" w:rsidR="009B2B9B" w:rsidRPr="00D23B3D" w:rsidRDefault="009B2B9B" w:rsidP="007F180B">
            <w:pPr>
              <w:spacing w:after="0" w:line="240" w:lineRule="auto"/>
              <w:jc w:val="center"/>
              <w:rPr>
                <w:rFonts w:ascii="Arial" w:eastAsia="Times New Roman" w:hAnsi="Arial" w:cs="Arial"/>
                <w:b/>
                <w:color w:val="000000"/>
                <w:sz w:val="24"/>
                <w:szCs w:val="20"/>
                <w:lang w:eastAsia="es-MX"/>
              </w:rPr>
            </w:pPr>
            <w:r w:rsidRPr="00D23B3D">
              <w:rPr>
                <w:rFonts w:ascii="Arial" w:eastAsia="Times New Roman" w:hAnsi="Arial" w:cs="Arial"/>
                <w:b/>
                <w:color w:val="000000"/>
                <w:sz w:val="24"/>
                <w:szCs w:val="20"/>
                <w:lang w:eastAsia="es-MX"/>
              </w:rPr>
              <w:t>Total</w:t>
            </w:r>
          </w:p>
        </w:tc>
      </w:tr>
      <w:tr w:rsidR="009B2B9B" w:rsidRPr="00D23B3D" w14:paraId="6DF27539" w14:textId="77777777" w:rsidTr="007F180B">
        <w:trPr>
          <w:trHeight w:val="600"/>
          <w:jc w:val="center"/>
        </w:trPr>
        <w:tc>
          <w:tcPr>
            <w:tcW w:w="419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noWrap/>
            <w:vAlign w:val="bottom"/>
          </w:tcPr>
          <w:p w14:paraId="0C7B388C" w14:textId="77777777" w:rsidR="009B2B9B" w:rsidRPr="00D23B3D" w:rsidRDefault="009B2B9B" w:rsidP="009B2B9B">
            <w:pPr>
              <w:spacing w:after="0" w:line="240" w:lineRule="auto"/>
              <w:jc w:val="center"/>
              <w:rPr>
                <w:rFonts w:ascii="Arial" w:eastAsia="Times New Roman" w:hAnsi="Arial" w:cs="Arial"/>
                <w:sz w:val="24"/>
                <w:szCs w:val="20"/>
                <w:lang w:eastAsia="es-MX"/>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6E35038F" w14:textId="77777777" w:rsidR="009B2B9B" w:rsidRPr="00D23B3D" w:rsidRDefault="009B2B9B" w:rsidP="009B2B9B">
            <w:pPr>
              <w:spacing w:after="0" w:line="240" w:lineRule="auto"/>
              <w:jc w:val="center"/>
              <w:rPr>
                <w:rFonts w:ascii="Arial" w:eastAsia="Times New Roman" w:hAnsi="Arial" w:cs="Arial"/>
                <w:b/>
                <w:color w:val="000000"/>
                <w:sz w:val="24"/>
                <w:szCs w:val="20"/>
                <w:lang w:eastAsia="es-MX"/>
              </w:rPr>
            </w:pPr>
            <w:r w:rsidRPr="00D23B3D">
              <w:rPr>
                <w:rFonts w:ascii="Arial" w:eastAsia="Times New Roman" w:hAnsi="Arial" w:cs="Arial"/>
                <w:b/>
                <w:color w:val="000000"/>
                <w:sz w:val="24"/>
                <w:szCs w:val="20"/>
                <w:lang w:eastAsia="es-MX"/>
              </w:rPr>
              <w:t xml:space="preserve">Junio </w:t>
            </w:r>
            <w:r w:rsidRPr="00D23B3D">
              <w:rPr>
                <w:rFonts w:ascii="Arial" w:eastAsia="Times New Roman" w:hAnsi="Arial" w:cs="Arial"/>
                <w:b/>
                <w:color w:val="000000"/>
                <w:sz w:val="24"/>
                <w:szCs w:val="20"/>
                <w:lang w:eastAsia="es-MX"/>
              </w:rPr>
              <w:br/>
              <w:t>202</w:t>
            </w:r>
            <w:r w:rsidR="0058345D">
              <w:rPr>
                <w:rFonts w:ascii="Arial" w:eastAsia="Times New Roman" w:hAnsi="Arial" w:cs="Arial"/>
                <w:b/>
                <w:color w:val="000000"/>
                <w:sz w:val="24"/>
                <w:szCs w:val="20"/>
                <w:lang w:eastAsia="es-MX"/>
              </w:rPr>
              <w:t>3</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02D687B4" w14:textId="77777777" w:rsidR="009B2B9B" w:rsidRPr="00D23B3D" w:rsidRDefault="009B2B9B" w:rsidP="009B2B9B">
            <w:pPr>
              <w:spacing w:after="0" w:line="240" w:lineRule="auto"/>
              <w:jc w:val="center"/>
              <w:rPr>
                <w:rFonts w:ascii="Arial" w:eastAsia="Times New Roman" w:hAnsi="Arial" w:cs="Arial"/>
                <w:b/>
                <w:color w:val="000000"/>
                <w:sz w:val="24"/>
                <w:szCs w:val="20"/>
                <w:lang w:eastAsia="es-MX"/>
              </w:rPr>
            </w:pPr>
            <w:r w:rsidRPr="00D23B3D">
              <w:rPr>
                <w:rFonts w:ascii="Arial" w:eastAsia="Times New Roman" w:hAnsi="Arial" w:cs="Arial"/>
                <w:b/>
                <w:color w:val="000000"/>
                <w:sz w:val="24"/>
                <w:szCs w:val="20"/>
                <w:lang w:eastAsia="es-MX"/>
              </w:rPr>
              <w:t>Octubre 202</w:t>
            </w:r>
            <w:r w:rsidR="0058345D">
              <w:rPr>
                <w:rFonts w:ascii="Arial" w:eastAsia="Times New Roman" w:hAnsi="Arial" w:cs="Arial"/>
                <w:b/>
                <w:color w:val="000000"/>
                <w:sz w:val="24"/>
                <w:szCs w:val="20"/>
                <w:lang w:eastAsia="es-MX"/>
              </w:rPr>
              <w:t>3</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7B20B684" w14:textId="77777777" w:rsidR="009B2B9B" w:rsidRPr="00D23B3D" w:rsidRDefault="009B2B9B" w:rsidP="009B2B9B">
            <w:pPr>
              <w:spacing w:after="0" w:line="240" w:lineRule="auto"/>
              <w:jc w:val="center"/>
              <w:rPr>
                <w:rFonts w:ascii="Arial" w:eastAsia="Times New Roman" w:hAnsi="Arial" w:cs="Arial"/>
                <w:b/>
                <w:color w:val="000000"/>
                <w:sz w:val="24"/>
                <w:szCs w:val="20"/>
                <w:lang w:eastAsia="es-MX"/>
              </w:rPr>
            </w:pPr>
            <w:r w:rsidRPr="00D23B3D">
              <w:rPr>
                <w:rFonts w:ascii="Arial" w:eastAsia="Times New Roman" w:hAnsi="Arial" w:cs="Arial"/>
                <w:b/>
                <w:color w:val="000000"/>
                <w:sz w:val="24"/>
                <w:szCs w:val="20"/>
                <w:lang w:eastAsia="es-MX"/>
              </w:rPr>
              <w:t>Febrero 202</w:t>
            </w:r>
            <w:r w:rsidR="0058345D">
              <w:rPr>
                <w:rFonts w:ascii="Arial" w:eastAsia="Times New Roman" w:hAnsi="Arial" w:cs="Arial"/>
                <w:b/>
                <w:color w:val="000000"/>
                <w:sz w:val="24"/>
                <w:szCs w:val="20"/>
                <w:lang w:eastAsia="es-MX"/>
              </w:rPr>
              <w:t>4</w:t>
            </w:r>
          </w:p>
        </w:tc>
        <w:tc>
          <w:tcPr>
            <w:tcW w:w="1160" w:type="dxa"/>
            <w:vMerge/>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BFBFBF" w:themeFill="background1" w:themeFillShade="BF"/>
          </w:tcPr>
          <w:p w14:paraId="3106D3A7" w14:textId="77777777" w:rsidR="009B2B9B" w:rsidRPr="00D23B3D" w:rsidRDefault="009B2B9B" w:rsidP="009B2B9B">
            <w:pPr>
              <w:spacing w:after="0" w:line="240" w:lineRule="auto"/>
              <w:jc w:val="center"/>
              <w:rPr>
                <w:rFonts w:ascii="Arial" w:eastAsia="Times New Roman" w:hAnsi="Arial" w:cs="Arial"/>
                <w:color w:val="000000"/>
                <w:sz w:val="24"/>
                <w:szCs w:val="20"/>
                <w:lang w:eastAsia="es-MX"/>
              </w:rPr>
            </w:pPr>
          </w:p>
        </w:tc>
      </w:tr>
      <w:tr w:rsidR="009B2B9B" w:rsidRPr="00D23B3D" w14:paraId="32A06CFE" w14:textId="77777777" w:rsidTr="008D40E0">
        <w:trPr>
          <w:trHeight w:val="454"/>
          <w:jc w:val="center"/>
        </w:trPr>
        <w:tc>
          <w:tcPr>
            <w:tcW w:w="4198" w:type="dxa"/>
            <w:gridSpan w:val="2"/>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987F775" w14:textId="77777777" w:rsidR="009B2B9B" w:rsidRPr="00D23B3D" w:rsidRDefault="009B2B9B" w:rsidP="007F180B">
            <w:pPr>
              <w:spacing w:after="0" w:line="240" w:lineRule="auto"/>
              <w:rPr>
                <w:rFonts w:ascii="Arial" w:eastAsia="Times New Roman" w:hAnsi="Arial" w:cs="Arial"/>
                <w:color w:val="000000"/>
                <w:sz w:val="24"/>
                <w:szCs w:val="20"/>
                <w:lang w:eastAsia="es-MX"/>
              </w:rPr>
            </w:pPr>
            <w:r w:rsidRPr="00D23B3D">
              <w:rPr>
                <w:rFonts w:ascii="Arial" w:eastAsia="Times New Roman" w:hAnsi="Arial" w:cs="Arial"/>
                <w:color w:val="000000"/>
                <w:sz w:val="24"/>
                <w:szCs w:val="20"/>
                <w:lang w:eastAsia="es-MX"/>
              </w:rPr>
              <w:t>Auditoría de Cumplimiento Financiero</w:t>
            </w:r>
          </w:p>
        </w:tc>
        <w:tc>
          <w:tcPr>
            <w:tcW w:w="1160"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2CFEC6" w14:textId="77777777" w:rsidR="009B2B9B" w:rsidRPr="00D23B3D" w:rsidRDefault="003F1444" w:rsidP="00D23B3D">
            <w:pPr>
              <w:spacing w:after="0" w:line="240" w:lineRule="auto"/>
              <w:jc w:val="center"/>
              <w:rPr>
                <w:rFonts w:ascii="Arial" w:eastAsia="Times New Roman" w:hAnsi="Arial" w:cs="Arial"/>
                <w:color w:val="000000"/>
                <w:sz w:val="24"/>
                <w:szCs w:val="20"/>
                <w:lang w:eastAsia="es-MX"/>
              </w:rPr>
            </w:pPr>
            <w:r>
              <w:rPr>
                <w:rFonts w:ascii="Arial" w:eastAsia="Times New Roman" w:hAnsi="Arial" w:cs="Arial"/>
                <w:color w:val="000000"/>
                <w:sz w:val="24"/>
                <w:szCs w:val="20"/>
                <w:lang w:eastAsia="es-MX"/>
              </w:rPr>
              <w:t>16</w:t>
            </w:r>
          </w:p>
        </w:tc>
        <w:tc>
          <w:tcPr>
            <w:tcW w:w="1160"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936BF69" w14:textId="77777777" w:rsidR="009B2B9B" w:rsidRPr="00D23B3D" w:rsidRDefault="008C531E" w:rsidP="007F180B">
            <w:pPr>
              <w:spacing w:after="0" w:line="240" w:lineRule="auto"/>
              <w:jc w:val="center"/>
              <w:rPr>
                <w:rFonts w:ascii="Arial" w:eastAsia="Times New Roman" w:hAnsi="Arial" w:cs="Arial"/>
                <w:color w:val="000000"/>
                <w:sz w:val="24"/>
                <w:szCs w:val="20"/>
                <w:lang w:eastAsia="es-MX"/>
              </w:rPr>
            </w:pPr>
            <w:r>
              <w:rPr>
                <w:rFonts w:ascii="Arial" w:eastAsia="Times New Roman" w:hAnsi="Arial" w:cs="Arial"/>
                <w:color w:val="000000"/>
                <w:sz w:val="24"/>
                <w:szCs w:val="20"/>
                <w:lang w:eastAsia="es-MX"/>
              </w:rPr>
              <w:t>58</w:t>
            </w:r>
          </w:p>
        </w:tc>
        <w:tc>
          <w:tcPr>
            <w:tcW w:w="1160"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459CB93" w14:textId="77777777" w:rsidR="009B2B9B" w:rsidRPr="00D23B3D" w:rsidRDefault="008C531E" w:rsidP="007F180B">
            <w:pPr>
              <w:spacing w:after="0" w:line="240" w:lineRule="auto"/>
              <w:jc w:val="center"/>
              <w:rPr>
                <w:rFonts w:ascii="Arial" w:eastAsia="Times New Roman" w:hAnsi="Arial" w:cs="Arial"/>
                <w:color w:val="000000"/>
                <w:sz w:val="24"/>
                <w:szCs w:val="20"/>
                <w:lang w:eastAsia="es-MX"/>
              </w:rPr>
            </w:pPr>
            <w:r>
              <w:rPr>
                <w:rFonts w:ascii="Arial" w:eastAsia="Times New Roman" w:hAnsi="Arial" w:cs="Arial"/>
                <w:color w:val="000000"/>
                <w:sz w:val="24"/>
                <w:szCs w:val="20"/>
                <w:lang w:eastAsia="es-MX"/>
              </w:rPr>
              <w:t>90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E3BB97" w14:textId="77777777" w:rsidR="009B2B9B" w:rsidRPr="00D23B3D" w:rsidRDefault="008C531E" w:rsidP="009B2B9B">
            <w:pPr>
              <w:spacing w:after="0" w:line="240" w:lineRule="auto"/>
              <w:jc w:val="center"/>
              <w:rPr>
                <w:rFonts w:ascii="Arial" w:eastAsia="Times New Roman" w:hAnsi="Arial" w:cs="Arial"/>
                <w:color w:val="000000"/>
                <w:sz w:val="24"/>
                <w:szCs w:val="20"/>
                <w:lang w:eastAsia="es-MX"/>
              </w:rPr>
            </w:pPr>
            <w:r>
              <w:rPr>
                <w:rFonts w:ascii="Arial" w:eastAsia="Times New Roman" w:hAnsi="Arial" w:cs="Arial"/>
                <w:color w:val="000000"/>
                <w:sz w:val="24"/>
                <w:szCs w:val="20"/>
                <w:lang w:eastAsia="es-MX"/>
              </w:rPr>
              <w:t>164</w:t>
            </w:r>
          </w:p>
        </w:tc>
      </w:tr>
      <w:tr w:rsidR="009B2B9B" w:rsidRPr="00D23B3D" w14:paraId="5C69016C" w14:textId="77777777" w:rsidTr="008D40E0">
        <w:trPr>
          <w:trHeight w:val="454"/>
          <w:jc w:val="center"/>
        </w:trPr>
        <w:tc>
          <w:tcPr>
            <w:tcW w:w="419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F821DA5" w14:textId="77777777" w:rsidR="009B2B9B" w:rsidRPr="00D23B3D" w:rsidRDefault="009B2B9B" w:rsidP="007F180B">
            <w:pPr>
              <w:spacing w:after="0" w:line="240" w:lineRule="auto"/>
              <w:rPr>
                <w:rFonts w:ascii="Arial" w:eastAsia="Times New Roman" w:hAnsi="Arial" w:cs="Arial"/>
                <w:color w:val="000000"/>
                <w:sz w:val="24"/>
                <w:szCs w:val="20"/>
                <w:lang w:eastAsia="es-MX"/>
              </w:rPr>
            </w:pPr>
            <w:r w:rsidRPr="00D23B3D">
              <w:rPr>
                <w:rFonts w:ascii="Arial" w:eastAsia="Times New Roman" w:hAnsi="Arial" w:cs="Arial"/>
                <w:color w:val="000000"/>
                <w:sz w:val="24"/>
                <w:szCs w:val="20"/>
                <w:lang w:eastAsia="es-MX"/>
              </w:rPr>
              <w:t>Auditoría de Inversiones Físicas</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B826D2" w14:textId="77777777" w:rsidR="009B2B9B" w:rsidRPr="00D23B3D" w:rsidRDefault="00D23B3D" w:rsidP="00D23B3D">
            <w:pPr>
              <w:spacing w:after="0" w:line="240" w:lineRule="auto"/>
              <w:jc w:val="center"/>
              <w:rPr>
                <w:rFonts w:ascii="Arial" w:eastAsia="Times New Roman" w:hAnsi="Arial" w:cs="Arial"/>
                <w:color w:val="000000"/>
                <w:sz w:val="24"/>
                <w:szCs w:val="20"/>
                <w:lang w:eastAsia="es-MX"/>
              </w:rPr>
            </w:pPr>
            <w:r w:rsidRPr="00D23B3D">
              <w:rPr>
                <w:rFonts w:ascii="Arial" w:eastAsia="Times New Roman" w:hAnsi="Arial" w:cs="Arial"/>
                <w:color w:val="000000"/>
                <w:sz w:val="24"/>
                <w:szCs w:val="20"/>
                <w:lang w:eastAsia="es-MX"/>
              </w:rPr>
              <w:t>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CB62500" w14:textId="77777777" w:rsidR="009B2B9B" w:rsidRPr="00D23B3D" w:rsidRDefault="003F1444" w:rsidP="007F180B">
            <w:pPr>
              <w:spacing w:after="0" w:line="240" w:lineRule="auto"/>
              <w:jc w:val="center"/>
              <w:rPr>
                <w:rFonts w:ascii="Arial" w:eastAsia="Times New Roman" w:hAnsi="Arial" w:cs="Arial"/>
                <w:color w:val="000000"/>
                <w:sz w:val="24"/>
                <w:szCs w:val="20"/>
                <w:lang w:eastAsia="es-MX"/>
              </w:rPr>
            </w:pPr>
            <w:r>
              <w:rPr>
                <w:rFonts w:ascii="Arial" w:eastAsia="Times New Roman" w:hAnsi="Arial" w:cs="Arial"/>
                <w:color w:val="000000"/>
                <w:sz w:val="24"/>
                <w:szCs w:val="20"/>
                <w:lang w:eastAsia="es-MX"/>
              </w:rPr>
              <w:t>19</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2B63B41" w14:textId="77777777" w:rsidR="009B2B9B" w:rsidRPr="00D23B3D" w:rsidRDefault="003F1444" w:rsidP="007F180B">
            <w:pPr>
              <w:spacing w:after="0" w:line="240" w:lineRule="auto"/>
              <w:jc w:val="center"/>
              <w:rPr>
                <w:rFonts w:ascii="Arial" w:eastAsia="Times New Roman" w:hAnsi="Arial" w:cs="Arial"/>
                <w:color w:val="000000"/>
                <w:sz w:val="24"/>
                <w:szCs w:val="20"/>
                <w:lang w:eastAsia="es-MX"/>
              </w:rPr>
            </w:pPr>
            <w:r>
              <w:rPr>
                <w:rFonts w:ascii="Arial" w:eastAsia="Times New Roman" w:hAnsi="Arial" w:cs="Arial"/>
                <w:color w:val="000000"/>
                <w:sz w:val="24"/>
                <w:szCs w:val="20"/>
                <w:lang w:eastAsia="es-MX"/>
              </w:rPr>
              <w:t>25</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0C06AE" w14:textId="77777777" w:rsidR="009B2B9B" w:rsidRPr="00D23B3D" w:rsidRDefault="008C531E" w:rsidP="007F180B">
            <w:pPr>
              <w:spacing w:after="0" w:line="240" w:lineRule="auto"/>
              <w:jc w:val="center"/>
              <w:rPr>
                <w:rFonts w:ascii="Arial" w:eastAsia="Times New Roman" w:hAnsi="Arial" w:cs="Arial"/>
                <w:color w:val="000000"/>
                <w:sz w:val="24"/>
                <w:szCs w:val="20"/>
                <w:lang w:eastAsia="es-MX"/>
              </w:rPr>
            </w:pPr>
            <w:r>
              <w:rPr>
                <w:rFonts w:ascii="Arial" w:eastAsia="Times New Roman" w:hAnsi="Arial" w:cs="Arial"/>
                <w:color w:val="000000"/>
                <w:sz w:val="24"/>
                <w:szCs w:val="20"/>
                <w:lang w:eastAsia="es-MX"/>
              </w:rPr>
              <w:t>44</w:t>
            </w:r>
          </w:p>
        </w:tc>
      </w:tr>
      <w:tr w:rsidR="009B2B9B" w:rsidRPr="00D23B3D" w14:paraId="141987B2" w14:textId="77777777" w:rsidTr="008D40E0">
        <w:trPr>
          <w:trHeight w:val="454"/>
          <w:jc w:val="center"/>
        </w:trPr>
        <w:tc>
          <w:tcPr>
            <w:tcW w:w="419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3687FA0" w14:textId="77777777" w:rsidR="009B2B9B" w:rsidRPr="00D23B3D" w:rsidRDefault="009B2B9B" w:rsidP="007F180B">
            <w:pPr>
              <w:spacing w:after="0" w:line="240" w:lineRule="auto"/>
              <w:rPr>
                <w:rFonts w:ascii="Arial" w:eastAsia="Times New Roman" w:hAnsi="Arial" w:cs="Arial"/>
                <w:color w:val="000000"/>
                <w:sz w:val="24"/>
                <w:szCs w:val="20"/>
                <w:lang w:eastAsia="es-MX"/>
              </w:rPr>
            </w:pPr>
            <w:r w:rsidRPr="00D23B3D">
              <w:rPr>
                <w:rFonts w:ascii="Arial" w:eastAsia="Times New Roman" w:hAnsi="Arial" w:cs="Arial"/>
                <w:color w:val="000000"/>
                <w:sz w:val="24"/>
                <w:szCs w:val="20"/>
                <w:lang w:eastAsia="es-MX"/>
              </w:rPr>
              <w:t>Auditoría al Desempeño</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F4EC7A" w14:textId="77777777" w:rsidR="009B2B9B" w:rsidRPr="00D23B3D" w:rsidRDefault="003F1444" w:rsidP="00D23B3D">
            <w:pPr>
              <w:spacing w:after="0" w:line="240" w:lineRule="auto"/>
              <w:jc w:val="center"/>
              <w:rPr>
                <w:rFonts w:ascii="Arial" w:eastAsia="Times New Roman" w:hAnsi="Arial" w:cs="Arial"/>
                <w:color w:val="000000"/>
                <w:sz w:val="24"/>
                <w:szCs w:val="20"/>
                <w:lang w:eastAsia="es-MX"/>
              </w:rPr>
            </w:pPr>
            <w:r>
              <w:rPr>
                <w:rFonts w:ascii="Arial" w:eastAsia="Times New Roman" w:hAnsi="Arial" w:cs="Arial"/>
                <w:color w:val="000000"/>
                <w:sz w:val="24"/>
                <w:szCs w:val="20"/>
                <w:lang w:eastAsia="es-MX"/>
              </w:rPr>
              <w:t>14</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120C582" w14:textId="77777777" w:rsidR="009B2B9B" w:rsidRPr="00D23B3D" w:rsidRDefault="003F1444" w:rsidP="007F180B">
            <w:pPr>
              <w:spacing w:after="0" w:line="240" w:lineRule="auto"/>
              <w:jc w:val="center"/>
              <w:rPr>
                <w:rFonts w:ascii="Arial" w:eastAsia="Times New Roman" w:hAnsi="Arial" w:cs="Arial"/>
                <w:color w:val="000000"/>
                <w:sz w:val="24"/>
                <w:szCs w:val="20"/>
                <w:lang w:eastAsia="es-MX"/>
              </w:rPr>
            </w:pPr>
            <w:r>
              <w:rPr>
                <w:rFonts w:ascii="Arial" w:eastAsia="Times New Roman" w:hAnsi="Arial" w:cs="Arial"/>
                <w:color w:val="000000"/>
                <w:sz w:val="24"/>
                <w:szCs w:val="20"/>
                <w:lang w:eastAsia="es-MX"/>
              </w:rPr>
              <w:t>17</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145E71E" w14:textId="77777777" w:rsidR="009B2B9B" w:rsidRPr="00D23B3D" w:rsidRDefault="007E4A5D" w:rsidP="007F180B">
            <w:pPr>
              <w:spacing w:after="0" w:line="240" w:lineRule="auto"/>
              <w:jc w:val="center"/>
              <w:rPr>
                <w:rFonts w:ascii="Arial" w:eastAsia="Times New Roman" w:hAnsi="Arial" w:cs="Arial"/>
                <w:color w:val="000000"/>
                <w:sz w:val="24"/>
                <w:szCs w:val="20"/>
                <w:lang w:eastAsia="es-MX"/>
              </w:rPr>
            </w:pPr>
            <w:r>
              <w:rPr>
                <w:rFonts w:ascii="Arial" w:eastAsia="Times New Roman" w:hAnsi="Arial" w:cs="Arial"/>
                <w:color w:val="000000"/>
                <w:sz w:val="24"/>
                <w:szCs w:val="20"/>
                <w:lang w:eastAsia="es-MX"/>
              </w:rPr>
              <w:t>8</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C02A0A" w14:textId="77777777" w:rsidR="009B2B9B" w:rsidRPr="00D23B3D" w:rsidRDefault="00D23B3D" w:rsidP="007F180B">
            <w:pPr>
              <w:spacing w:after="0" w:line="240" w:lineRule="auto"/>
              <w:jc w:val="center"/>
              <w:rPr>
                <w:rFonts w:ascii="Arial" w:eastAsia="Times New Roman" w:hAnsi="Arial" w:cs="Arial"/>
                <w:color w:val="000000"/>
                <w:sz w:val="24"/>
                <w:szCs w:val="20"/>
                <w:lang w:eastAsia="es-MX"/>
              </w:rPr>
            </w:pPr>
            <w:r w:rsidRPr="00D23B3D">
              <w:rPr>
                <w:rFonts w:ascii="Arial" w:eastAsia="Times New Roman" w:hAnsi="Arial" w:cs="Arial"/>
                <w:color w:val="000000"/>
                <w:sz w:val="24"/>
                <w:szCs w:val="20"/>
                <w:lang w:eastAsia="es-MX"/>
              </w:rPr>
              <w:t>3</w:t>
            </w:r>
            <w:r w:rsidR="009B2B9B" w:rsidRPr="00D23B3D">
              <w:rPr>
                <w:rFonts w:ascii="Arial" w:eastAsia="Times New Roman" w:hAnsi="Arial" w:cs="Arial"/>
                <w:color w:val="000000"/>
                <w:sz w:val="24"/>
                <w:szCs w:val="20"/>
                <w:lang w:eastAsia="es-MX"/>
              </w:rPr>
              <w:t>9</w:t>
            </w:r>
          </w:p>
        </w:tc>
      </w:tr>
      <w:tr w:rsidR="009B2B9B" w:rsidRPr="00D23B3D" w14:paraId="351C5E49" w14:textId="77777777" w:rsidTr="008D40E0">
        <w:trPr>
          <w:trHeight w:val="454"/>
          <w:jc w:val="center"/>
        </w:trPr>
        <w:tc>
          <w:tcPr>
            <w:tcW w:w="419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7764C6" w14:textId="77777777" w:rsidR="009B2B9B" w:rsidRPr="00D23B3D" w:rsidRDefault="009B2B9B" w:rsidP="007F180B">
            <w:pPr>
              <w:spacing w:after="0" w:line="240" w:lineRule="auto"/>
              <w:jc w:val="right"/>
              <w:rPr>
                <w:rFonts w:ascii="Arial" w:eastAsia="Times New Roman" w:hAnsi="Arial" w:cs="Arial"/>
                <w:b/>
                <w:color w:val="000000"/>
                <w:sz w:val="24"/>
                <w:szCs w:val="20"/>
                <w:lang w:eastAsia="es-MX"/>
              </w:rPr>
            </w:pPr>
            <w:r w:rsidRPr="00D23B3D">
              <w:rPr>
                <w:rFonts w:ascii="Arial" w:eastAsia="Times New Roman" w:hAnsi="Arial" w:cs="Arial"/>
                <w:b/>
                <w:color w:val="000000"/>
                <w:sz w:val="24"/>
                <w:szCs w:val="20"/>
                <w:lang w:eastAsia="es-MX"/>
              </w:rPr>
              <w:t>Total de auditorías programadas</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61C0BF" w14:textId="77777777" w:rsidR="009B2B9B" w:rsidRPr="00D23B3D" w:rsidRDefault="003F1444" w:rsidP="00D23B3D">
            <w:pPr>
              <w:spacing w:after="0" w:line="240" w:lineRule="auto"/>
              <w:jc w:val="center"/>
              <w:rPr>
                <w:rFonts w:ascii="Arial" w:eastAsia="Times New Roman" w:hAnsi="Arial" w:cs="Arial"/>
                <w:b/>
                <w:bCs/>
                <w:color w:val="000000"/>
                <w:sz w:val="24"/>
                <w:szCs w:val="20"/>
                <w:lang w:eastAsia="es-MX"/>
              </w:rPr>
            </w:pPr>
            <w:r>
              <w:rPr>
                <w:rFonts w:ascii="Arial" w:eastAsia="Times New Roman" w:hAnsi="Arial" w:cs="Arial"/>
                <w:b/>
                <w:bCs/>
                <w:color w:val="000000"/>
                <w:sz w:val="24"/>
                <w:szCs w:val="20"/>
                <w:lang w:eastAsia="es-MX"/>
              </w:rPr>
              <w:t>30</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2C176F" w14:textId="77777777" w:rsidR="009B2B9B" w:rsidRPr="00D23B3D" w:rsidRDefault="00A61EF8" w:rsidP="007F180B">
            <w:pPr>
              <w:spacing w:after="0" w:line="240" w:lineRule="auto"/>
              <w:jc w:val="center"/>
              <w:rPr>
                <w:rFonts w:ascii="Arial" w:eastAsia="Times New Roman" w:hAnsi="Arial" w:cs="Arial"/>
                <w:b/>
                <w:bCs/>
                <w:color w:val="000000"/>
                <w:sz w:val="24"/>
                <w:szCs w:val="20"/>
                <w:lang w:eastAsia="es-MX"/>
              </w:rPr>
            </w:pPr>
            <w:r>
              <w:rPr>
                <w:rFonts w:ascii="Arial" w:eastAsia="Times New Roman" w:hAnsi="Arial" w:cs="Arial"/>
                <w:b/>
                <w:bCs/>
                <w:color w:val="000000"/>
                <w:sz w:val="24"/>
                <w:szCs w:val="20"/>
                <w:lang w:eastAsia="es-MX"/>
              </w:rPr>
              <w:t>94</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48BD212" w14:textId="77777777" w:rsidR="009B2B9B" w:rsidRPr="00D23B3D" w:rsidRDefault="00A61EF8" w:rsidP="007F180B">
            <w:pPr>
              <w:spacing w:after="0" w:line="240" w:lineRule="auto"/>
              <w:jc w:val="center"/>
              <w:rPr>
                <w:rFonts w:ascii="Arial" w:eastAsia="Times New Roman" w:hAnsi="Arial" w:cs="Arial"/>
                <w:b/>
                <w:bCs/>
                <w:color w:val="000000"/>
                <w:sz w:val="24"/>
                <w:szCs w:val="20"/>
                <w:lang w:eastAsia="es-MX"/>
              </w:rPr>
            </w:pPr>
            <w:r>
              <w:rPr>
                <w:rFonts w:ascii="Arial" w:eastAsia="Times New Roman" w:hAnsi="Arial" w:cs="Arial"/>
                <w:b/>
                <w:bCs/>
                <w:color w:val="000000"/>
                <w:sz w:val="24"/>
                <w:szCs w:val="20"/>
                <w:lang w:eastAsia="es-MX"/>
              </w:rPr>
              <w:t>123</w:t>
            </w:r>
          </w:p>
        </w:tc>
        <w:tc>
          <w:tcPr>
            <w:tcW w:w="11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06C0BA" w14:textId="77777777" w:rsidR="009B2B9B" w:rsidRPr="00D23B3D" w:rsidRDefault="00D23B3D" w:rsidP="008C531E">
            <w:pPr>
              <w:spacing w:after="0" w:line="240" w:lineRule="auto"/>
              <w:jc w:val="center"/>
              <w:rPr>
                <w:rFonts w:ascii="Arial" w:eastAsia="Times New Roman" w:hAnsi="Arial" w:cs="Arial"/>
                <w:b/>
                <w:color w:val="000000"/>
                <w:sz w:val="24"/>
                <w:szCs w:val="20"/>
                <w:lang w:eastAsia="es-MX"/>
              </w:rPr>
            </w:pPr>
            <w:r w:rsidRPr="00D23B3D">
              <w:rPr>
                <w:rFonts w:ascii="Arial" w:eastAsia="Times New Roman" w:hAnsi="Arial" w:cs="Arial"/>
                <w:b/>
                <w:color w:val="000000"/>
                <w:sz w:val="24"/>
                <w:szCs w:val="20"/>
                <w:lang w:eastAsia="es-MX"/>
              </w:rPr>
              <w:t>24</w:t>
            </w:r>
            <w:r w:rsidR="008C531E">
              <w:rPr>
                <w:rFonts w:ascii="Arial" w:eastAsia="Times New Roman" w:hAnsi="Arial" w:cs="Arial"/>
                <w:b/>
                <w:color w:val="000000"/>
                <w:sz w:val="24"/>
                <w:szCs w:val="20"/>
                <w:lang w:eastAsia="es-MX"/>
              </w:rPr>
              <w:t>7</w:t>
            </w:r>
          </w:p>
        </w:tc>
      </w:tr>
      <w:tr w:rsidR="009B2B9B" w:rsidRPr="00D23B3D" w14:paraId="0A0D1D48" w14:textId="77777777" w:rsidTr="007B7273">
        <w:trPr>
          <w:trHeight w:val="315"/>
          <w:jc w:val="center"/>
        </w:trPr>
        <w:tc>
          <w:tcPr>
            <w:tcW w:w="1160" w:type="dxa"/>
            <w:tcBorders>
              <w:top w:val="single" w:sz="4" w:space="0" w:color="BFBFBF" w:themeColor="background1" w:themeShade="BF"/>
            </w:tcBorders>
          </w:tcPr>
          <w:p w14:paraId="1C59F1A3" w14:textId="77777777" w:rsidR="009B2B9B" w:rsidRPr="00D23B3D" w:rsidRDefault="009B2B9B" w:rsidP="007F180B">
            <w:pPr>
              <w:spacing w:after="0" w:line="240" w:lineRule="auto"/>
              <w:rPr>
                <w:rFonts w:ascii="Arial" w:eastAsia="Times New Roman" w:hAnsi="Arial" w:cs="Arial"/>
                <w:b/>
                <w:bCs/>
                <w:color w:val="000000"/>
                <w:sz w:val="24"/>
                <w:szCs w:val="20"/>
                <w:lang w:eastAsia="es-MX"/>
              </w:rPr>
            </w:pPr>
          </w:p>
        </w:tc>
        <w:tc>
          <w:tcPr>
            <w:tcW w:w="7678" w:type="dxa"/>
            <w:gridSpan w:val="5"/>
            <w:tcBorders>
              <w:top w:val="single" w:sz="4" w:space="0" w:color="BFBFBF" w:themeColor="background1" w:themeShade="BF"/>
            </w:tcBorders>
            <w:shd w:val="clear" w:color="auto" w:fill="auto"/>
            <w:noWrap/>
          </w:tcPr>
          <w:p w14:paraId="4197BFE6" w14:textId="77777777" w:rsidR="008D40E0" w:rsidRPr="008D40E0" w:rsidRDefault="008D40E0" w:rsidP="008D40E0">
            <w:pPr>
              <w:spacing w:after="0" w:line="240" w:lineRule="auto"/>
              <w:jc w:val="center"/>
              <w:rPr>
                <w:rFonts w:ascii="Arial" w:eastAsia="Times New Roman" w:hAnsi="Arial" w:cs="Arial"/>
                <w:b/>
                <w:bCs/>
                <w:i/>
                <w:color w:val="000000" w:themeColor="text1"/>
                <w:sz w:val="12"/>
                <w:szCs w:val="20"/>
                <w:lang w:eastAsia="es-MX"/>
              </w:rPr>
            </w:pPr>
          </w:p>
          <w:p w14:paraId="75A9B18B" w14:textId="77777777" w:rsidR="009B2B9B" w:rsidRPr="008D40E0" w:rsidRDefault="0071701E" w:rsidP="008D40E0">
            <w:pPr>
              <w:spacing w:after="0" w:line="240" w:lineRule="auto"/>
              <w:jc w:val="center"/>
              <w:rPr>
                <w:rFonts w:ascii="Arial" w:eastAsia="Times New Roman" w:hAnsi="Arial" w:cs="Arial"/>
                <w:b/>
                <w:bCs/>
                <w:i/>
                <w:color w:val="000000" w:themeColor="text1"/>
                <w:sz w:val="18"/>
                <w:szCs w:val="20"/>
                <w:lang w:eastAsia="es-MX"/>
              </w:rPr>
            </w:pPr>
            <w:r>
              <w:rPr>
                <w:rFonts w:ascii="Arial" w:eastAsia="Times New Roman" w:hAnsi="Arial" w:cs="Arial"/>
                <w:b/>
                <w:bCs/>
                <w:i/>
                <w:color w:val="000000" w:themeColor="text1"/>
                <w:sz w:val="18"/>
                <w:szCs w:val="20"/>
                <w:lang w:eastAsia="es-MX"/>
              </w:rPr>
              <w:t>Tabla N° 21</w:t>
            </w:r>
            <w:r w:rsidR="009B2B9B" w:rsidRPr="008D40E0">
              <w:rPr>
                <w:rFonts w:ascii="Arial" w:eastAsia="Times New Roman" w:hAnsi="Arial" w:cs="Arial"/>
                <w:b/>
                <w:bCs/>
                <w:i/>
                <w:color w:val="000000" w:themeColor="text1"/>
                <w:sz w:val="18"/>
                <w:szCs w:val="20"/>
                <w:lang w:eastAsia="es-MX"/>
              </w:rPr>
              <w:t xml:space="preserve">: </w:t>
            </w:r>
            <w:r w:rsidR="009B2B9B" w:rsidRPr="008D40E0">
              <w:rPr>
                <w:rFonts w:ascii="Arial" w:eastAsia="Times New Roman" w:hAnsi="Arial" w:cs="Arial"/>
                <w:bCs/>
                <w:i/>
                <w:color w:val="000000" w:themeColor="text1"/>
                <w:sz w:val="18"/>
                <w:szCs w:val="20"/>
                <w:lang w:eastAsia="es-MX"/>
              </w:rPr>
              <w:t xml:space="preserve">Elaboración propia, ver gráfica N° </w:t>
            </w:r>
            <w:r w:rsidR="00D23B3D" w:rsidRPr="008D40E0">
              <w:rPr>
                <w:rFonts w:ascii="Arial" w:eastAsia="Times New Roman" w:hAnsi="Arial" w:cs="Arial"/>
                <w:bCs/>
                <w:i/>
                <w:color w:val="000000" w:themeColor="text1"/>
                <w:sz w:val="18"/>
                <w:szCs w:val="20"/>
                <w:lang w:eastAsia="es-MX"/>
              </w:rPr>
              <w:t>18.</w:t>
            </w:r>
          </w:p>
        </w:tc>
      </w:tr>
    </w:tbl>
    <w:p w14:paraId="34290955" w14:textId="77777777" w:rsidR="00DB6FEA" w:rsidRPr="007B7273" w:rsidRDefault="00DB6FEA" w:rsidP="00A87300">
      <w:pPr>
        <w:rPr>
          <w:rFonts w:ascii="Arial" w:hAnsi="Arial" w:cs="Arial"/>
          <w:sz w:val="2"/>
          <w:szCs w:val="20"/>
        </w:rPr>
      </w:pPr>
    </w:p>
    <w:p w14:paraId="2557C1DF" w14:textId="77777777" w:rsidR="007B7273" w:rsidRDefault="008D40E0" w:rsidP="008D40E0">
      <w:pPr>
        <w:keepNext/>
        <w:jc w:val="center"/>
      </w:pPr>
      <w:r>
        <w:rPr>
          <w:noProof/>
          <w:lang w:eastAsia="es-MX"/>
        </w:rPr>
        <w:drawing>
          <wp:inline distT="0" distB="0" distL="0" distR="0" wp14:anchorId="03259C99" wp14:editId="54F5421E">
            <wp:extent cx="5219700" cy="3708000"/>
            <wp:effectExtent l="0" t="0" r="0" b="698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B54022" w14:textId="77777777" w:rsidR="008D40E0" w:rsidRPr="008D40E0" w:rsidRDefault="007B7273" w:rsidP="007B7273">
      <w:pPr>
        <w:spacing w:after="0" w:line="240" w:lineRule="auto"/>
        <w:jc w:val="center"/>
        <w:rPr>
          <w:rFonts w:ascii="Arial" w:eastAsia="Times New Roman" w:hAnsi="Arial" w:cs="Arial"/>
          <w:b/>
          <w:bCs/>
          <w:i/>
          <w:color w:val="000000" w:themeColor="text1"/>
          <w:sz w:val="18"/>
          <w:szCs w:val="20"/>
          <w:lang w:eastAsia="es-MX"/>
        </w:rPr>
      </w:pPr>
      <w:r w:rsidRPr="008D40E0">
        <w:rPr>
          <w:rFonts w:ascii="Arial" w:eastAsia="Times New Roman" w:hAnsi="Arial" w:cs="Arial"/>
          <w:b/>
          <w:bCs/>
          <w:i/>
          <w:color w:val="000000" w:themeColor="text1"/>
          <w:sz w:val="18"/>
          <w:szCs w:val="20"/>
          <w:lang w:eastAsia="es-MX"/>
        </w:rPr>
        <w:t>Gráfica N° 1</w:t>
      </w:r>
      <w:r w:rsidR="0028541B" w:rsidRPr="008D40E0">
        <w:rPr>
          <w:rFonts w:ascii="Arial" w:eastAsia="Times New Roman" w:hAnsi="Arial" w:cs="Arial"/>
          <w:b/>
          <w:bCs/>
          <w:i/>
          <w:color w:val="000000" w:themeColor="text1"/>
          <w:sz w:val="18"/>
          <w:szCs w:val="20"/>
          <w:lang w:eastAsia="es-MX"/>
        </w:rPr>
        <w:t>8</w:t>
      </w:r>
      <w:r w:rsidR="008D40E0" w:rsidRPr="008D40E0">
        <w:rPr>
          <w:rFonts w:ascii="Arial" w:eastAsia="Times New Roman" w:hAnsi="Arial" w:cs="Arial"/>
          <w:b/>
          <w:bCs/>
          <w:i/>
          <w:color w:val="000000" w:themeColor="text1"/>
          <w:sz w:val="18"/>
          <w:szCs w:val="20"/>
          <w:lang w:eastAsia="es-MX"/>
        </w:rPr>
        <w:t xml:space="preserve"> </w:t>
      </w:r>
    </w:p>
    <w:p w14:paraId="6E6A3410" w14:textId="77777777" w:rsidR="0065588F" w:rsidRPr="008D40E0" w:rsidRDefault="007B7273" w:rsidP="007B7273">
      <w:pPr>
        <w:spacing w:after="0" w:line="240" w:lineRule="auto"/>
        <w:jc w:val="center"/>
        <w:rPr>
          <w:rFonts w:ascii="Arial" w:eastAsia="Times New Roman" w:hAnsi="Arial" w:cs="Arial"/>
          <w:bCs/>
          <w:i/>
          <w:color w:val="000000" w:themeColor="text1"/>
          <w:sz w:val="18"/>
          <w:szCs w:val="20"/>
          <w:lang w:eastAsia="es-MX"/>
        </w:rPr>
      </w:pPr>
      <w:r w:rsidRPr="008D40E0">
        <w:rPr>
          <w:rFonts w:ascii="Arial" w:eastAsia="Times New Roman" w:hAnsi="Arial" w:cs="Arial"/>
          <w:b/>
          <w:bCs/>
          <w:i/>
          <w:color w:val="000000" w:themeColor="text1"/>
          <w:sz w:val="18"/>
          <w:szCs w:val="20"/>
          <w:lang w:eastAsia="es-MX"/>
        </w:rPr>
        <w:t>Fuente:</w:t>
      </w:r>
      <w:r w:rsidRPr="008D40E0">
        <w:rPr>
          <w:rFonts w:ascii="Arial" w:eastAsia="Times New Roman" w:hAnsi="Arial" w:cs="Arial"/>
          <w:bCs/>
          <w:i/>
          <w:color w:val="000000" w:themeColor="text1"/>
          <w:sz w:val="18"/>
          <w:szCs w:val="20"/>
          <w:lang w:eastAsia="es-MX"/>
        </w:rPr>
        <w:t xml:space="preserve"> Datos provenientes de los Informes Individuales entregados a la Comisión, los cuales se deriv</w:t>
      </w:r>
      <w:r w:rsidR="00156241">
        <w:rPr>
          <w:rFonts w:ascii="Arial" w:eastAsia="Times New Roman" w:hAnsi="Arial" w:cs="Arial"/>
          <w:bCs/>
          <w:i/>
          <w:color w:val="000000" w:themeColor="text1"/>
          <w:sz w:val="18"/>
          <w:szCs w:val="20"/>
          <w:lang w:eastAsia="es-MX"/>
        </w:rPr>
        <w:t>an de las auditorías concluidas</w:t>
      </w:r>
    </w:p>
    <w:p w14:paraId="7B5C303C" w14:textId="77777777" w:rsidR="00DA0966" w:rsidRPr="00FC65DE" w:rsidRDefault="00FC65DE" w:rsidP="00FC65DE">
      <w:pPr>
        <w:spacing w:after="0" w:line="276" w:lineRule="auto"/>
        <w:jc w:val="center"/>
        <w:rPr>
          <w:rFonts w:ascii="Arial" w:hAnsi="Arial" w:cs="Arial"/>
          <w:b/>
          <w:sz w:val="24"/>
          <w:szCs w:val="24"/>
        </w:rPr>
      </w:pPr>
      <w:r w:rsidRPr="00FC65DE">
        <w:rPr>
          <w:rFonts w:ascii="Arial" w:hAnsi="Arial" w:cs="Arial"/>
          <w:b/>
          <w:sz w:val="24"/>
          <w:szCs w:val="24"/>
        </w:rPr>
        <w:lastRenderedPageBreak/>
        <w:t>Informes Individuales presentados – Cuenta Pública 202</w:t>
      </w:r>
      <w:r w:rsidR="0058345D">
        <w:rPr>
          <w:rFonts w:ascii="Arial" w:hAnsi="Arial" w:cs="Arial"/>
          <w:b/>
          <w:sz w:val="24"/>
          <w:szCs w:val="24"/>
        </w:rPr>
        <w:t>2</w:t>
      </w:r>
    </w:p>
    <w:p w14:paraId="1AB379B1" w14:textId="77777777" w:rsidR="00FC65DE" w:rsidRPr="00FC65DE" w:rsidRDefault="00FC65DE" w:rsidP="00FC65DE">
      <w:pPr>
        <w:spacing w:after="0" w:line="276" w:lineRule="auto"/>
        <w:jc w:val="center"/>
        <w:rPr>
          <w:rFonts w:ascii="Arial" w:hAnsi="Arial" w:cs="Arial"/>
          <w:b/>
          <w:sz w:val="24"/>
          <w:szCs w:val="24"/>
        </w:rPr>
      </w:pPr>
      <w:r w:rsidRPr="00FC65DE">
        <w:rPr>
          <w:rFonts w:ascii="Arial" w:hAnsi="Arial" w:cs="Arial"/>
          <w:b/>
          <w:sz w:val="24"/>
          <w:szCs w:val="24"/>
        </w:rPr>
        <w:t>(Por clasificación de Ente y Tipo de Informe)</w:t>
      </w:r>
    </w:p>
    <w:p w14:paraId="72503392" w14:textId="77777777" w:rsidR="00FC65DE" w:rsidRPr="00FA514A" w:rsidRDefault="00FC65DE" w:rsidP="00FC65DE">
      <w:pPr>
        <w:spacing w:after="0" w:line="276" w:lineRule="auto"/>
        <w:jc w:val="both"/>
        <w:rPr>
          <w:rFonts w:ascii="Arial" w:hAnsi="Arial" w:cs="Arial"/>
          <w:sz w:val="12"/>
          <w:szCs w:val="12"/>
        </w:rPr>
      </w:pPr>
    </w:p>
    <w:tbl>
      <w:tblPr>
        <w:tblW w:w="8833"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691"/>
        <w:gridCol w:w="1276"/>
        <w:gridCol w:w="1417"/>
        <w:gridCol w:w="1276"/>
        <w:gridCol w:w="1173"/>
      </w:tblGrid>
      <w:tr w:rsidR="00FC65DE" w:rsidRPr="00FC65DE" w14:paraId="6B686A34" w14:textId="77777777" w:rsidTr="00FC65DE">
        <w:trPr>
          <w:trHeight w:val="397"/>
        </w:trPr>
        <w:tc>
          <w:tcPr>
            <w:tcW w:w="3691" w:type="dxa"/>
            <w:vMerge w:val="restart"/>
            <w:shd w:val="clear" w:color="auto" w:fill="A5A5A5" w:themeFill="accent3"/>
            <w:noWrap/>
            <w:vAlign w:val="center"/>
            <w:hideMark/>
          </w:tcPr>
          <w:p w14:paraId="09D751B1" w14:textId="77777777" w:rsidR="00FC65DE" w:rsidRPr="00FC65DE" w:rsidRDefault="00FC65DE" w:rsidP="00FC65DE">
            <w:pPr>
              <w:spacing w:after="0" w:line="240" w:lineRule="auto"/>
              <w:jc w:val="center"/>
              <w:rPr>
                <w:rFonts w:ascii="Arial" w:eastAsia="Times New Roman" w:hAnsi="Arial" w:cs="Arial"/>
                <w:b/>
                <w:bCs/>
                <w:sz w:val="20"/>
                <w:szCs w:val="20"/>
                <w:lang w:eastAsia="es-MX"/>
              </w:rPr>
            </w:pPr>
            <w:r w:rsidRPr="00FC65DE">
              <w:rPr>
                <w:rFonts w:ascii="Arial" w:eastAsia="Times New Roman" w:hAnsi="Arial" w:cs="Arial"/>
                <w:b/>
                <w:bCs/>
                <w:sz w:val="20"/>
                <w:szCs w:val="20"/>
                <w:lang w:eastAsia="es-MX"/>
              </w:rPr>
              <w:t>Tipo de Ente Fiscalizado</w:t>
            </w:r>
          </w:p>
        </w:tc>
        <w:tc>
          <w:tcPr>
            <w:tcW w:w="5142" w:type="dxa"/>
            <w:gridSpan w:val="4"/>
            <w:shd w:val="clear" w:color="auto" w:fill="A5A5A5" w:themeFill="accent3"/>
            <w:noWrap/>
            <w:vAlign w:val="center"/>
            <w:hideMark/>
          </w:tcPr>
          <w:p w14:paraId="2465AB46" w14:textId="77777777" w:rsidR="00FC65DE" w:rsidRPr="00FC65DE" w:rsidRDefault="00FC65DE" w:rsidP="00FC65DE">
            <w:pPr>
              <w:spacing w:after="0" w:line="240" w:lineRule="auto"/>
              <w:jc w:val="center"/>
              <w:rPr>
                <w:rFonts w:ascii="Arial" w:eastAsia="Times New Roman" w:hAnsi="Arial" w:cs="Arial"/>
                <w:b/>
                <w:bCs/>
                <w:sz w:val="20"/>
                <w:szCs w:val="20"/>
                <w:lang w:eastAsia="es-MX"/>
              </w:rPr>
            </w:pPr>
            <w:r w:rsidRPr="00FC65DE">
              <w:rPr>
                <w:rFonts w:ascii="Arial" w:eastAsia="Times New Roman" w:hAnsi="Arial" w:cs="Arial"/>
                <w:b/>
                <w:bCs/>
                <w:sz w:val="20"/>
                <w:szCs w:val="20"/>
                <w:lang w:eastAsia="es-MX"/>
              </w:rPr>
              <w:t>Informes Individuales</w:t>
            </w:r>
          </w:p>
        </w:tc>
      </w:tr>
      <w:tr w:rsidR="00FC65DE" w:rsidRPr="00FC65DE" w14:paraId="158BA3A3" w14:textId="77777777" w:rsidTr="00FC65DE">
        <w:trPr>
          <w:trHeight w:val="300"/>
        </w:trPr>
        <w:tc>
          <w:tcPr>
            <w:tcW w:w="3691" w:type="dxa"/>
            <w:vMerge/>
            <w:shd w:val="clear" w:color="auto" w:fill="A5A5A5" w:themeFill="accent3"/>
            <w:vAlign w:val="center"/>
            <w:hideMark/>
          </w:tcPr>
          <w:p w14:paraId="1FBF3B90" w14:textId="77777777" w:rsidR="00FC65DE" w:rsidRPr="00FC65DE" w:rsidRDefault="00FC65DE" w:rsidP="00FC65DE">
            <w:pPr>
              <w:spacing w:after="0" w:line="240" w:lineRule="auto"/>
              <w:rPr>
                <w:rFonts w:ascii="Arial" w:eastAsia="Times New Roman" w:hAnsi="Arial" w:cs="Arial"/>
                <w:b/>
                <w:bCs/>
                <w:sz w:val="20"/>
                <w:szCs w:val="20"/>
                <w:lang w:eastAsia="es-MX"/>
              </w:rPr>
            </w:pPr>
          </w:p>
        </w:tc>
        <w:tc>
          <w:tcPr>
            <w:tcW w:w="1276" w:type="dxa"/>
            <w:shd w:val="clear" w:color="auto" w:fill="A5A5A5" w:themeFill="accent3"/>
            <w:noWrap/>
            <w:vAlign w:val="center"/>
            <w:hideMark/>
          </w:tcPr>
          <w:p w14:paraId="065CC1BB" w14:textId="77777777" w:rsidR="00FC65DE" w:rsidRPr="00FC65DE" w:rsidRDefault="00FC65DE" w:rsidP="00FC65DE">
            <w:pPr>
              <w:spacing w:after="0" w:line="240" w:lineRule="auto"/>
              <w:jc w:val="center"/>
              <w:rPr>
                <w:rFonts w:ascii="Arial" w:eastAsia="Times New Roman" w:hAnsi="Arial" w:cs="Arial"/>
                <w:b/>
                <w:bCs/>
                <w:sz w:val="20"/>
                <w:szCs w:val="20"/>
                <w:lang w:eastAsia="es-MX"/>
              </w:rPr>
            </w:pPr>
            <w:r w:rsidRPr="00FC65DE">
              <w:rPr>
                <w:rFonts w:ascii="Arial" w:eastAsia="Times New Roman" w:hAnsi="Arial" w:cs="Arial"/>
                <w:b/>
                <w:bCs/>
                <w:sz w:val="20"/>
                <w:szCs w:val="20"/>
                <w:lang w:eastAsia="es-MX"/>
              </w:rPr>
              <w:t>Financieras</w:t>
            </w:r>
          </w:p>
        </w:tc>
        <w:tc>
          <w:tcPr>
            <w:tcW w:w="1417" w:type="dxa"/>
            <w:shd w:val="clear" w:color="auto" w:fill="A5A5A5" w:themeFill="accent3"/>
            <w:noWrap/>
            <w:vAlign w:val="center"/>
            <w:hideMark/>
          </w:tcPr>
          <w:p w14:paraId="2F80E22D" w14:textId="77777777" w:rsidR="00FC65DE" w:rsidRPr="00FC65DE" w:rsidRDefault="00FC65DE" w:rsidP="00FC65DE">
            <w:pPr>
              <w:spacing w:after="0" w:line="240" w:lineRule="auto"/>
              <w:jc w:val="center"/>
              <w:rPr>
                <w:rFonts w:ascii="Arial" w:eastAsia="Times New Roman" w:hAnsi="Arial" w:cs="Arial"/>
                <w:b/>
                <w:bCs/>
                <w:sz w:val="20"/>
                <w:szCs w:val="20"/>
                <w:lang w:eastAsia="es-MX"/>
              </w:rPr>
            </w:pPr>
            <w:r w:rsidRPr="00FC65DE">
              <w:rPr>
                <w:rFonts w:ascii="Arial" w:eastAsia="Times New Roman" w:hAnsi="Arial" w:cs="Arial"/>
                <w:b/>
                <w:bCs/>
                <w:sz w:val="20"/>
                <w:szCs w:val="20"/>
                <w:lang w:eastAsia="es-MX"/>
              </w:rPr>
              <w:t>Desempeño</w:t>
            </w:r>
          </w:p>
        </w:tc>
        <w:tc>
          <w:tcPr>
            <w:tcW w:w="1276" w:type="dxa"/>
            <w:shd w:val="clear" w:color="auto" w:fill="A5A5A5" w:themeFill="accent3"/>
            <w:noWrap/>
            <w:vAlign w:val="center"/>
            <w:hideMark/>
          </w:tcPr>
          <w:p w14:paraId="7E719782" w14:textId="77777777" w:rsidR="00FC65DE" w:rsidRPr="00FC65DE" w:rsidRDefault="00FC65DE" w:rsidP="00FC65DE">
            <w:pPr>
              <w:spacing w:after="0" w:line="240" w:lineRule="auto"/>
              <w:jc w:val="center"/>
              <w:rPr>
                <w:rFonts w:ascii="Arial" w:eastAsia="Times New Roman" w:hAnsi="Arial" w:cs="Arial"/>
                <w:b/>
                <w:bCs/>
                <w:sz w:val="20"/>
                <w:szCs w:val="20"/>
                <w:lang w:eastAsia="es-MX"/>
              </w:rPr>
            </w:pPr>
            <w:r w:rsidRPr="00FC65DE">
              <w:rPr>
                <w:rFonts w:ascii="Arial" w:eastAsia="Times New Roman" w:hAnsi="Arial" w:cs="Arial"/>
                <w:b/>
                <w:bCs/>
                <w:sz w:val="20"/>
                <w:szCs w:val="20"/>
                <w:lang w:eastAsia="es-MX"/>
              </w:rPr>
              <w:t>Inversiones Físicas</w:t>
            </w:r>
          </w:p>
        </w:tc>
        <w:tc>
          <w:tcPr>
            <w:tcW w:w="1173" w:type="dxa"/>
            <w:shd w:val="clear" w:color="auto" w:fill="A5A5A5" w:themeFill="accent3"/>
            <w:noWrap/>
            <w:vAlign w:val="center"/>
            <w:hideMark/>
          </w:tcPr>
          <w:p w14:paraId="66CE5B26" w14:textId="77777777" w:rsidR="00FC65DE" w:rsidRPr="00FC65DE" w:rsidRDefault="00FC65DE" w:rsidP="00FC65DE">
            <w:pPr>
              <w:spacing w:after="0" w:line="240" w:lineRule="auto"/>
              <w:jc w:val="center"/>
              <w:rPr>
                <w:rFonts w:ascii="Arial" w:eastAsia="Times New Roman" w:hAnsi="Arial" w:cs="Arial"/>
                <w:b/>
                <w:bCs/>
                <w:sz w:val="20"/>
                <w:szCs w:val="20"/>
                <w:lang w:eastAsia="es-MX"/>
              </w:rPr>
            </w:pPr>
            <w:r w:rsidRPr="00FC65DE">
              <w:rPr>
                <w:rFonts w:ascii="Arial" w:eastAsia="Times New Roman" w:hAnsi="Arial" w:cs="Arial"/>
                <w:b/>
                <w:bCs/>
                <w:sz w:val="20"/>
                <w:szCs w:val="20"/>
                <w:lang w:eastAsia="es-MX"/>
              </w:rPr>
              <w:t>Total</w:t>
            </w:r>
          </w:p>
        </w:tc>
      </w:tr>
      <w:tr w:rsidR="008271F4" w:rsidRPr="00FC65DE" w14:paraId="398E44E5" w14:textId="77777777" w:rsidTr="00286145">
        <w:trPr>
          <w:trHeight w:val="397"/>
        </w:trPr>
        <w:tc>
          <w:tcPr>
            <w:tcW w:w="3691" w:type="dxa"/>
            <w:shd w:val="clear" w:color="auto" w:fill="auto"/>
            <w:noWrap/>
            <w:vAlign w:val="center"/>
            <w:hideMark/>
          </w:tcPr>
          <w:p w14:paraId="29116E19" w14:textId="77777777" w:rsidR="008271F4" w:rsidRPr="00FC65DE" w:rsidRDefault="008271F4" w:rsidP="008271F4">
            <w:pPr>
              <w:spacing w:after="0" w:line="240" w:lineRule="auto"/>
              <w:rPr>
                <w:rFonts w:ascii="Arial" w:eastAsia="Times New Roman" w:hAnsi="Arial" w:cs="Arial"/>
                <w:sz w:val="20"/>
                <w:szCs w:val="20"/>
                <w:lang w:eastAsia="es-MX"/>
              </w:rPr>
            </w:pPr>
            <w:r w:rsidRPr="00FC65DE">
              <w:rPr>
                <w:rFonts w:ascii="Arial" w:eastAsia="Times New Roman" w:hAnsi="Arial" w:cs="Arial"/>
                <w:sz w:val="20"/>
                <w:szCs w:val="20"/>
                <w:lang w:eastAsia="es-MX"/>
              </w:rPr>
              <w:t>Poder Ejecutivo</w:t>
            </w:r>
          </w:p>
        </w:tc>
        <w:tc>
          <w:tcPr>
            <w:tcW w:w="1276" w:type="dxa"/>
            <w:tcBorders>
              <w:top w:val="nil"/>
              <w:left w:val="nil"/>
              <w:bottom w:val="single" w:sz="8" w:space="0" w:color="BFBFBF"/>
              <w:right w:val="single" w:sz="8" w:space="0" w:color="BFBFBF"/>
            </w:tcBorders>
            <w:shd w:val="clear" w:color="auto" w:fill="auto"/>
            <w:noWrap/>
            <w:vAlign w:val="center"/>
            <w:hideMark/>
          </w:tcPr>
          <w:p w14:paraId="1CB96C4F"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1</w:t>
            </w:r>
          </w:p>
        </w:tc>
        <w:tc>
          <w:tcPr>
            <w:tcW w:w="1417" w:type="dxa"/>
            <w:tcBorders>
              <w:top w:val="nil"/>
              <w:left w:val="nil"/>
              <w:bottom w:val="single" w:sz="8" w:space="0" w:color="BFBFBF"/>
              <w:right w:val="single" w:sz="8" w:space="0" w:color="BFBFBF"/>
            </w:tcBorders>
            <w:shd w:val="clear" w:color="auto" w:fill="auto"/>
            <w:noWrap/>
            <w:vAlign w:val="center"/>
            <w:hideMark/>
          </w:tcPr>
          <w:p w14:paraId="107CC128"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0</w:t>
            </w:r>
          </w:p>
        </w:tc>
        <w:tc>
          <w:tcPr>
            <w:tcW w:w="1276" w:type="dxa"/>
            <w:tcBorders>
              <w:top w:val="nil"/>
              <w:left w:val="nil"/>
              <w:bottom w:val="single" w:sz="8" w:space="0" w:color="BFBFBF"/>
              <w:right w:val="single" w:sz="8" w:space="0" w:color="BFBFBF"/>
            </w:tcBorders>
            <w:shd w:val="clear" w:color="auto" w:fill="auto"/>
            <w:noWrap/>
            <w:vAlign w:val="center"/>
            <w:hideMark/>
          </w:tcPr>
          <w:p w14:paraId="1D0AE6B0"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0</w:t>
            </w:r>
          </w:p>
        </w:tc>
        <w:tc>
          <w:tcPr>
            <w:tcW w:w="1173" w:type="dxa"/>
            <w:tcBorders>
              <w:top w:val="nil"/>
              <w:left w:val="nil"/>
              <w:bottom w:val="single" w:sz="8" w:space="0" w:color="BFBFBF"/>
              <w:right w:val="single" w:sz="8" w:space="0" w:color="BFBFBF"/>
            </w:tcBorders>
            <w:shd w:val="clear" w:color="auto" w:fill="auto"/>
            <w:noWrap/>
            <w:vAlign w:val="center"/>
            <w:hideMark/>
          </w:tcPr>
          <w:p w14:paraId="4640A888"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1</w:t>
            </w:r>
          </w:p>
        </w:tc>
      </w:tr>
      <w:tr w:rsidR="008271F4" w:rsidRPr="00FC65DE" w14:paraId="756B2093" w14:textId="77777777" w:rsidTr="00286145">
        <w:trPr>
          <w:trHeight w:val="397"/>
        </w:trPr>
        <w:tc>
          <w:tcPr>
            <w:tcW w:w="3691" w:type="dxa"/>
            <w:shd w:val="clear" w:color="auto" w:fill="auto"/>
            <w:noWrap/>
            <w:vAlign w:val="center"/>
            <w:hideMark/>
          </w:tcPr>
          <w:p w14:paraId="21F5D6B7" w14:textId="77777777" w:rsidR="008271F4" w:rsidRPr="00FC65DE" w:rsidRDefault="008271F4" w:rsidP="008271F4">
            <w:pPr>
              <w:spacing w:after="0" w:line="240" w:lineRule="auto"/>
              <w:rPr>
                <w:rFonts w:ascii="Arial" w:eastAsia="Times New Roman" w:hAnsi="Arial" w:cs="Arial"/>
                <w:sz w:val="20"/>
                <w:szCs w:val="20"/>
                <w:lang w:eastAsia="es-MX"/>
              </w:rPr>
            </w:pPr>
            <w:r w:rsidRPr="00FC65DE">
              <w:rPr>
                <w:rFonts w:ascii="Arial" w:eastAsia="Times New Roman" w:hAnsi="Arial" w:cs="Arial"/>
                <w:sz w:val="20"/>
                <w:szCs w:val="20"/>
                <w:lang w:eastAsia="es-MX"/>
              </w:rPr>
              <w:t>Poder Legislativo</w:t>
            </w:r>
          </w:p>
        </w:tc>
        <w:tc>
          <w:tcPr>
            <w:tcW w:w="1276" w:type="dxa"/>
            <w:tcBorders>
              <w:top w:val="nil"/>
              <w:left w:val="nil"/>
              <w:bottom w:val="single" w:sz="8" w:space="0" w:color="BFBFBF"/>
              <w:right w:val="single" w:sz="8" w:space="0" w:color="BFBFBF"/>
            </w:tcBorders>
            <w:shd w:val="clear" w:color="auto" w:fill="auto"/>
            <w:noWrap/>
            <w:vAlign w:val="center"/>
            <w:hideMark/>
          </w:tcPr>
          <w:p w14:paraId="6F3AF5EE"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1</w:t>
            </w:r>
          </w:p>
        </w:tc>
        <w:tc>
          <w:tcPr>
            <w:tcW w:w="1417" w:type="dxa"/>
            <w:tcBorders>
              <w:top w:val="nil"/>
              <w:left w:val="nil"/>
              <w:bottom w:val="single" w:sz="8" w:space="0" w:color="BFBFBF"/>
              <w:right w:val="single" w:sz="8" w:space="0" w:color="BFBFBF"/>
            </w:tcBorders>
            <w:shd w:val="clear" w:color="auto" w:fill="auto"/>
            <w:noWrap/>
            <w:vAlign w:val="center"/>
            <w:hideMark/>
          </w:tcPr>
          <w:p w14:paraId="43F9A84B"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0</w:t>
            </w:r>
          </w:p>
        </w:tc>
        <w:tc>
          <w:tcPr>
            <w:tcW w:w="1276" w:type="dxa"/>
            <w:tcBorders>
              <w:top w:val="nil"/>
              <w:left w:val="nil"/>
              <w:bottom w:val="single" w:sz="8" w:space="0" w:color="BFBFBF"/>
              <w:right w:val="single" w:sz="8" w:space="0" w:color="BFBFBF"/>
            </w:tcBorders>
            <w:shd w:val="clear" w:color="auto" w:fill="auto"/>
            <w:noWrap/>
            <w:vAlign w:val="center"/>
            <w:hideMark/>
          </w:tcPr>
          <w:p w14:paraId="5BBA1066"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0</w:t>
            </w:r>
          </w:p>
        </w:tc>
        <w:tc>
          <w:tcPr>
            <w:tcW w:w="1173" w:type="dxa"/>
            <w:tcBorders>
              <w:top w:val="nil"/>
              <w:left w:val="nil"/>
              <w:bottom w:val="single" w:sz="8" w:space="0" w:color="BFBFBF"/>
              <w:right w:val="single" w:sz="8" w:space="0" w:color="BFBFBF"/>
            </w:tcBorders>
            <w:shd w:val="clear" w:color="auto" w:fill="auto"/>
            <w:noWrap/>
            <w:vAlign w:val="center"/>
            <w:hideMark/>
          </w:tcPr>
          <w:p w14:paraId="0C13FA04"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1</w:t>
            </w:r>
          </w:p>
        </w:tc>
      </w:tr>
      <w:tr w:rsidR="008271F4" w:rsidRPr="00FC65DE" w14:paraId="79D8F0E2" w14:textId="77777777" w:rsidTr="00286145">
        <w:trPr>
          <w:trHeight w:val="397"/>
        </w:trPr>
        <w:tc>
          <w:tcPr>
            <w:tcW w:w="3691" w:type="dxa"/>
            <w:shd w:val="clear" w:color="auto" w:fill="auto"/>
            <w:noWrap/>
            <w:vAlign w:val="center"/>
            <w:hideMark/>
          </w:tcPr>
          <w:p w14:paraId="29CD9F4A" w14:textId="77777777" w:rsidR="008271F4" w:rsidRPr="00FC65DE" w:rsidRDefault="008271F4" w:rsidP="008271F4">
            <w:pPr>
              <w:spacing w:after="0" w:line="240" w:lineRule="auto"/>
              <w:rPr>
                <w:rFonts w:ascii="Arial" w:eastAsia="Times New Roman" w:hAnsi="Arial" w:cs="Arial"/>
                <w:sz w:val="20"/>
                <w:szCs w:val="20"/>
                <w:lang w:eastAsia="es-MX"/>
              </w:rPr>
            </w:pPr>
            <w:r w:rsidRPr="00FC65DE">
              <w:rPr>
                <w:rFonts w:ascii="Arial" w:eastAsia="Times New Roman" w:hAnsi="Arial" w:cs="Arial"/>
                <w:sz w:val="20"/>
                <w:szCs w:val="20"/>
                <w:lang w:eastAsia="es-MX"/>
              </w:rPr>
              <w:t>Poder Judicial</w:t>
            </w:r>
          </w:p>
        </w:tc>
        <w:tc>
          <w:tcPr>
            <w:tcW w:w="1276" w:type="dxa"/>
            <w:tcBorders>
              <w:top w:val="nil"/>
              <w:left w:val="nil"/>
              <w:bottom w:val="single" w:sz="8" w:space="0" w:color="BFBFBF"/>
              <w:right w:val="single" w:sz="8" w:space="0" w:color="BFBFBF"/>
            </w:tcBorders>
            <w:shd w:val="clear" w:color="auto" w:fill="auto"/>
            <w:noWrap/>
            <w:vAlign w:val="center"/>
            <w:hideMark/>
          </w:tcPr>
          <w:p w14:paraId="5064A556"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1</w:t>
            </w:r>
          </w:p>
        </w:tc>
        <w:tc>
          <w:tcPr>
            <w:tcW w:w="1417" w:type="dxa"/>
            <w:tcBorders>
              <w:top w:val="nil"/>
              <w:left w:val="nil"/>
              <w:bottom w:val="single" w:sz="8" w:space="0" w:color="BFBFBF"/>
              <w:right w:val="single" w:sz="8" w:space="0" w:color="BFBFBF"/>
            </w:tcBorders>
            <w:shd w:val="clear" w:color="auto" w:fill="auto"/>
            <w:noWrap/>
            <w:vAlign w:val="center"/>
            <w:hideMark/>
          </w:tcPr>
          <w:p w14:paraId="4027AAB6"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0</w:t>
            </w:r>
          </w:p>
        </w:tc>
        <w:tc>
          <w:tcPr>
            <w:tcW w:w="1276" w:type="dxa"/>
            <w:tcBorders>
              <w:top w:val="nil"/>
              <w:left w:val="nil"/>
              <w:bottom w:val="single" w:sz="8" w:space="0" w:color="BFBFBF"/>
              <w:right w:val="single" w:sz="8" w:space="0" w:color="BFBFBF"/>
            </w:tcBorders>
            <w:shd w:val="clear" w:color="auto" w:fill="auto"/>
            <w:noWrap/>
            <w:vAlign w:val="center"/>
            <w:hideMark/>
          </w:tcPr>
          <w:p w14:paraId="4CCCD31F"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1</w:t>
            </w:r>
          </w:p>
        </w:tc>
        <w:tc>
          <w:tcPr>
            <w:tcW w:w="1173" w:type="dxa"/>
            <w:tcBorders>
              <w:top w:val="nil"/>
              <w:left w:val="nil"/>
              <w:bottom w:val="single" w:sz="8" w:space="0" w:color="BFBFBF"/>
              <w:right w:val="single" w:sz="8" w:space="0" w:color="BFBFBF"/>
            </w:tcBorders>
            <w:shd w:val="clear" w:color="auto" w:fill="auto"/>
            <w:noWrap/>
            <w:vAlign w:val="center"/>
            <w:hideMark/>
          </w:tcPr>
          <w:p w14:paraId="68CC1F48"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2</w:t>
            </w:r>
          </w:p>
        </w:tc>
      </w:tr>
      <w:tr w:rsidR="008271F4" w:rsidRPr="00FC65DE" w14:paraId="08208A47" w14:textId="77777777" w:rsidTr="00286145">
        <w:trPr>
          <w:trHeight w:val="397"/>
        </w:trPr>
        <w:tc>
          <w:tcPr>
            <w:tcW w:w="3691" w:type="dxa"/>
            <w:shd w:val="clear" w:color="auto" w:fill="auto"/>
            <w:noWrap/>
            <w:vAlign w:val="center"/>
            <w:hideMark/>
          </w:tcPr>
          <w:p w14:paraId="129E053E" w14:textId="77777777" w:rsidR="008271F4" w:rsidRPr="00FC65DE" w:rsidRDefault="008271F4" w:rsidP="008271F4">
            <w:pPr>
              <w:spacing w:after="0" w:line="240" w:lineRule="auto"/>
              <w:rPr>
                <w:rFonts w:ascii="Arial" w:eastAsia="Times New Roman" w:hAnsi="Arial" w:cs="Arial"/>
                <w:sz w:val="20"/>
                <w:szCs w:val="20"/>
                <w:lang w:eastAsia="es-MX"/>
              </w:rPr>
            </w:pPr>
            <w:r w:rsidRPr="00FC65DE">
              <w:rPr>
                <w:rFonts w:ascii="Arial" w:eastAsia="Times New Roman" w:hAnsi="Arial" w:cs="Arial"/>
                <w:sz w:val="20"/>
                <w:szCs w:val="20"/>
                <w:lang w:eastAsia="es-MX"/>
              </w:rPr>
              <w:t>Administración Pública Paraestatal</w:t>
            </w:r>
          </w:p>
        </w:tc>
        <w:tc>
          <w:tcPr>
            <w:tcW w:w="1276" w:type="dxa"/>
            <w:tcBorders>
              <w:top w:val="nil"/>
              <w:left w:val="nil"/>
              <w:bottom w:val="single" w:sz="8" w:space="0" w:color="BFBFBF"/>
              <w:right w:val="single" w:sz="8" w:space="0" w:color="BFBFBF"/>
            </w:tcBorders>
            <w:shd w:val="clear" w:color="auto" w:fill="auto"/>
            <w:noWrap/>
            <w:vAlign w:val="center"/>
            <w:hideMark/>
          </w:tcPr>
          <w:p w14:paraId="533BC7CE"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44</w:t>
            </w:r>
          </w:p>
        </w:tc>
        <w:tc>
          <w:tcPr>
            <w:tcW w:w="1417" w:type="dxa"/>
            <w:tcBorders>
              <w:top w:val="nil"/>
              <w:left w:val="nil"/>
              <w:bottom w:val="single" w:sz="8" w:space="0" w:color="BFBFBF"/>
              <w:right w:val="single" w:sz="8" w:space="0" w:color="BFBFBF"/>
            </w:tcBorders>
            <w:shd w:val="clear" w:color="auto" w:fill="auto"/>
            <w:noWrap/>
            <w:vAlign w:val="center"/>
            <w:hideMark/>
          </w:tcPr>
          <w:p w14:paraId="376D1117"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10</w:t>
            </w:r>
          </w:p>
        </w:tc>
        <w:tc>
          <w:tcPr>
            <w:tcW w:w="1276" w:type="dxa"/>
            <w:tcBorders>
              <w:top w:val="nil"/>
              <w:left w:val="nil"/>
              <w:bottom w:val="single" w:sz="8" w:space="0" w:color="BFBFBF"/>
              <w:right w:val="single" w:sz="8" w:space="0" w:color="BFBFBF"/>
            </w:tcBorders>
            <w:shd w:val="clear" w:color="auto" w:fill="auto"/>
            <w:noWrap/>
            <w:vAlign w:val="center"/>
            <w:hideMark/>
          </w:tcPr>
          <w:p w14:paraId="6E355E5E"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5</w:t>
            </w:r>
          </w:p>
        </w:tc>
        <w:tc>
          <w:tcPr>
            <w:tcW w:w="1173" w:type="dxa"/>
            <w:tcBorders>
              <w:top w:val="nil"/>
              <w:left w:val="nil"/>
              <w:bottom w:val="single" w:sz="8" w:space="0" w:color="BFBFBF"/>
              <w:right w:val="single" w:sz="8" w:space="0" w:color="BFBFBF"/>
            </w:tcBorders>
            <w:shd w:val="clear" w:color="auto" w:fill="auto"/>
            <w:noWrap/>
            <w:vAlign w:val="center"/>
            <w:hideMark/>
          </w:tcPr>
          <w:p w14:paraId="10723323"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59</w:t>
            </w:r>
          </w:p>
        </w:tc>
      </w:tr>
      <w:tr w:rsidR="008271F4" w:rsidRPr="00FC65DE" w14:paraId="7A69B11D" w14:textId="77777777" w:rsidTr="00286145">
        <w:trPr>
          <w:trHeight w:val="397"/>
        </w:trPr>
        <w:tc>
          <w:tcPr>
            <w:tcW w:w="3691" w:type="dxa"/>
            <w:shd w:val="clear" w:color="auto" w:fill="auto"/>
            <w:noWrap/>
            <w:vAlign w:val="center"/>
            <w:hideMark/>
          </w:tcPr>
          <w:p w14:paraId="636580FC" w14:textId="77777777" w:rsidR="008271F4" w:rsidRPr="00FC65DE" w:rsidRDefault="008271F4" w:rsidP="008271F4">
            <w:pPr>
              <w:spacing w:after="0" w:line="240" w:lineRule="auto"/>
              <w:rPr>
                <w:rFonts w:ascii="Arial" w:eastAsia="Times New Roman" w:hAnsi="Arial" w:cs="Arial"/>
                <w:sz w:val="20"/>
                <w:szCs w:val="20"/>
                <w:lang w:eastAsia="es-MX"/>
              </w:rPr>
            </w:pPr>
            <w:r w:rsidRPr="00FC65DE">
              <w:rPr>
                <w:rFonts w:ascii="Arial" w:eastAsia="Times New Roman" w:hAnsi="Arial" w:cs="Arial"/>
                <w:sz w:val="20"/>
                <w:szCs w:val="20"/>
                <w:lang w:eastAsia="es-MX"/>
              </w:rPr>
              <w:t>Administración Pública Central</w:t>
            </w:r>
          </w:p>
        </w:tc>
        <w:tc>
          <w:tcPr>
            <w:tcW w:w="1276" w:type="dxa"/>
            <w:tcBorders>
              <w:top w:val="nil"/>
              <w:left w:val="nil"/>
              <w:bottom w:val="single" w:sz="8" w:space="0" w:color="BFBFBF"/>
              <w:right w:val="single" w:sz="8" w:space="0" w:color="BFBFBF"/>
            </w:tcBorders>
            <w:shd w:val="clear" w:color="auto" w:fill="auto"/>
            <w:noWrap/>
            <w:vAlign w:val="center"/>
            <w:hideMark/>
          </w:tcPr>
          <w:p w14:paraId="4812306B"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16</w:t>
            </w:r>
          </w:p>
        </w:tc>
        <w:tc>
          <w:tcPr>
            <w:tcW w:w="1417" w:type="dxa"/>
            <w:tcBorders>
              <w:top w:val="nil"/>
              <w:left w:val="nil"/>
              <w:bottom w:val="single" w:sz="8" w:space="0" w:color="BFBFBF"/>
              <w:right w:val="single" w:sz="8" w:space="0" w:color="BFBFBF"/>
            </w:tcBorders>
            <w:shd w:val="clear" w:color="auto" w:fill="auto"/>
            <w:noWrap/>
            <w:vAlign w:val="center"/>
            <w:hideMark/>
          </w:tcPr>
          <w:p w14:paraId="7CD84FC9"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9</w:t>
            </w:r>
          </w:p>
        </w:tc>
        <w:tc>
          <w:tcPr>
            <w:tcW w:w="1276" w:type="dxa"/>
            <w:tcBorders>
              <w:top w:val="nil"/>
              <w:left w:val="nil"/>
              <w:bottom w:val="single" w:sz="8" w:space="0" w:color="BFBFBF"/>
              <w:right w:val="single" w:sz="8" w:space="0" w:color="BFBFBF"/>
            </w:tcBorders>
            <w:shd w:val="clear" w:color="auto" w:fill="auto"/>
            <w:noWrap/>
            <w:vAlign w:val="center"/>
            <w:hideMark/>
          </w:tcPr>
          <w:p w14:paraId="1179C6D6"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2</w:t>
            </w:r>
          </w:p>
        </w:tc>
        <w:tc>
          <w:tcPr>
            <w:tcW w:w="1173" w:type="dxa"/>
            <w:tcBorders>
              <w:top w:val="nil"/>
              <w:left w:val="nil"/>
              <w:bottom w:val="single" w:sz="8" w:space="0" w:color="BFBFBF"/>
              <w:right w:val="single" w:sz="8" w:space="0" w:color="BFBFBF"/>
            </w:tcBorders>
            <w:shd w:val="clear" w:color="auto" w:fill="auto"/>
            <w:noWrap/>
            <w:vAlign w:val="center"/>
            <w:hideMark/>
          </w:tcPr>
          <w:p w14:paraId="07CDBA1D"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27</w:t>
            </w:r>
          </w:p>
        </w:tc>
      </w:tr>
      <w:tr w:rsidR="008271F4" w:rsidRPr="00FC65DE" w14:paraId="0C61254C" w14:textId="77777777" w:rsidTr="00286145">
        <w:trPr>
          <w:trHeight w:val="397"/>
        </w:trPr>
        <w:tc>
          <w:tcPr>
            <w:tcW w:w="3691" w:type="dxa"/>
            <w:shd w:val="clear" w:color="auto" w:fill="auto"/>
            <w:noWrap/>
            <w:vAlign w:val="center"/>
            <w:hideMark/>
          </w:tcPr>
          <w:p w14:paraId="43BCA9C9" w14:textId="77777777" w:rsidR="008271F4" w:rsidRPr="00FC65DE" w:rsidRDefault="008271F4" w:rsidP="008271F4">
            <w:pPr>
              <w:spacing w:after="0" w:line="240" w:lineRule="auto"/>
              <w:rPr>
                <w:rFonts w:ascii="Arial" w:eastAsia="Times New Roman" w:hAnsi="Arial" w:cs="Arial"/>
                <w:sz w:val="20"/>
                <w:szCs w:val="20"/>
                <w:lang w:eastAsia="es-MX"/>
              </w:rPr>
            </w:pPr>
            <w:r w:rsidRPr="00FC65DE">
              <w:rPr>
                <w:rFonts w:ascii="Arial" w:eastAsia="Times New Roman" w:hAnsi="Arial" w:cs="Arial"/>
                <w:sz w:val="20"/>
                <w:szCs w:val="20"/>
                <w:lang w:eastAsia="es-MX"/>
              </w:rPr>
              <w:t>Órganos Autónomos</w:t>
            </w:r>
          </w:p>
        </w:tc>
        <w:tc>
          <w:tcPr>
            <w:tcW w:w="1276" w:type="dxa"/>
            <w:tcBorders>
              <w:top w:val="nil"/>
              <w:left w:val="nil"/>
              <w:bottom w:val="single" w:sz="8" w:space="0" w:color="BFBFBF"/>
              <w:right w:val="single" w:sz="8" w:space="0" w:color="BFBFBF"/>
            </w:tcBorders>
            <w:shd w:val="clear" w:color="auto" w:fill="auto"/>
            <w:noWrap/>
            <w:vAlign w:val="center"/>
            <w:hideMark/>
          </w:tcPr>
          <w:p w14:paraId="37CA4E6D"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6</w:t>
            </w:r>
          </w:p>
        </w:tc>
        <w:tc>
          <w:tcPr>
            <w:tcW w:w="1417" w:type="dxa"/>
            <w:tcBorders>
              <w:top w:val="nil"/>
              <w:left w:val="nil"/>
              <w:bottom w:val="single" w:sz="8" w:space="0" w:color="BFBFBF"/>
              <w:right w:val="single" w:sz="8" w:space="0" w:color="BFBFBF"/>
            </w:tcBorders>
            <w:shd w:val="clear" w:color="auto" w:fill="auto"/>
            <w:noWrap/>
            <w:vAlign w:val="center"/>
            <w:hideMark/>
          </w:tcPr>
          <w:p w14:paraId="672F6D3C"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2</w:t>
            </w:r>
          </w:p>
        </w:tc>
        <w:tc>
          <w:tcPr>
            <w:tcW w:w="1276" w:type="dxa"/>
            <w:tcBorders>
              <w:top w:val="nil"/>
              <w:left w:val="nil"/>
              <w:bottom w:val="single" w:sz="8" w:space="0" w:color="BFBFBF"/>
              <w:right w:val="single" w:sz="8" w:space="0" w:color="BFBFBF"/>
            </w:tcBorders>
            <w:shd w:val="clear" w:color="auto" w:fill="auto"/>
            <w:noWrap/>
            <w:vAlign w:val="center"/>
            <w:hideMark/>
          </w:tcPr>
          <w:p w14:paraId="217E7522"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1</w:t>
            </w:r>
          </w:p>
        </w:tc>
        <w:tc>
          <w:tcPr>
            <w:tcW w:w="1173" w:type="dxa"/>
            <w:tcBorders>
              <w:top w:val="nil"/>
              <w:left w:val="nil"/>
              <w:bottom w:val="single" w:sz="8" w:space="0" w:color="BFBFBF"/>
              <w:right w:val="single" w:sz="8" w:space="0" w:color="BFBFBF"/>
            </w:tcBorders>
            <w:shd w:val="clear" w:color="auto" w:fill="auto"/>
            <w:noWrap/>
            <w:vAlign w:val="center"/>
            <w:hideMark/>
          </w:tcPr>
          <w:p w14:paraId="0B606721"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9</w:t>
            </w:r>
          </w:p>
        </w:tc>
      </w:tr>
      <w:tr w:rsidR="008271F4" w:rsidRPr="00FC65DE" w14:paraId="4909FECE" w14:textId="77777777" w:rsidTr="00286145">
        <w:trPr>
          <w:trHeight w:val="397"/>
        </w:trPr>
        <w:tc>
          <w:tcPr>
            <w:tcW w:w="3691" w:type="dxa"/>
            <w:shd w:val="clear" w:color="auto" w:fill="auto"/>
            <w:noWrap/>
            <w:vAlign w:val="center"/>
            <w:hideMark/>
          </w:tcPr>
          <w:p w14:paraId="05E092F4" w14:textId="77777777" w:rsidR="008271F4" w:rsidRPr="00FC65DE" w:rsidRDefault="008271F4" w:rsidP="008271F4">
            <w:pPr>
              <w:spacing w:after="0" w:line="240" w:lineRule="auto"/>
              <w:rPr>
                <w:rFonts w:ascii="Arial" w:eastAsia="Times New Roman" w:hAnsi="Arial" w:cs="Arial"/>
                <w:sz w:val="20"/>
                <w:szCs w:val="20"/>
                <w:lang w:eastAsia="es-MX"/>
              </w:rPr>
            </w:pPr>
            <w:r w:rsidRPr="00FC65DE">
              <w:rPr>
                <w:rFonts w:ascii="Arial" w:eastAsia="Times New Roman" w:hAnsi="Arial" w:cs="Arial"/>
                <w:sz w:val="20"/>
                <w:szCs w:val="20"/>
                <w:lang w:eastAsia="es-MX"/>
              </w:rPr>
              <w:t>Ayuntamientos</w:t>
            </w:r>
          </w:p>
        </w:tc>
        <w:tc>
          <w:tcPr>
            <w:tcW w:w="1276" w:type="dxa"/>
            <w:tcBorders>
              <w:top w:val="nil"/>
              <w:left w:val="nil"/>
              <w:bottom w:val="single" w:sz="8" w:space="0" w:color="BFBFBF"/>
              <w:right w:val="single" w:sz="8" w:space="0" w:color="BFBFBF"/>
            </w:tcBorders>
            <w:shd w:val="clear" w:color="auto" w:fill="auto"/>
            <w:noWrap/>
            <w:vAlign w:val="center"/>
            <w:hideMark/>
          </w:tcPr>
          <w:p w14:paraId="137252EA"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11</w:t>
            </w:r>
          </w:p>
        </w:tc>
        <w:tc>
          <w:tcPr>
            <w:tcW w:w="1417" w:type="dxa"/>
            <w:tcBorders>
              <w:top w:val="nil"/>
              <w:left w:val="nil"/>
              <w:bottom w:val="single" w:sz="8" w:space="0" w:color="BFBFBF"/>
              <w:right w:val="single" w:sz="8" w:space="0" w:color="BFBFBF"/>
            </w:tcBorders>
            <w:shd w:val="clear" w:color="auto" w:fill="auto"/>
            <w:noWrap/>
            <w:vAlign w:val="center"/>
            <w:hideMark/>
          </w:tcPr>
          <w:p w14:paraId="23E39E4C"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7</w:t>
            </w:r>
          </w:p>
        </w:tc>
        <w:tc>
          <w:tcPr>
            <w:tcW w:w="1276" w:type="dxa"/>
            <w:tcBorders>
              <w:top w:val="nil"/>
              <w:left w:val="nil"/>
              <w:bottom w:val="single" w:sz="8" w:space="0" w:color="BFBFBF"/>
              <w:right w:val="single" w:sz="8" w:space="0" w:color="BFBFBF"/>
            </w:tcBorders>
            <w:shd w:val="clear" w:color="auto" w:fill="auto"/>
            <w:noWrap/>
            <w:vAlign w:val="center"/>
            <w:hideMark/>
          </w:tcPr>
          <w:p w14:paraId="6E3C816E"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11</w:t>
            </w:r>
          </w:p>
        </w:tc>
        <w:tc>
          <w:tcPr>
            <w:tcW w:w="1173" w:type="dxa"/>
            <w:tcBorders>
              <w:top w:val="nil"/>
              <w:left w:val="nil"/>
              <w:bottom w:val="single" w:sz="8" w:space="0" w:color="BFBFBF"/>
              <w:right w:val="single" w:sz="8" w:space="0" w:color="BFBFBF"/>
            </w:tcBorders>
            <w:shd w:val="clear" w:color="auto" w:fill="auto"/>
            <w:noWrap/>
            <w:vAlign w:val="center"/>
            <w:hideMark/>
          </w:tcPr>
          <w:p w14:paraId="223E3F2A"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29</w:t>
            </w:r>
          </w:p>
        </w:tc>
      </w:tr>
      <w:tr w:rsidR="008271F4" w:rsidRPr="00FC65DE" w14:paraId="77520FAE" w14:textId="77777777" w:rsidTr="00286145">
        <w:trPr>
          <w:trHeight w:val="397"/>
        </w:trPr>
        <w:tc>
          <w:tcPr>
            <w:tcW w:w="3691" w:type="dxa"/>
            <w:shd w:val="clear" w:color="auto" w:fill="auto"/>
            <w:noWrap/>
            <w:vAlign w:val="center"/>
            <w:hideMark/>
          </w:tcPr>
          <w:p w14:paraId="1F8108CB" w14:textId="77777777" w:rsidR="008271F4" w:rsidRPr="00FC65DE" w:rsidRDefault="008271F4" w:rsidP="008271F4">
            <w:pPr>
              <w:spacing w:after="0" w:line="240" w:lineRule="auto"/>
              <w:rPr>
                <w:rFonts w:ascii="Arial" w:eastAsia="Times New Roman" w:hAnsi="Arial" w:cs="Arial"/>
                <w:sz w:val="20"/>
                <w:szCs w:val="20"/>
                <w:lang w:eastAsia="es-MX"/>
              </w:rPr>
            </w:pPr>
            <w:r w:rsidRPr="00FC65DE">
              <w:rPr>
                <w:rFonts w:ascii="Arial" w:eastAsia="Times New Roman" w:hAnsi="Arial" w:cs="Arial"/>
                <w:sz w:val="20"/>
                <w:szCs w:val="20"/>
                <w:lang w:eastAsia="es-MX"/>
              </w:rPr>
              <w:t>Administración Pública Paramunicipal</w:t>
            </w:r>
          </w:p>
        </w:tc>
        <w:tc>
          <w:tcPr>
            <w:tcW w:w="1276" w:type="dxa"/>
            <w:tcBorders>
              <w:top w:val="nil"/>
              <w:left w:val="nil"/>
              <w:bottom w:val="single" w:sz="8" w:space="0" w:color="BFBFBF"/>
              <w:right w:val="single" w:sz="8" w:space="0" w:color="BFBFBF"/>
            </w:tcBorders>
            <w:shd w:val="clear" w:color="auto" w:fill="auto"/>
            <w:noWrap/>
            <w:vAlign w:val="center"/>
            <w:hideMark/>
          </w:tcPr>
          <w:p w14:paraId="343B1310"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21</w:t>
            </w:r>
          </w:p>
        </w:tc>
        <w:tc>
          <w:tcPr>
            <w:tcW w:w="1417" w:type="dxa"/>
            <w:tcBorders>
              <w:top w:val="nil"/>
              <w:left w:val="nil"/>
              <w:bottom w:val="single" w:sz="8" w:space="0" w:color="BFBFBF"/>
              <w:right w:val="single" w:sz="8" w:space="0" w:color="BFBFBF"/>
            </w:tcBorders>
            <w:shd w:val="clear" w:color="auto" w:fill="auto"/>
            <w:noWrap/>
            <w:vAlign w:val="center"/>
            <w:hideMark/>
          </w:tcPr>
          <w:p w14:paraId="595712F2"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3</w:t>
            </w:r>
          </w:p>
        </w:tc>
        <w:tc>
          <w:tcPr>
            <w:tcW w:w="1276" w:type="dxa"/>
            <w:tcBorders>
              <w:top w:val="nil"/>
              <w:left w:val="nil"/>
              <w:bottom w:val="single" w:sz="8" w:space="0" w:color="BFBFBF"/>
              <w:right w:val="single" w:sz="8" w:space="0" w:color="BFBFBF"/>
            </w:tcBorders>
            <w:shd w:val="clear" w:color="auto" w:fill="auto"/>
            <w:noWrap/>
            <w:vAlign w:val="center"/>
            <w:hideMark/>
          </w:tcPr>
          <w:p w14:paraId="7C7EA859" w14:textId="77777777" w:rsidR="008271F4" w:rsidRPr="00FC65DE" w:rsidRDefault="008271F4" w:rsidP="008271F4">
            <w:pPr>
              <w:spacing w:after="0" w:line="240" w:lineRule="auto"/>
              <w:jc w:val="center"/>
              <w:rPr>
                <w:rFonts w:ascii="Arial" w:eastAsia="Times New Roman" w:hAnsi="Arial" w:cs="Arial"/>
                <w:sz w:val="20"/>
                <w:szCs w:val="20"/>
                <w:lang w:eastAsia="es-MX"/>
              </w:rPr>
            </w:pPr>
            <w:r>
              <w:rPr>
                <w:rFonts w:ascii="Arial" w:hAnsi="Arial" w:cs="Arial"/>
                <w:color w:val="000000"/>
                <w:sz w:val="20"/>
                <w:szCs w:val="20"/>
              </w:rPr>
              <w:t>1</w:t>
            </w:r>
          </w:p>
        </w:tc>
        <w:tc>
          <w:tcPr>
            <w:tcW w:w="1173" w:type="dxa"/>
            <w:tcBorders>
              <w:top w:val="nil"/>
              <w:left w:val="nil"/>
              <w:bottom w:val="single" w:sz="8" w:space="0" w:color="BFBFBF"/>
              <w:right w:val="single" w:sz="8" w:space="0" w:color="BFBFBF"/>
            </w:tcBorders>
            <w:shd w:val="clear" w:color="auto" w:fill="auto"/>
            <w:noWrap/>
            <w:vAlign w:val="center"/>
            <w:hideMark/>
          </w:tcPr>
          <w:p w14:paraId="220D67C1"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25</w:t>
            </w:r>
          </w:p>
        </w:tc>
      </w:tr>
      <w:tr w:rsidR="008271F4" w:rsidRPr="00FC65DE" w14:paraId="0EAB5A2F" w14:textId="77777777" w:rsidTr="00286145">
        <w:trPr>
          <w:trHeight w:val="397"/>
        </w:trPr>
        <w:tc>
          <w:tcPr>
            <w:tcW w:w="3691" w:type="dxa"/>
            <w:shd w:val="clear" w:color="auto" w:fill="auto"/>
            <w:noWrap/>
            <w:vAlign w:val="center"/>
            <w:hideMark/>
          </w:tcPr>
          <w:p w14:paraId="22308BBC" w14:textId="77777777" w:rsidR="008271F4" w:rsidRPr="00FC65DE" w:rsidRDefault="008271F4" w:rsidP="008271F4">
            <w:pPr>
              <w:spacing w:after="0" w:line="240" w:lineRule="auto"/>
              <w:rPr>
                <w:rFonts w:ascii="Arial" w:eastAsia="Times New Roman" w:hAnsi="Arial" w:cs="Arial"/>
                <w:b/>
                <w:sz w:val="20"/>
                <w:szCs w:val="20"/>
                <w:lang w:eastAsia="es-MX"/>
              </w:rPr>
            </w:pPr>
            <w:r w:rsidRPr="00FC65DE">
              <w:rPr>
                <w:rFonts w:ascii="Arial" w:eastAsia="Times New Roman" w:hAnsi="Arial" w:cs="Arial"/>
                <w:b/>
                <w:sz w:val="20"/>
                <w:szCs w:val="20"/>
                <w:lang w:eastAsia="es-MX"/>
              </w:rPr>
              <w:t> </w:t>
            </w:r>
          </w:p>
        </w:tc>
        <w:tc>
          <w:tcPr>
            <w:tcW w:w="1276" w:type="dxa"/>
            <w:tcBorders>
              <w:top w:val="nil"/>
              <w:left w:val="nil"/>
              <w:bottom w:val="single" w:sz="8" w:space="0" w:color="BFBFBF"/>
              <w:right w:val="single" w:sz="8" w:space="0" w:color="BFBFBF"/>
            </w:tcBorders>
            <w:shd w:val="clear" w:color="auto" w:fill="auto"/>
            <w:noWrap/>
            <w:vAlign w:val="center"/>
            <w:hideMark/>
          </w:tcPr>
          <w:p w14:paraId="3B6D7926"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101</w:t>
            </w:r>
          </w:p>
        </w:tc>
        <w:tc>
          <w:tcPr>
            <w:tcW w:w="1417" w:type="dxa"/>
            <w:tcBorders>
              <w:top w:val="nil"/>
              <w:left w:val="nil"/>
              <w:bottom w:val="single" w:sz="8" w:space="0" w:color="BFBFBF"/>
              <w:right w:val="single" w:sz="8" w:space="0" w:color="BFBFBF"/>
            </w:tcBorders>
            <w:shd w:val="clear" w:color="auto" w:fill="auto"/>
            <w:noWrap/>
            <w:vAlign w:val="center"/>
            <w:hideMark/>
          </w:tcPr>
          <w:p w14:paraId="71CD7613"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31</w:t>
            </w:r>
          </w:p>
        </w:tc>
        <w:tc>
          <w:tcPr>
            <w:tcW w:w="1276" w:type="dxa"/>
            <w:tcBorders>
              <w:top w:val="nil"/>
              <w:left w:val="nil"/>
              <w:bottom w:val="single" w:sz="8" w:space="0" w:color="BFBFBF"/>
              <w:right w:val="single" w:sz="8" w:space="0" w:color="BFBFBF"/>
            </w:tcBorders>
            <w:shd w:val="clear" w:color="auto" w:fill="auto"/>
            <w:noWrap/>
            <w:vAlign w:val="center"/>
            <w:hideMark/>
          </w:tcPr>
          <w:p w14:paraId="7237BDD8"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21</w:t>
            </w:r>
          </w:p>
        </w:tc>
        <w:tc>
          <w:tcPr>
            <w:tcW w:w="1173" w:type="dxa"/>
            <w:tcBorders>
              <w:top w:val="nil"/>
              <w:left w:val="nil"/>
              <w:bottom w:val="single" w:sz="8" w:space="0" w:color="BFBFBF"/>
              <w:right w:val="single" w:sz="8" w:space="0" w:color="BFBFBF"/>
            </w:tcBorders>
            <w:shd w:val="clear" w:color="auto" w:fill="auto"/>
            <w:noWrap/>
            <w:vAlign w:val="center"/>
            <w:hideMark/>
          </w:tcPr>
          <w:p w14:paraId="5F7B0CEA" w14:textId="77777777" w:rsidR="008271F4" w:rsidRPr="00FC65DE" w:rsidRDefault="008271F4" w:rsidP="008271F4">
            <w:pPr>
              <w:spacing w:after="0" w:line="240" w:lineRule="auto"/>
              <w:jc w:val="center"/>
              <w:rPr>
                <w:rFonts w:ascii="Arial" w:eastAsia="Times New Roman" w:hAnsi="Arial" w:cs="Arial"/>
                <w:b/>
                <w:bCs/>
                <w:sz w:val="20"/>
                <w:szCs w:val="20"/>
                <w:lang w:eastAsia="es-MX"/>
              </w:rPr>
            </w:pPr>
            <w:r>
              <w:rPr>
                <w:rFonts w:ascii="Arial" w:hAnsi="Arial" w:cs="Arial"/>
                <w:b/>
                <w:bCs/>
                <w:color w:val="000000"/>
                <w:sz w:val="20"/>
                <w:szCs w:val="20"/>
              </w:rPr>
              <w:t>153</w:t>
            </w:r>
          </w:p>
        </w:tc>
      </w:tr>
    </w:tbl>
    <w:p w14:paraId="5EAF6323" w14:textId="77777777" w:rsidR="0028541B" w:rsidRPr="009C35C4" w:rsidRDefault="0028541B" w:rsidP="0028541B">
      <w:pPr>
        <w:spacing w:before="240" w:after="0" w:line="240" w:lineRule="auto"/>
        <w:jc w:val="both"/>
        <w:rPr>
          <w:rFonts w:ascii="Arial" w:eastAsia="Times New Roman" w:hAnsi="Arial" w:cs="Arial"/>
          <w:bCs/>
          <w:sz w:val="18"/>
          <w:szCs w:val="20"/>
          <w:lang w:eastAsia="es-MX"/>
        </w:rPr>
      </w:pPr>
      <w:r w:rsidRPr="009C35C4">
        <w:rPr>
          <w:rFonts w:ascii="Arial" w:eastAsia="Times New Roman" w:hAnsi="Arial" w:cs="Arial"/>
          <w:b/>
          <w:bCs/>
          <w:sz w:val="18"/>
          <w:szCs w:val="20"/>
          <w:lang w:eastAsia="es-MX"/>
        </w:rPr>
        <w:t>Tabla N° 2</w:t>
      </w:r>
      <w:r w:rsidR="0071701E" w:rsidRPr="009C35C4">
        <w:rPr>
          <w:rFonts w:ascii="Arial" w:eastAsia="Times New Roman" w:hAnsi="Arial" w:cs="Arial"/>
          <w:b/>
          <w:bCs/>
          <w:sz w:val="18"/>
          <w:szCs w:val="20"/>
          <w:lang w:eastAsia="es-MX"/>
        </w:rPr>
        <w:t>2</w:t>
      </w:r>
      <w:r w:rsidRPr="009C35C4">
        <w:rPr>
          <w:rFonts w:ascii="Arial" w:eastAsia="Times New Roman" w:hAnsi="Arial" w:cs="Arial"/>
          <w:b/>
          <w:bCs/>
          <w:sz w:val="18"/>
          <w:szCs w:val="20"/>
          <w:lang w:eastAsia="es-MX"/>
        </w:rPr>
        <w:t xml:space="preserve">: </w:t>
      </w:r>
      <w:r w:rsidRPr="009C35C4">
        <w:rPr>
          <w:rFonts w:ascii="Arial" w:eastAsia="Times New Roman" w:hAnsi="Arial" w:cs="Arial"/>
          <w:bCs/>
          <w:sz w:val="18"/>
          <w:szCs w:val="20"/>
          <w:lang w:eastAsia="es-MX"/>
        </w:rPr>
        <w:t>Elaboración propia, ver gráfica N° 19.</w:t>
      </w:r>
    </w:p>
    <w:p w14:paraId="097B1A0C" w14:textId="77777777" w:rsidR="0028541B" w:rsidRPr="0028541B" w:rsidRDefault="00841DFD" w:rsidP="0028541B">
      <w:pPr>
        <w:spacing w:before="240" w:after="0" w:line="240" w:lineRule="auto"/>
        <w:jc w:val="both"/>
        <w:rPr>
          <w:rFonts w:ascii="Arial" w:eastAsia="Times New Roman" w:hAnsi="Arial" w:cs="Arial"/>
          <w:b/>
          <w:bCs/>
          <w:color w:val="262626" w:themeColor="text1" w:themeTint="D9"/>
          <w:sz w:val="16"/>
          <w:szCs w:val="20"/>
          <w:lang w:eastAsia="es-MX"/>
        </w:rPr>
      </w:pPr>
      <w:r>
        <w:rPr>
          <w:noProof/>
          <w:lang w:eastAsia="es-MX"/>
        </w:rPr>
        <w:drawing>
          <wp:inline distT="0" distB="0" distL="0" distR="0" wp14:anchorId="5FF65D01" wp14:editId="095AD39F">
            <wp:extent cx="5581015" cy="3932555"/>
            <wp:effectExtent l="0" t="0" r="635" b="1079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2A2FA27" w14:textId="77777777" w:rsidR="0028541B" w:rsidRPr="009C35C4" w:rsidRDefault="0028541B" w:rsidP="0028541B">
      <w:pPr>
        <w:spacing w:after="0" w:line="240" w:lineRule="auto"/>
        <w:jc w:val="center"/>
        <w:rPr>
          <w:rFonts w:ascii="Arial" w:eastAsia="Times New Roman" w:hAnsi="Arial" w:cs="Arial"/>
          <w:bCs/>
          <w:sz w:val="18"/>
          <w:szCs w:val="20"/>
          <w:lang w:eastAsia="es-MX"/>
        </w:rPr>
      </w:pPr>
      <w:r w:rsidRPr="009C35C4">
        <w:rPr>
          <w:rFonts w:ascii="Arial" w:eastAsia="Times New Roman" w:hAnsi="Arial" w:cs="Arial"/>
          <w:b/>
          <w:bCs/>
          <w:sz w:val="18"/>
          <w:szCs w:val="20"/>
          <w:lang w:eastAsia="es-MX"/>
        </w:rPr>
        <w:t>Gráfica N° 19</w:t>
      </w:r>
    </w:p>
    <w:p w14:paraId="5163820F" w14:textId="77777777" w:rsidR="00FC65DE" w:rsidRDefault="0028541B" w:rsidP="0028541B">
      <w:pPr>
        <w:spacing w:line="276" w:lineRule="auto"/>
        <w:jc w:val="center"/>
        <w:rPr>
          <w:rFonts w:ascii="Arial" w:eastAsia="Times New Roman" w:hAnsi="Arial" w:cs="Arial"/>
          <w:bCs/>
          <w:color w:val="262626" w:themeColor="text1" w:themeTint="D9"/>
          <w:sz w:val="16"/>
          <w:szCs w:val="20"/>
          <w:lang w:eastAsia="es-MX"/>
        </w:rPr>
      </w:pPr>
      <w:r w:rsidRPr="007B7273">
        <w:rPr>
          <w:rFonts w:ascii="Arial" w:eastAsia="Times New Roman" w:hAnsi="Arial" w:cs="Arial"/>
          <w:b/>
          <w:bCs/>
          <w:color w:val="262626" w:themeColor="text1" w:themeTint="D9"/>
          <w:sz w:val="16"/>
          <w:szCs w:val="20"/>
          <w:lang w:eastAsia="es-MX"/>
        </w:rPr>
        <w:t>Fuente:</w:t>
      </w:r>
      <w:r w:rsidRPr="007B7273">
        <w:rPr>
          <w:rFonts w:ascii="Arial" w:eastAsia="Times New Roman" w:hAnsi="Arial" w:cs="Arial"/>
          <w:bCs/>
          <w:color w:val="262626" w:themeColor="text1" w:themeTint="D9"/>
          <w:sz w:val="16"/>
          <w:szCs w:val="20"/>
          <w:lang w:eastAsia="es-MX"/>
        </w:rPr>
        <w:t xml:space="preserve"> Datos provenientes de los Informes Individuales entregados a la Comisión</w:t>
      </w:r>
    </w:p>
    <w:p w14:paraId="718155C2" w14:textId="77777777" w:rsidR="00264F6C" w:rsidRPr="00264F6C" w:rsidRDefault="00264F6C" w:rsidP="00264F6C">
      <w:pPr>
        <w:spacing w:line="276" w:lineRule="auto"/>
        <w:rPr>
          <w:rFonts w:ascii="Arial" w:hAnsi="Arial" w:cs="Arial"/>
          <w:b/>
          <w:sz w:val="24"/>
          <w:szCs w:val="24"/>
        </w:rPr>
      </w:pPr>
      <w:r w:rsidRPr="00264F6C">
        <w:rPr>
          <w:rFonts w:ascii="Arial" w:hAnsi="Arial" w:cs="Arial"/>
          <w:b/>
          <w:sz w:val="24"/>
          <w:szCs w:val="24"/>
        </w:rPr>
        <w:lastRenderedPageBreak/>
        <w:t>Acciones Emitidas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822"/>
        <w:gridCol w:w="1276"/>
        <w:gridCol w:w="1418"/>
        <w:gridCol w:w="1420"/>
        <w:gridCol w:w="892"/>
      </w:tblGrid>
      <w:tr w:rsidR="0040795F" w:rsidRPr="0028541B" w14:paraId="1AAE412F" w14:textId="77777777" w:rsidTr="0040795F">
        <w:trPr>
          <w:trHeight w:val="454"/>
        </w:trPr>
        <w:tc>
          <w:tcPr>
            <w:tcW w:w="2165" w:type="pct"/>
            <w:vMerge w:val="restart"/>
            <w:shd w:val="clear" w:color="auto" w:fill="A5A5A5" w:themeFill="accent3"/>
            <w:noWrap/>
            <w:vAlign w:val="center"/>
            <w:hideMark/>
          </w:tcPr>
          <w:p w14:paraId="09C3EB4A" w14:textId="77777777" w:rsidR="0028541B" w:rsidRPr="0028541B" w:rsidRDefault="0040795F" w:rsidP="0028541B">
            <w:pPr>
              <w:spacing w:after="0" w:line="240" w:lineRule="auto"/>
              <w:jc w:val="center"/>
              <w:rPr>
                <w:rFonts w:ascii="Arial" w:eastAsia="Times New Roman" w:hAnsi="Arial" w:cs="Arial"/>
                <w:b/>
                <w:bCs/>
                <w:color w:val="000000"/>
                <w:lang w:eastAsia="es-MX"/>
              </w:rPr>
            </w:pPr>
            <w:r w:rsidRPr="0040795F">
              <w:rPr>
                <w:rFonts w:ascii="Arial" w:eastAsia="Times New Roman" w:hAnsi="Arial" w:cs="Arial"/>
                <w:b/>
                <w:bCs/>
                <w:color w:val="000000"/>
                <w:lang w:eastAsia="es-MX"/>
              </w:rPr>
              <w:t>Tipo de Acciones Emitidas</w:t>
            </w:r>
          </w:p>
        </w:tc>
        <w:tc>
          <w:tcPr>
            <w:tcW w:w="2330" w:type="pct"/>
            <w:gridSpan w:val="3"/>
            <w:shd w:val="clear" w:color="auto" w:fill="A5A5A5" w:themeFill="accent3"/>
            <w:noWrap/>
            <w:vAlign w:val="center"/>
            <w:hideMark/>
          </w:tcPr>
          <w:p w14:paraId="3C263A71" w14:textId="77777777" w:rsidR="0028541B" w:rsidRPr="0028541B" w:rsidRDefault="0040795F" w:rsidP="0028541B">
            <w:pPr>
              <w:spacing w:after="0" w:line="240" w:lineRule="auto"/>
              <w:jc w:val="center"/>
              <w:rPr>
                <w:rFonts w:ascii="Arial" w:eastAsia="Times New Roman" w:hAnsi="Arial" w:cs="Arial"/>
                <w:b/>
                <w:bCs/>
                <w:color w:val="000000"/>
                <w:lang w:eastAsia="es-MX"/>
              </w:rPr>
            </w:pPr>
            <w:r w:rsidRPr="0040795F">
              <w:rPr>
                <w:rFonts w:ascii="Arial" w:eastAsia="Times New Roman" w:hAnsi="Arial" w:cs="Arial"/>
                <w:b/>
                <w:bCs/>
                <w:color w:val="000000"/>
                <w:lang w:eastAsia="es-MX"/>
              </w:rPr>
              <w:t>Entregas</w:t>
            </w:r>
          </w:p>
        </w:tc>
        <w:tc>
          <w:tcPr>
            <w:tcW w:w="506" w:type="pct"/>
            <w:vMerge w:val="restart"/>
            <w:shd w:val="clear" w:color="auto" w:fill="A5A5A5" w:themeFill="accent3"/>
            <w:noWrap/>
            <w:vAlign w:val="center"/>
            <w:hideMark/>
          </w:tcPr>
          <w:p w14:paraId="219CE29C" w14:textId="77777777" w:rsidR="0028541B" w:rsidRPr="0028541B" w:rsidRDefault="0040795F" w:rsidP="0028541B">
            <w:pPr>
              <w:spacing w:after="0" w:line="240" w:lineRule="auto"/>
              <w:jc w:val="center"/>
              <w:rPr>
                <w:rFonts w:ascii="Arial" w:eastAsia="Times New Roman" w:hAnsi="Arial" w:cs="Arial"/>
                <w:b/>
                <w:bCs/>
                <w:color w:val="000000"/>
                <w:lang w:eastAsia="es-MX"/>
              </w:rPr>
            </w:pPr>
            <w:r w:rsidRPr="0040795F">
              <w:rPr>
                <w:rFonts w:ascii="Arial" w:eastAsia="Times New Roman" w:hAnsi="Arial" w:cs="Arial"/>
                <w:b/>
                <w:bCs/>
                <w:color w:val="000000"/>
                <w:lang w:eastAsia="es-MX"/>
              </w:rPr>
              <w:t>Total</w:t>
            </w:r>
          </w:p>
        </w:tc>
      </w:tr>
      <w:tr w:rsidR="0040795F" w:rsidRPr="0028541B" w14:paraId="0935E520" w14:textId="77777777" w:rsidTr="0040795F">
        <w:trPr>
          <w:trHeight w:val="454"/>
        </w:trPr>
        <w:tc>
          <w:tcPr>
            <w:tcW w:w="2165" w:type="pct"/>
            <w:vMerge/>
            <w:shd w:val="clear" w:color="auto" w:fill="A5A5A5" w:themeFill="accent3"/>
            <w:vAlign w:val="center"/>
            <w:hideMark/>
          </w:tcPr>
          <w:p w14:paraId="2A0758A1" w14:textId="77777777" w:rsidR="0028541B" w:rsidRPr="0028541B" w:rsidRDefault="0028541B" w:rsidP="0028541B">
            <w:pPr>
              <w:spacing w:after="0" w:line="240" w:lineRule="auto"/>
              <w:rPr>
                <w:rFonts w:ascii="Calibri" w:eastAsia="Times New Roman" w:hAnsi="Calibri" w:cs="Calibri"/>
                <w:b/>
                <w:bCs/>
                <w:color w:val="000000"/>
                <w:lang w:eastAsia="es-MX"/>
              </w:rPr>
            </w:pPr>
          </w:p>
        </w:tc>
        <w:tc>
          <w:tcPr>
            <w:tcW w:w="723" w:type="pct"/>
            <w:shd w:val="clear" w:color="auto" w:fill="A5A5A5" w:themeFill="accent3"/>
            <w:noWrap/>
            <w:vAlign w:val="center"/>
            <w:hideMark/>
          </w:tcPr>
          <w:p w14:paraId="76DFE6EF" w14:textId="77777777" w:rsidR="0028541B" w:rsidRPr="0028541B" w:rsidRDefault="0028541B" w:rsidP="0028541B">
            <w:pPr>
              <w:spacing w:after="0" w:line="240" w:lineRule="auto"/>
              <w:jc w:val="center"/>
              <w:rPr>
                <w:rFonts w:ascii="Arial" w:eastAsia="Times New Roman" w:hAnsi="Arial" w:cs="Arial"/>
                <w:b/>
                <w:bCs/>
                <w:color w:val="000000"/>
                <w:lang w:eastAsia="es-MX"/>
              </w:rPr>
            </w:pPr>
            <w:r w:rsidRPr="0040795F">
              <w:rPr>
                <w:rFonts w:ascii="Arial" w:eastAsia="Times New Roman" w:hAnsi="Arial" w:cs="Arial"/>
                <w:b/>
                <w:bCs/>
                <w:color w:val="000000"/>
                <w:lang w:eastAsia="es-MX"/>
              </w:rPr>
              <w:t>J</w:t>
            </w:r>
            <w:r w:rsidRPr="0028541B">
              <w:rPr>
                <w:rFonts w:ascii="Arial" w:eastAsia="Times New Roman" w:hAnsi="Arial" w:cs="Arial"/>
                <w:b/>
                <w:bCs/>
                <w:color w:val="000000"/>
                <w:lang w:eastAsia="es-MX"/>
              </w:rPr>
              <w:t>un</w:t>
            </w:r>
            <w:r w:rsidRPr="0040795F">
              <w:rPr>
                <w:rFonts w:ascii="Arial" w:eastAsia="Times New Roman" w:hAnsi="Arial" w:cs="Arial"/>
                <w:b/>
                <w:bCs/>
                <w:color w:val="000000"/>
                <w:lang w:eastAsia="es-MX"/>
              </w:rPr>
              <w:t xml:space="preserve">io </w:t>
            </w:r>
            <w:r w:rsidRPr="0028541B">
              <w:rPr>
                <w:rFonts w:ascii="Arial" w:eastAsia="Times New Roman" w:hAnsi="Arial" w:cs="Arial"/>
                <w:b/>
                <w:bCs/>
                <w:color w:val="000000"/>
                <w:lang w:eastAsia="es-MX"/>
              </w:rPr>
              <w:t>2</w:t>
            </w:r>
            <w:r w:rsidR="0058345D">
              <w:rPr>
                <w:rFonts w:ascii="Arial" w:eastAsia="Times New Roman" w:hAnsi="Arial" w:cs="Arial"/>
                <w:b/>
                <w:bCs/>
                <w:color w:val="000000"/>
                <w:lang w:eastAsia="es-MX"/>
              </w:rPr>
              <w:t>3</w:t>
            </w:r>
          </w:p>
        </w:tc>
        <w:tc>
          <w:tcPr>
            <w:tcW w:w="803" w:type="pct"/>
            <w:shd w:val="clear" w:color="auto" w:fill="A5A5A5" w:themeFill="accent3"/>
            <w:noWrap/>
            <w:vAlign w:val="center"/>
            <w:hideMark/>
          </w:tcPr>
          <w:p w14:paraId="06AB65D9" w14:textId="77777777" w:rsidR="0028541B" w:rsidRPr="0028541B" w:rsidRDefault="0028541B" w:rsidP="0028541B">
            <w:pPr>
              <w:spacing w:after="0" w:line="240" w:lineRule="auto"/>
              <w:jc w:val="center"/>
              <w:rPr>
                <w:rFonts w:ascii="Arial" w:eastAsia="Times New Roman" w:hAnsi="Arial" w:cs="Arial"/>
                <w:b/>
                <w:bCs/>
                <w:color w:val="000000"/>
                <w:lang w:eastAsia="es-MX"/>
              </w:rPr>
            </w:pPr>
            <w:r w:rsidRPr="0040795F">
              <w:rPr>
                <w:rFonts w:ascii="Arial" w:eastAsia="Times New Roman" w:hAnsi="Arial" w:cs="Arial"/>
                <w:b/>
                <w:bCs/>
                <w:color w:val="000000"/>
                <w:lang w:eastAsia="es-MX"/>
              </w:rPr>
              <w:t>O</w:t>
            </w:r>
            <w:r w:rsidRPr="0028541B">
              <w:rPr>
                <w:rFonts w:ascii="Arial" w:eastAsia="Times New Roman" w:hAnsi="Arial" w:cs="Arial"/>
                <w:b/>
                <w:bCs/>
                <w:color w:val="000000"/>
                <w:lang w:eastAsia="es-MX"/>
              </w:rPr>
              <w:t>ct</w:t>
            </w:r>
            <w:r w:rsidRPr="0040795F">
              <w:rPr>
                <w:rFonts w:ascii="Arial" w:eastAsia="Times New Roman" w:hAnsi="Arial" w:cs="Arial"/>
                <w:b/>
                <w:bCs/>
                <w:color w:val="000000"/>
                <w:lang w:eastAsia="es-MX"/>
              </w:rPr>
              <w:t xml:space="preserve">ubre </w:t>
            </w:r>
            <w:r w:rsidRPr="0028541B">
              <w:rPr>
                <w:rFonts w:ascii="Arial" w:eastAsia="Times New Roman" w:hAnsi="Arial" w:cs="Arial"/>
                <w:b/>
                <w:bCs/>
                <w:color w:val="000000"/>
                <w:lang w:eastAsia="es-MX"/>
              </w:rPr>
              <w:t>2</w:t>
            </w:r>
            <w:r w:rsidR="0058345D">
              <w:rPr>
                <w:rFonts w:ascii="Arial" w:eastAsia="Times New Roman" w:hAnsi="Arial" w:cs="Arial"/>
                <w:b/>
                <w:bCs/>
                <w:color w:val="000000"/>
                <w:lang w:eastAsia="es-MX"/>
              </w:rPr>
              <w:t>3</w:t>
            </w:r>
          </w:p>
        </w:tc>
        <w:tc>
          <w:tcPr>
            <w:tcW w:w="803" w:type="pct"/>
            <w:shd w:val="clear" w:color="auto" w:fill="A5A5A5" w:themeFill="accent3"/>
            <w:noWrap/>
            <w:vAlign w:val="center"/>
            <w:hideMark/>
          </w:tcPr>
          <w:p w14:paraId="786EF598" w14:textId="77777777" w:rsidR="0028541B" w:rsidRPr="0028541B" w:rsidRDefault="0040795F" w:rsidP="0040795F">
            <w:pPr>
              <w:spacing w:after="0" w:line="240" w:lineRule="auto"/>
              <w:jc w:val="center"/>
              <w:rPr>
                <w:rFonts w:ascii="Arial" w:eastAsia="Times New Roman" w:hAnsi="Arial" w:cs="Arial"/>
                <w:b/>
                <w:bCs/>
                <w:color w:val="000000"/>
                <w:lang w:eastAsia="es-MX"/>
              </w:rPr>
            </w:pPr>
            <w:r w:rsidRPr="0040795F">
              <w:rPr>
                <w:rFonts w:ascii="Arial" w:eastAsia="Times New Roman" w:hAnsi="Arial" w:cs="Arial"/>
                <w:b/>
                <w:bCs/>
                <w:color w:val="000000"/>
                <w:lang w:eastAsia="es-MX"/>
              </w:rPr>
              <w:t>F</w:t>
            </w:r>
            <w:r w:rsidR="0028541B" w:rsidRPr="0028541B">
              <w:rPr>
                <w:rFonts w:ascii="Arial" w:eastAsia="Times New Roman" w:hAnsi="Arial" w:cs="Arial"/>
                <w:b/>
                <w:bCs/>
                <w:color w:val="000000"/>
                <w:lang w:eastAsia="es-MX"/>
              </w:rPr>
              <w:t>eb</w:t>
            </w:r>
            <w:r w:rsidRPr="0040795F">
              <w:rPr>
                <w:rFonts w:ascii="Arial" w:eastAsia="Times New Roman" w:hAnsi="Arial" w:cs="Arial"/>
                <w:b/>
                <w:bCs/>
                <w:color w:val="000000"/>
                <w:lang w:eastAsia="es-MX"/>
              </w:rPr>
              <w:t xml:space="preserve">rero </w:t>
            </w:r>
            <w:r w:rsidR="0028541B" w:rsidRPr="0028541B">
              <w:rPr>
                <w:rFonts w:ascii="Arial" w:eastAsia="Times New Roman" w:hAnsi="Arial" w:cs="Arial"/>
                <w:b/>
                <w:bCs/>
                <w:color w:val="000000"/>
                <w:lang w:eastAsia="es-MX"/>
              </w:rPr>
              <w:t>2</w:t>
            </w:r>
            <w:r w:rsidR="0058345D">
              <w:rPr>
                <w:rFonts w:ascii="Arial" w:eastAsia="Times New Roman" w:hAnsi="Arial" w:cs="Arial"/>
                <w:b/>
                <w:bCs/>
                <w:color w:val="000000"/>
                <w:lang w:eastAsia="es-MX"/>
              </w:rPr>
              <w:t>4</w:t>
            </w:r>
          </w:p>
        </w:tc>
        <w:tc>
          <w:tcPr>
            <w:tcW w:w="506" w:type="pct"/>
            <w:vMerge/>
            <w:shd w:val="clear" w:color="auto" w:fill="A5A5A5" w:themeFill="accent3"/>
            <w:vAlign w:val="center"/>
            <w:hideMark/>
          </w:tcPr>
          <w:p w14:paraId="53D0B829" w14:textId="77777777" w:rsidR="0028541B" w:rsidRPr="0028541B" w:rsidRDefault="0028541B" w:rsidP="0028541B">
            <w:pPr>
              <w:spacing w:after="0" w:line="240" w:lineRule="auto"/>
              <w:rPr>
                <w:rFonts w:ascii="Calibri" w:eastAsia="Times New Roman" w:hAnsi="Calibri" w:cs="Calibri"/>
                <w:b/>
                <w:bCs/>
                <w:color w:val="000000"/>
                <w:lang w:eastAsia="es-MX"/>
              </w:rPr>
            </w:pPr>
          </w:p>
        </w:tc>
      </w:tr>
      <w:tr w:rsidR="0040795F" w:rsidRPr="0040795F" w14:paraId="03162E78" w14:textId="77777777" w:rsidTr="00DC065C">
        <w:trPr>
          <w:trHeight w:val="454"/>
        </w:trPr>
        <w:tc>
          <w:tcPr>
            <w:tcW w:w="2165" w:type="pct"/>
            <w:shd w:val="clear" w:color="auto" w:fill="auto"/>
            <w:noWrap/>
            <w:vAlign w:val="center"/>
            <w:hideMark/>
          </w:tcPr>
          <w:p w14:paraId="73A3A323" w14:textId="77777777" w:rsidR="0028541B" w:rsidRPr="0028541B" w:rsidRDefault="0040795F" w:rsidP="0028541B">
            <w:pPr>
              <w:spacing w:after="0" w:line="240" w:lineRule="auto"/>
              <w:rPr>
                <w:rFonts w:ascii="Arial" w:eastAsia="Times New Roman" w:hAnsi="Arial" w:cs="Arial"/>
                <w:color w:val="000000"/>
                <w:lang w:eastAsia="es-MX"/>
              </w:rPr>
            </w:pPr>
            <w:r w:rsidRPr="0040795F">
              <w:rPr>
                <w:rFonts w:ascii="Arial" w:eastAsia="Times New Roman" w:hAnsi="Arial" w:cs="Arial"/>
                <w:color w:val="000000"/>
                <w:lang w:eastAsia="es-MX"/>
              </w:rPr>
              <w:t>Recomendación</w:t>
            </w:r>
          </w:p>
        </w:tc>
        <w:tc>
          <w:tcPr>
            <w:tcW w:w="723" w:type="pct"/>
            <w:shd w:val="clear" w:color="auto" w:fill="auto"/>
            <w:noWrap/>
            <w:vAlign w:val="center"/>
            <w:hideMark/>
          </w:tcPr>
          <w:p w14:paraId="67B65D7D" w14:textId="77777777" w:rsidR="0028541B" w:rsidRPr="00696DA3" w:rsidRDefault="00696DA3" w:rsidP="0028541B">
            <w:pPr>
              <w:spacing w:after="0" w:line="240" w:lineRule="auto"/>
              <w:jc w:val="center"/>
              <w:rPr>
                <w:rFonts w:ascii="Arial" w:eastAsia="Times New Roman" w:hAnsi="Arial" w:cs="Arial"/>
                <w:color w:val="000000"/>
                <w:lang w:eastAsia="es-MX"/>
              </w:rPr>
            </w:pPr>
            <w:r w:rsidRPr="00696DA3">
              <w:rPr>
                <w:rFonts w:ascii="Arial" w:eastAsia="Times New Roman" w:hAnsi="Arial" w:cs="Arial"/>
                <w:color w:val="000000"/>
                <w:lang w:eastAsia="es-MX"/>
              </w:rPr>
              <w:t>105</w:t>
            </w:r>
          </w:p>
        </w:tc>
        <w:tc>
          <w:tcPr>
            <w:tcW w:w="803" w:type="pct"/>
            <w:shd w:val="clear" w:color="auto" w:fill="auto"/>
            <w:noWrap/>
            <w:vAlign w:val="center"/>
          </w:tcPr>
          <w:p w14:paraId="5A2D7447" w14:textId="77777777" w:rsidR="0028541B" w:rsidRPr="00602767" w:rsidRDefault="00602767" w:rsidP="0028541B">
            <w:pPr>
              <w:spacing w:after="0" w:line="240" w:lineRule="auto"/>
              <w:jc w:val="center"/>
              <w:rPr>
                <w:rFonts w:ascii="Arial" w:eastAsia="Times New Roman" w:hAnsi="Arial" w:cs="Arial"/>
                <w:color w:val="000000"/>
                <w:lang w:eastAsia="es-MX"/>
              </w:rPr>
            </w:pPr>
            <w:r w:rsidRPr="00602767">
              <w:rPr>
                <w:rFonts w:ascii="Arial" w:eastAsia="Times New Roman" w:hAnsi="Arial" w:cs="Arial"/>
                <w:color w:val="000000"/>
                <w:lang w:eastAsia="es-MX"/>
              </w:rPr>
              <w:t>206</w:t>
            </w:r>
          </w:p>
        </w:tc>
        <w:tc>
          <w:tcPr>
            <w:tcW w:w="803" w:type="pct"/>
            <w:shd w:val="clear" w:color="auto" w:fill="auto"/>
            <w:noWrap/>
            <w:vAlign w:val="center"/>
          </w:tcPr>
          <w:p w14:paraId="1CD2A8E7" w14:textId="77777777" w:rsidR="0028541B" w:rsidRPr="00602767" w:rsidRDefault="00602767" w:rsidP="0028541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150</w:t>
            </w:r>
          </w:p>
        </w:tc>
        <w:tc>
          <w:tcPr>
            <w:tcW w:w="506" w:type="pct"/>
            <w:shd w:val="clear" w:color="auto" w:fill="auto"/>
            <w:noWrap/>
            <w:vAlign w:val="center"/>
          </w:tcPr>
          <w:p w14:paraId="58A668FA" w14:textId="77777777" w:rsidR="0028541B" w:rsidRPr="00602767" w:rsidRDefault="00602767" w:rsidP="0028541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461</w:t>
            </w:r>
          </w:p>
        </w:tc>
      </w:tr>
      <w:tr w:rsidR="0040795F" w:rsidRPr="0040795F" w14:paraId="034B9F33" w14:textId="77777777" w:rsidTr="00DC065C">
        <w:trPr>
          <w:trHeight w:val="454"/>
        </w:trPr>
        <w:tc>
          <w:tcPr>
            <w:tcW w:w="2165" w:type="pct"/>
            <w:shd w:val="clear" w:color="auto" w:fill="auto"/>
            <w:noWrap/>
            <w:vAlign w:val="center"/>
            <w:hideMark/>
          </w:tcPr>
          <w:p w14:paraId="05015770" w14:textId="77777777" w:rsidR="0028541B" w:rsidRPr="0028541B" w:rsidRDefault="0040795F" w:rsidP="0028541B">
            <w:pPr>
              <w:spacing w:after="0" w:line="240" w:lineRule="auto"/>
              <w:rPr>
                <w:rFonts w:ascii="Arial" w:eastAsia="Times New Roman" w:hAnsi="Arial" w:cs="Arial"/>
                <w:color w:val="000000"/>
                <w:lang w:eastAsia="es-MX"/>
              </w:rPr>
            </w:pPr>
            <w:r w:rsidRPr="0040795F">
              <w:rPr>
                <w:rFonts w:ascii="Arial" w:eastAsia="Times New Roman" w:hAnsi="Arial" w:cs="Arial"/>
                <w:color w:val="000000"/>
                <w:lang w:eastAsia="es-MX"/>
              </w:rPr>
              <w:t>Pliego de Observaciones</w:t>
            </w:r>
          </w:p>
        </w:tc>
        <w:tc>
          <w:tcPr>
            <w:tcW w:w="723" w:type="pct"/>
            <w:shd w:val="clear" w:color="auto" w:fill="auto"/>
            <w:noWrap/>
            <w:vAlign w:val="center"/>
            <w:hideMark/>
          </w:tcPr>
          <w:p w14:paraId="1F840CC1" w14:textId="77777777" w:rsidR="0028541B" w:rsidRPr="00696DA3" w:rsidRDefault="00696DA3" w:rsidP="0028541B">
            <w:pPr>
              <w:spacing w:after="0" w:line="240" w:lineRule="auto"/>
              <w:jc w:val="center"/>
              <w:rPr>
                <w:rFonts w:ascii="Arial" w:eastAsia="Times New Roman" w:hAnsi="Arial" w:cs="Arial"/>
                <w:color w:val="000000"/>
                <w:lang w:eastAsia="es-MX"/>
              </w:rPr>
            </w:pPr>
            <w:r w:rsidRPr="00696DA3">
              <w:rPr>
                <w:rFonts w:ascii="Arial" w:eastAsia="Times New Roman" w:hAnsi="Arial" w:cs="Arial"/>
                <w:color w:val="000000"/>
                <w:lang w:eastAsia="es-MX"/>
              </w:rPr>
              <w:t>1</w:t>
            </w:r>
          </w:p>
        </w:tc>
        <w:tc>
          <w:tcPr>
            <w:tcW w:w="803" w:type="pct"/>
            <w:shd w:val="clear" w:color="auto" w:fill="auto"/>
            <w:noWrap/>
            <w:vAlign w:val="center"/>
          </w:tcPr>
          <w:p w14:paraId="27EA00E7" w14:textId="77777777" w:rsidR="0028541B" w:rsidRPr="00602767" w:rsidRDefault="00602767" w:rsidP="0028541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31</w:t>
            </w:r>
          </w:p>
        </w:tc>
        <w:tc>
          <w:tcPr>
            <w:tcW w:w="803" w:type="pct"/>
            <w:shd w:val="clear" w:color="auto" w:fill="auto"/>
            <w:noWrap/>
            <w:vAlign w:val="center"/>
          </w:tcPr>
          <w:p w14:paraId="57315C5F" w14:textId="77777777" w:rsidR="0028541B" w:rsidRPr="00602767" w:rsidRDefault="00602767" w:rsidP="0028541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25</w:t>
            </w:r>
          </w:p>
        </w:tc>
        <w:tc>
          <w:tcPr>
            <w:tcW w:w="506" w:type="pct"/>
            <w:shd w:val="clear" w:color="auto" w:fill="auto"/>
            <w:noWrap/>
            <w:vAlign w:val="center"/>
          </w:tcPr>
          <w:p w14:paraId="1BB17E6B" w14:textId="77777777" w:rsidR="0028541B" w:rsidRPr="00602767" w:rsidRDefault="00602767" w:rsidP="0028541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57</w:t>
            </w:r>
          </w:p>
        </w:tc>
      </w:tr>
      <w:tr w:rsidR="0040795F" w:rsidRPr="0040795F" w14:paraId="3C62BAC5" w14:textId="77777777" w:rsidTr="00DC065C">
        <w:trPr>
          <w:trHeight w:val="454"/>
        </w:trPr>
        <w:tc>
          <w:tcPr>
            <w:tcW w:w="2165" w:type="pct"/>
            <w:shd w:val="clear" w:color="auto" w:fill="auto"/>
            <w:noWrap/>
            <w:vAlign w:val="center"/>
            <w:hideMark/>
          </w:tcPr>
          <w:p w14:paraId="07271038" w14:textId="77777777" w:rsidR="0028541B" w:rsidRPr="0028541B" w:rsidRDefault="0040795F" w:rsidP="0040795F">
            <w:pPr>
              <w:spacing w:after="0" w:line="240" w:lineRule="auto"/>
              <w:rPr>
                <w:rFonts w:ascii="Arial" w:eastAsia="Times New Roman" w:hAnsi="Arial" w:cs="Arial"/>
                <w:color w:val="000000"/>
                <w:lang w:eastAsia="es-MX"/>
              </w:rPr>
            </w:pPr>
            <w:r w:rsidRPr="0040795F">
              <w:rPr>
                <w:rFonts w:ascii="Arial" w:eastAsia="Times New Roman" w:hAnsi="Arial" w:cs="Arial"/>
                <w:color w:val="000000"/>
                <w:lang w:eastAsia="es-MX"/>
              </w:rPr>
              <w:t>Promoción de Responsabilidad Administrativa</w:t>
            </w:r>
          </w:p>
        </w:tc>
        <w:tc>
          <w:tcPr>
            <w:tcW w:w="723" w:type="pct"/>
            <w:shd w:val="clear" w:color="auto" w:fill="auto"/>
            <w:noWrap/>
            <w:vAlign w:val="center"/>
            <w:hideMark/>
          </w:tcPr>
          <w:p w14:paraId="00A5D9AA" w14:textId="77777777" w:rsidR="0028541B" w:rsidRPr="00696DA3" w:rsidRDefault="0028541B" w:rsidP="0028541B">
            <w:pPr>
              <w:spacing w:after="0" w:line="240" w:lineRule="auto"/>
              <w:jc w:val="center"/>
              <w:rPr>
                <w:rFonts w:ascii="Arial" w:eastAsia="Times New Roman" w:hAnsi="Arial" w:cs="Arial"/>
                <w:color w:val="000000"/>
                <w:lang w:eastAsia="es-MX"/>
              </w:rPr>
            </w:pPr>
            <w:r w:rsidRPr="00696DA3">
              <w:rPr>
                <w:rFonts w:ascii="Arial" w:eastAsia="Times New Roman" w:hAnsi="Arial" w:cs="Arial"/>
                <w:color w:val="000000"/>
                <w:lang w:eastAsia="es-MX"/>
              </w:rPr>
              <w:t>2</w:t>
            </w:r>
          </w:p>
        </w:tc>
        <w:tc>
          <w:tcPr>
            <w:tcW w:w="803" w:type="pct"/>
            <w:shd w:val="clear" w:color="auto" w:fill="auto"/>
            <w:noWrap/>
            <w:vAlign w:val="center"/>
          </w:tcPr>
          <w:p w14:paraId="759C0465" w14:textId="77777777" w:rsidR="0028541B" w:rsidRPr="00602767" w:rsidRDefault="00602767" w:rsidP="0028541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55</w:t>
            </w:r>
          </w:p>
        </w:tc>
        <w:tc>
          <w:tcPr>
            <w:tcW w:w="803" w:type="pct"/>
            <w:shd w:val="clear" w:color="auto" w:fill="auto"/>
            <w:noWrap/>
            <w:vAlign w:val="center"/>
          </w:tcPr>
          <w:p w14:paraId="7D6189BB" w14:textId="77777777" w:rsidR="0028541B" w:rsidRPr="00602767" w:rsidRDefault="00602767" w:rsidP="0028541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44</w:t>
            </w:r>
          </w:p>
        </w:tc>
        <w:tc>
          <w:tcPr>
            <w:tcW w:w="506" w:type="pct"/>
            <w:shd w:val="clear" w:color="auto" w:fill="auto"/>
            <w:noWrap/>
            <w:vAlign w:val="center"/>
          </w:tcPr>
          <w:p w14:paraId="21EDD720" w14:textId="77777777" w:rsidR="0028541B" w:rsidRPr="00602767" w:rsidRDefault="00602767" w:rsidP="0028541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101</w:t>
            </w:r>
          </w:p>
        </w:tc>
      </w:tr>
      <w:tr w:rsidR="0040795F" w:rsidRPr="0040795F" w14:paraId="15827821" w14:textId="77777777" w:rsidTr="00DC065C">
        <w:trPr>
          <w:trHeight w:val="454"/>
        </w:trPr>
        <w:tc>
          <w:tcPr>
            <w:tcW w:w="2165" w:type="pct"/>
            <w:shd w:val="clear" w:color="auto" w:fill="auto"/>
            <w:noWrap/>
            <w:vAlign w:val="center"/>
            <w:hideMark/>
          </w:tcPr>
          <w:p w14:paraId="32A3F0BB" w14:textId="77777777" w:rsidR="0028541B" w:rsidRPr="0028541B" w:rsidRDefault="0040795F" w:rsidP="0040795F">
            <w:pPr>
              <w:spacing w:after="0" w:line="240" w:lineRule="auto"/>
              <w:rPr>
                <w:rFonts w:ascii="Arial" w:eastAsia="Times New Roman" w:hAnsi="Arial" w:cs="Arial"/>
                <w:color w:val="000000"/>
                <w:lang w:eastAsia="es-MX"/>
              </w:rPr>
            </w:pPr>
            <w:r w:rsidRPr="0040795F">
              <w:rPr>
                <w:rFonts w:ascii="Arial" w:eastAsia="Times New Roman" w:hAnsi="Arial" w:cs="Arial"/>
                <w:color w:val="000000"/>
                <w:lang w:eastAsia="es-MX"/>
              </w:rPr>
              <w:t>Solicitud de Aclaración</w:t>
            </w:r>
          </w:p>
        </w:tc>
        <w:tc>
          <w:tcPr>
            <w:tcW w:w="723" w:type="pct"/>
            <w:shd w:val="clear" w:color="auto" w:fill="auto"/>
            <w:noWrap/>
            <w:vAlign w:val="center"/>
            <w:hideMark/>
          </w:tcPr>
          <w:p w14:paraId="5657159E" w14:textId="77777777" w:rsidR="0028541B" w:rsidRPr="00696DA3" w:rsidRDefault="00696DA3" w:rsidP="0028541B">
            <w:pPr>
              <w:spacing w:after="0" w:line="240" w:lineRule="auto"/>
              <w:jc w:val="center"/>
              <w:rPr>
                <w:rFonts w:ascii="Arial" w:eastAsia="Times New Roman" w:hAnsi="Arial" w:cs="Arial"/>
                <w:color w:val="000000"/>
                <w:lang w:eastAsia="es-MX"/>
              </w:rPr>
            </w:pPr>
            <w:r w:rsidRPr="00696DA3">
              <w:rPr>
                <w:rFonts w:ascii="Arial" w:eastAsia="Times New Roman" w:hAnsi="Arial" w:cs="Arial"/>
                <w:color w:val="000000"/>
                <w:lang w:eastAsia="es-MX"/>
              </w:rPr>
              <w:t>0</w:t>
            </w:r>
          </w:p>
        </w:tc>
        <w:tc>
          <w:tcPr>
            <w:tcW w:w="803" w:type="pct"/>
            <w:shd w:val="clear" w:color="auto" w:fill="auto"/>
            <w:noWrap/>
            <w:vAlign w:val="center"/>
          </w:tcPr>
          <w:p w14:paraId="65E52683" w14:textId="77777777" w:rsidR="0028541B" w:rsidRPr="00602767" w:rsidRDefault="00602767" w:rsidP="0028541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48</w:t>
            </w:r>
          </w:p>
        </w:tc>
        <w:tc>
          <w:tcPr>
            <w:tcW w:w="803" w:type="pct"/>
            <w:shd w:val="clear" w:color="auto" w:fill="auto"/>
            <w:noWrap/>
            <w:vAlign w:val="center"/>
          </w:tcPr>
          <w:p w14:paraId="230360CF" w14:textId="77777777" w:rsidR="0028541B" w:rsidRPr="00602767" w:rsidRDefault="00602767" w:rsidP="0028541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29</w:t>
            </w:r>
          </w:p>
        </w:tc>
        <w:tc>
          <w:tcPr>
            <w:tcW w:w="506" w:type="pct"/>
            <w:shd w:val="clear" w:color="auto" w:fill="auto"/>
            <w:noWrap/>
            <w:vAlign w:val="center"/>
          </w:tcPr>
          <w:p w14:paraId="53A5AA48" w14:textId="77777777" w:rsidR="0028541B" w:rsidRPr="00602767" w:rsidRDefault="00602767" w:rsidP="0028541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77</w:t>
            </w:r>
          </w:p>
        </w:tc>
      </w:tr>
      <w:tr w:rsidR="0040795F" w:rsidRPr="0040795F" w14:paraId="4386D387" w14:textId="77777777" w:rsidTr="00DC065C">
        <w:trPr>
          <w:trHeight w:val="454"/>
        </w:trPr>
        <w:tc>
          <w:tcPr>
            <w:tcW w:w="2165" w:type="pct"/>
            <w:shd w:val="clear" w:color="auto" w:fill="auto"/>
            <w:noWrap/>
            <w:vAlign w:val="center"/>
            <w:hideMark/>
          </w:tcPr>
          <w:p w14:paraId="49475A03" w14:textId="77777777" w:rsidR="0028541B" w:rsidRPr="0028541B" w:rsidRDefault="0040795F" w:rsidP="0040795F">
            <w:pPr>
              <w:spacing w:after="0" w:line="240" w:lineRule="auto"/>
              <w:ind w:right="471"/>
              <w:rPr>
                <w:rFonts w:ascii="Arial" w:eastAsia="Times New Roman" w:hAnsi="Arial" w:cs="Arial"/>
                <w:b/>
                <w:bCs/>
                <w:color w:val="000000"/>
                <w:lang w:eastAsia="es-MX"/>
              </w:rPr>
            </w:pPr>
            <w:r>
              <w:rPr>
                <w:rFonts w:ascii="Arial" w:eastAsia="Times New Roman" w:hAnsi="Arial" w:cs="Arial"/>
                <w:b/>
                <w:bCs/>
                <w:color w:val="000000"/>
                <w:lang w:eastAsia="es-MX"/>
              </w:rPr>
              <w:t>Total de A</w:t>
            </w:r>
            <w:r w:rsidRPr="0040795F">
              <w:rPr>
                <w:rFonts w:ascii="Arial" w:eastAsia="Times New Roman" w:hAnsi="Arial" w:cs="Arial"/>
                <w:b/>
                <w:bCs/>
                <w:color w:val="000000"/>
                <w:lang w:eastAsia="es-MX"/>
              </w:rPr>
              <w:t xml:space="preserve">cciones </w:t>
            </w:r>
            <w:r>
              <w:rPr>
                <w:rFonts w:ascii="Arial" w:eastAsia="Times New Roman" w:hAnsi="Arial" w:cs="Arial"/>
                <w:b/>
                <w:bCs/>
                <w:color w:val="000000"/>
                <w:lang w:eastAsia="es-MX"/>
              </w:rPr>
              <w:t>E</w:t>
            </w:r>
            <w:r w:rsidRPr="0040795F">
              <w:rPr>
                <w:rFonts w:ascii="Arial" w:eastAsia="Times New Roman" w:hAnsi="Arial" w:cs="Arial"/>
                <w:b/>
                <w:bCs/>
                <w:color w:val="000000"/>
                <w:lang w:eastAsia="es-MX"/>
              </w:rPr>
              <w:t>mitidas</w:t>
            </w:r>
          </w:p>
        </w:tc>
        <w:tc>
          <w:tcPr>
            <w:tcW w:w="723" w:type="pct"/>
            <w:shd w:val="clear" w:color="auto" w:fill="auto"/>
            <w:noWrap/>
            <w:vAlign w:val="center"/>
            <w:hideMark/>
          </w:tcPr>
          <w:p w14:paraId="5154FEA1" w14:textId="77777777" w:rsidR="0028541B" w:rsidRPr="00696DA3" w:rsidRDefault="000E741B" w:rsidP="0028541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108</w:t>
            </w:r>
          </w:p>
        </w:tc>
        <w:tc>
          <w:tcPr>
            <w:tcW w:w="803" w:type="pct"/>
            <w:shd w:val="clear" w:color="auto" w:fill="auto"/>
            <w:noWrap/>
            <w:vAlign w:val="center"/>
          </w:tcPr>
          <w:p w14:paraId="44B942A6" w14:textId="77777777" w:rsidR="0028541B" w:rsidRPr="00602767" w:rsidRDefault="00602767" w:rsidP="0028541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340</w:t>
            </w:r>
          </w:p>
        </w:tc>
        <w:tc>
          <w:tcPr>
            <w:tcW w:w="803" w:type="pct"/>
            <w:shd w:val="clear" w:color="auto" w:fill="auto"/>
            <w:noWrap/>
            <w:vAlign w:val="center"/>
          </w:tcPr>
          <w:p w14:paraId="123EC42E" w14:textId="77777777" w:rsidR="0028541B" w:rsidRPr="00602767" w:rsidRDefault="00602767" w:rsidP="0028541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248</w:t>
            </w:r>
          </w:p>
        </w:tc>
        <w:tc>
          <w:tcPr>
            <w:tcW w:w="506" w:type="pct"/>
            <w:shd w:val="clear" w:color="auto" w:fill="auto"/>
            <w:noWrap/>
            <w:vAlign w:val="center"/>
          </w:tcPr>
          <w:p w14:paraId="0CF8E571" w14:textId="77777777" w:rsidR="0028541B" w:rsidRPr="00602767" w:rsidRDefault="00602767" w:rsidP="0028541B">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696</w:t>
            </w:r>
          </w:p>
        </w:tc>
      </w:tr>
    </w:tbl>
    <w:p w14:paraId="266DB3B7" w14:textId="77777777" w:rsidR="0040795F" w:rsidRPr="009C35C4" w:rsidRDefault="0040795F" w:rsidP="0040795F">
      <w:pPr>
        <w:spacing w:before="240" w:after="0" w:line="240" w:lineRule="auto"/>
        <w:jc w:val="both"/>
        <w:rPr>
          <w:rFonts w:ascii="Arial" w:eastAsia="Times New Roman" w:hAnsi="Arial" w:cs="Arial"/>
          <w:bCs/>
          <w:sz w:val="18"/>
          <w:szCs w:val="20"/>
          <w:lang w:eastAsia="es-MX"/>
        </w:rPr>
      </w:pPr>
      <w:r w:rsidRPr="009C35C4">
        <w:rPr>
          <w:rFonts w:ascii="Arial" w:eastAsia="Times New Roman" w:hAnsi="Arial" w:cs="Arial"/>
          <w:b/>
          <w:bCs/>
          <w:sz w:val="18"/>
          <w:szCs w:val="20"/>
          <w:lang w:eastAsia="es-MX"/>
        </w:rPr>
        <w:t>Tabla N° 2</w:t>
      </w:r>
      <w:r w:rsidR="0071701E" w:rsidRPr="009C35C4">
        <w:rPr>
          <w:rFonts w:ascii="Arial" w:eastAsia="Times New Roman" w:hAnsi="Arial" w:cs="Arial"/>
          <w:b/>
          <w:bCs/>
          <w:sz w:val="18"/>
          <w:szCs w:val="20"/>
          <w:lang w:eastAsia="es-MX"/>
        </w:rPr>
        <w:t>3</w:t>
      </w:r>
      <w:r w:rsidRPr="009C35C4">
        <w:rPr>
          <w:rFonts w:ascii="Arial" w:eastAsia="Times New Roman" w:hAnsi="Arial" w:cs="Arial"/>
          <w:b/>
          <w:bCs/>
          <w:sz w:val="18"/>
          <w:szCs w:val="20"/>
          <w:lang w:eastAsia="es-MX"/>
        </w:rPr>
        <w:t xml:space="preserve">: </w:t>
      </w:r>
      <w:r w:rsidRPr="009C35C4">
        <w:rPr>
          <w:rFonts w:ascii="Arial" w:eastAsia="Times New Roman" w:hAnsi="Arial" w:cs="Arial"/>
          <w:bCs/>
          <w:sz w:val="18"/>
          <w:szCs w:val="20"/>
          <w:lang w:eastAsia="es-MX"/>
        </w:rPr>
        <w:t xml:space="preserve">Elaboración propia, ver gráfica N° </w:t>
      </w:r>
      <w:r w:rsidR="00BC78DF" w:rsidRPr="009C35C4">
        <w:rPr>
          <w:rFonts w:ascii="Arial" w:eastAsia="Times New Roman" w:hAnsi="Arial" w:cs="Arial"/>
          <w:bCs/>
          <w:sz w:val="18"/>
          <w:szCs w:val="20"/>
          <w:lang w:eastAsia="es-MX"/>
        </w:rPr>
        <w:t>20</w:t>
      </w:r>
      <w:r w:rsidRPr="009C35C4">
        <w:rPr>
          <w:rFonts w:ascii="Arial" w:eastAsia="Times New Roman" w:hAnsi="Arial" w:cs="Arial"/>
          <w:bCs/>
          <w:sz w:val="18"/>
          <w:szCs w:val="20"/>
          <w:lang w:eastAsia="es-MX"/>
        </w:rPr>
        <w:t>.</w:t>
      </w:r>
      <w:r w:rsidR="00855AF2" w:rsidRPr="009C35C4">
        <w:rPr>
          <w:rFonts w:ascii="Arial" w:eastAsia="Times New Roman" w:hAnsi="Arial" w:cs="Arial"/>
          <w:bCs/>
          <w:sz w:val="18"/>
          <w:szCs w:val="20"/>
          <w:lang w:eastAsia="es-MX"/>
        </w:rPr>
        <w:t xml:space="preserve"> </w:t>
      </w:r>
    </w:p>
    <w:p w14:paraId="59944CDE" w14:textId="77777777" w:rsidR="0028541B" w:rsidRDefault="0028541B" w:rsidP="00A75B38">
      <w:pPr>
        <w:spacing w:line="276" w:lineRule="auto"/>
        <w:jc w:val="both"/>
        <w:rPr>
          <w:rFonts w:ascii="Arial" w:hAnsi="Arial" w:cs="Arial"/>
          <w:sz w:val="24"/>
          <w:szCs w:val="24"/>
        </w:rPr>
      </w:pPr>
    </w:p>
    <w:p w14:paraId="2955D53D" w14:textId="77777777" w:rsidR="0040795F" w:rsidRDefault="006C436D" w:rsidP="00A75B38">
      <w:pPr>
        <w:spacing w:line="276" w:lineRule="auto"/>
        <w:jc w:val="both"/>
        <w:rPr>
          <w:rFonts w:ascii="Arial" w:hAnsi="Arial" w:cs="Arial"/>
          <w:sz w:val="24"/>
          <w:szCs w:val="24"/>
        </w:rPr>
      </w:pPr>
      <w:r>
        <w:rPr>
          <w:noProof/>
          <w:lang w:eastAsia="es-MX"/>
        </w:rPr>
        <w:drawing>
          <wp:inline distT="0" distB="0" distL="0" distR="0" wp14:anchorId="7C752F95" wp14:editId="36AF6981">
            <wp:extent cx="5612130" cy="4238625"/>
            <wp:effectExtent l="0" t="0" r="7620"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E250E9" w14:textId="77777777" w:rsidR="00BC78DF" w:rsidRPr="009C35C4" w:rsidRDefault="00BC78DF" w:rsidP="00BC78DF">
      <w:pPr>
        <w:spacing w:after="0" w:line="240" w:lineRule="auto"/>
        <w:jc w:val="center"/>
        <w:rPr>
          <w:rFonts w:ascii="Arial" w:eastAsia="Times New Roman" w:hAnsi="Arial" w:cs="Arial"/>
          <w:bCs/>
          <w:sz w:val="18"/>
          <w:szCs w:val="20"/>
          <w:lang w:eastAsia="es-MX"/>
        </w:rPr>
      </w:pPr>
      <w:r w:rsidRPr="009C35C4">
        <w:rPr>
          <w:rFonts w:ascii="Arial" w:eastAsia="Times New Roman" w:hAnsi="Arial" w:cs="Arial"/>
          <w:b/>
          <w:bCs/>
          <w:sz w:val="18"/>
          <w:szCs w:val="20"/>
          <w:lang w:eastAsia="es-MX"/>
        </w:rPr>
        <w:t>Gráfica N° 20</w:t>
      </w:r>
    </w:p>
    <w:p w14:paraId="7146ECFB" w14:textId="77777777" w:rsidR="00BC78DF" w:rsidRPr="009C35C4" w:rsidRDefault="00BC78DF" w:rsidP="00BC78DF">
      <w:pPr>
        <w:spacing w:line="276" w:lineRule="auto"/>
        <w:jc w:val="center"/>
        <w:rPr>
          <w:rFonts w:ascii="Arial" w:hAnsi="Arial" w:cs="Arial"/>
          <w:sz w:val="28"/>
          <w:szCs w:val="24"/>
        </w:rPr>
      </w:pPr>
      <w:r w:rsidRPr="009C35C4">
        <w:rPr>
          <w:rFonts w:ascii="Arial" w:eastAsia="Times New Roman" w:hAnsi="Arial" w:cs="Arial"/>
          <w:b/>
          <w:bCs/>
          <w:sz w:val="18"/>
          <w:szCs w:val="20"/>
          <w:lang w:eastAsia="es-MX"/>
        </w:rPr>
        <w:t>Fuente:</w:t>
      </w:r>
      <w:r w:rsidRPr="009C35C4">
        <w:rPr>
          <w:rFonts w:ascii="Arial" w:eastAsia="Times New Roman" w:hAnsi="Arial" w:cs="Arial"/>
          <w:bCs/>
          <w:sz w:val="18"/>
          <w:szCs w:val="20"/>
          <w:lang w:eastAsia="es-MX"/>
        </w:rPr>
        <w:t xml:space="preserve"> Datos provenientes de los Informes Individuales entregados a la Comisión</w:t>
      </w:r>
    </w:p>
    <w:p w14:paraId="40F80B1D" w14:textId="77777777" w:rsidR="00FD773B" w:rsidRDefault="00FD773B" w:rsidP="00BD18A2">
      <w:pPr>
        <w:widowControl w:val="0"/>
        <w:autoSpaceDE w:val="0"/>
        <w:autoSpaceDN w:val="0"/>
        <w:spacing w:after="0" w:line="276" w:lineRule="auto"/>
        <w:jc w:val="both"/>
        <w:rPr>
          <w:rFonts w:ascii="Arial" w:eastAsia="Arial" w:hAnsi="Arial" w:cs="Arial"/>
          <w:sz w:val="24"/>
          <w:szCs w:val="24"/>
          <w:lang w:val="es-ES" w:eastAsia="es-ES" w:bidi="es-ES"/>
        </w:rPr>
      </w:pPr>
      <w:bookmarkStart w:id="40" w:name="_Toc64067639"/>
      <w:bookmarkStart w:id="41" w:name="_Toc95496680"/>
    </w:p>
    <w:p w14:paraId="48FE606E" w14:textId="3808B442" w:rsidR="00542933" w:rsidRPr="00542933" w:rsidRDefault="00542933" w:rsidP="00BD18A2">
      <w:pPr>
        <w:widowControl w:val="0"/>
        <w:autoSpaceDE w:val="0"/>
        <w:autoSpaceDN w:val="0"/>
        <w:spacing w:after="0" w:line="276" w:lineRule="auto"/>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lastRenderedPageBreak/>
        <w:t>La Ley de Fiscalización y Rendición de Cuentas del Estado de Quintana Roo, en su artículo 36, fracción VII, define que el Informe General debe incluir la demás información que considere necesaria de citar como parte del documento.</w:t>
      </w:r>
    </w:p>
    <w:p w14:paraId="61C6308E" w14:textId="77777777" w:rsidR="00542933" w:rsidRPr="00542933" w:rsidRDefault="00542933" w:rsidP="00542933">
      <w:pPr>
        <w:widowControl w:val="0"/>
        <w:autoSpaceDE w:val="0"/>
        <w:autoSpaceDN w:val="0"/>
        <w:spacing w:after="0" w:line="276" w:lineRule="auto"/>
        <w:rPr>
          <w:rFonts w:ascii="Arial" w:eastAsia="Arial" w:hAnsi="Arial" w:cs="Arial"/>
          <w:sz w:val="28"/>
          <w:szCs w:val="24"/>
          <w:lang w:val="es-ES" w:eastAsia="es-ES" w:bidi="es-ES"/>
        </w:rPr>
      </w:pPr>
    </w:p>
    <w:p w14:paraId="0B419433" w14:textId="77777777" w:rsidR="00542933" w:rsidRPr="00542933" w:rsidRDefault="00542933" w:rsidP="00542933">
      <w:pPr>
        <w:widowControl w:val="0"/>
        <w:autoSpaceDE w:val="0"/>
        <w:autoSpaceDN w:val="0"/>
        <w:spacing w:after="0" w:line="276" w:lineRule="auto"/>
        <w:ind w:right="142"/>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Por lo anterior la Auditoría Superior del Estado de Quintana Roo considera oportuno incluir datos generales de la Deuda Pública autorizada y contratada en apego a las disposiciones establecidas en la Ley General de Contabilidad Gubernamental y a la normatividad</w:t>
      </w:r>
      <w:r w:rsidRPr="00542933">
        <w:rPr>
          <w:rFonts w:ascii="Arial" w:eastAsia="Arial" w:hAnsi="Arial" w:cs="Arial"/>
          <w:spacing w:val="-20"/>
          <w:sz w:val="24"/>
          <w:szCs w:val="24"/>
          <w:lang w:val="es-ES" w:eastAsia="es-ES" w:bidi="es-ES"/>
        </w:rPr>
        <w:t xml:space="preserve"> </w:t>
      </w:r>
      <w:r w:rsidRPr="00542933">
        <w:rPr>
          <w:rFonts w:ascii="Arial" w:eastAsia="Arial" w:hAnsi="Arial" w:cs="Arial"/>
          <w:sz w:val="24"/>
          <w:szCs w:val="24"/>
          <w:lang w:val="es-ES" w:eastAsia="es-ES" w:bidi="es-ES"/>
        </w:rPr>
        <w:t>emitida</w:t>
      </w:r>
      <w:r w:rsidRPr="00542933">
        <w:rPr>
          <w:rFonts w:ascii="Arial" w:eastAsia="Arial" w:hAnsi="Arial" w:cs="Arial"/>
          <w:spacing w:val="-20"/>
          <w:sz w:val="24"/>
          <w:szCs w:val="24"/>
          <w:lang w:val="es-ES" w:eastAsia="es-ES" w:bidi="es-ES"/>
        </w:rPr>
        <w:t xml:space="preserve"> </w:t>
      </w:r>
      <w:r w:rsidRPr="00542933">
        <w:rPr>
          <w:rFonts w:ascii="Arial" w:eastAsia="Arial" w:hAnsi="Arial" w:cs="Arial"/>
          <w:sz w:val="24"/>
          <w:szCs w:val="24"/>
          <w:lang w:val="es-ES" w:eastAsia="es-ES" w:bidi="es-ES"/>
        </w:rPr>
        <w:t>por</w:t>
      </w:r>
      <w:r w:rsidRPr="00542933">
        <w:rPr>
          <w:rFonts w:ascii="Arial" w:eastAsia="Arial" w:hAnsi="Arial" w:cs="Arial"/>
          <w:spacing w:val="-17"/>
          <w:sz w:val="24"/>
          <w:szCs w:val="24"/>
          <w:lang w:val="es-ES" w:eastAsia="es-ES" w:bidi="es-ES"/>
        </w:rPr>
        <w:t xml:space="preserve"> </w:t>
      </w:r>
      <w:r w:rsidRPr="00542933">
        <w:rPr>
          <w:rFonts w:ascii="Arial" w:eastAsia="Arial" w:hAnsi="Arial" w:cs="Arial"/>
          <w:sz w:val="24"/>
          <w:szCs w:val="24"/>
          <w:lang w:val="es-ES" w:eastAsia="es-ES" w:bidi="es-ES"/>
        </w:rPr>
        <w:t>el</w:t>
      </w:r>
      <w:r w:rsidRPr="00542933">
        <w:rPr>
          <w:rFonts w:ascii="Arial" w:eastAsia="Arial" w:hAnsi="Arial" w:cs="Arial"/>
          <w:spacing w:val="-20"/>
          <w:sz w:val="24"/>
          <w:szCs w:val="24"/>
          <w:lang w:val="es-ES" w:eastAsia="es-ES" w:bidi="es-ES"/>
        </w:rPr>
        <w:t xml:space="preserve"> </w:t>
      </w:r>
      <w:r w:rsidRPr="00542933">
        <w:rPr>
          <w:rFonts w:ascii="Arial" w:eastAsia="Arial" w:hAnsi="Arial" w:cs="Arial"/>
          <w:sz w:val="24"/>
          <w:szCs w:val="24"/>
          <w:lang w:val="es-ES" w:eastAsia="es-ES" w:bidi="es-ES"/>
        </w:rPr>
        <w:t>Consejo</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Nacional</w:t>
      </w:r>
      <w:r w:rsidRPr="00542933">
        <w:rPr>
          <w:rFonts w:ascii="Arial" w:eastAsia="Arial" w:hAnsi="Arial" w:cs="Arial"/>
          <w:spacing w:val="-20"/>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9"/>
          <w:sz w:val="24"/>
          <w:szCs w:val="24"/>
          <w:lang w:val="es-ES" w:eastAsia="es-ES" w:bidi="es-ES"/>
        </w:rPr>
        <w:t xml:space="preserve"> </w:t>
      </w:r>
      <w:r w:rsidRPr="00542933">
        <w:rPr>
          <w:rFonts w:ascii="Arial" w:eastAsia="Arial" w:hAnsi="Arial" w:cs="Arial"/>
          <w:sz w:val="24"/>
          <w:szCs w:val="24"/>
          <w:lang w:val="es-ES" w:eastAsia="es-ES" w:bidi="es-ES"/>
        </w:rPr>
        <w:t>Armonización</w:t>
      </w:r>
      <w:r w:rsidRPr="00542933">
        <w:rPr>
          <w:rFonts w:ascii="Arial" w:eastAsia="Arial" w:hAnsi="Arial" w:cs="Arial"/>
          <w:spacing w:val="-20"/>
          <w:sz w:val="24"/>
          <w:szCs w:val="24"/>
          <w:lang w:val="es-ES" w:eastAsia="es-ES" w:bidi="es-ES"/>
        </w:rPr>
        <w:t xml:space="preserve"> </w:t>
      </w:r>
      <w:r w:rsidRPr="00542933">
        <w:rPr>
          <w:rFonts w:ascii="Arial" w:eastAsia="Arial" w:hAnsi="Arial" w:cs="Arial"/>
          <w:sz w:val="24"/>
          <w:szCs w:val="24"/>
          <w:lang w:val="es-ES" w:eastAsia="es-ES" w:bidi="es-ES"/>
        </w:rPr>
        <w:t>Contable,</w:t>
      </w:r>
      <w:r w:rsidRPr="00542933">
        <w:rPr>
          <w:rFonts w:ascii="Arial" w:eastAsia="Arial" w:hAnsi="Arial" w:cs="Arial"/>
          <w:spacing w:val="-17"/>
          <w:sz w:val="24"/>
          <w:szCs w:val="24"/>
          <w:lang w:val="es-ES" w:eastAsia="es-ES" w:bidi="es-ES"/>
        </w:rPr>
        <w:t xml:space="preserve"> </w:t>
      </w:r>
      <w:r w:rsidRPr="00542933">
        <w:rPr>
          <w:rFonts w:ascii="Arial" w:eastAsia="Arial" w:hAnsi="Arial" w:cs="Arial"/>
          <w:sz w:val="24"/>
          <w:szCs w:val="24"/>
          <w:lang w:val="es-ES" w:eastAsia="es-ES" w:bidi="es-ES"/>
        </w:rPr>
        <w:t>la</w:t>
      </w:r>
      <w:r w:rsidRPr="00542933">
        <w:rPr>
          <w:rFonts w:ascii="Arial" w:eastAsia="Arial" w:hAnsi="Arial" w:cs="Arial"/>
          <w:spacing w:val="-19"/>
          <w:sz w:val="24"/>
          <w:szCs w:val="24"/>
          <w:lang w:val="es-ES" w:eastAsia="es-ES" w:bidi="es-ES"/>
        </w:rPr>
        <w:t xml:space="preserve"> </w:t>
      </w:r>
      <w:r w:rsidRPr="00542933">
        <w:rPr>
          <w:rFonts w:ascii="Arial" w:eastAsia="Arial" w:hAnsi="Arial" w:cs="Arial"/>
          <w:sz w:val="24"/>
          <w:szCs w:val="24"/>
          <w:lang w:val="es-ES" w:eastAsia="es-ES" w:bidi="es-ES"/>
        </w:rPr>
        <w:t>Ley</w:t>
      </w:r>
      <w:r w:rsidRPr="00542933">
        <w:rPr>
          <w:rFonts w:ascii="Arial" w:eastAsia="Arial" w:hAnsi="Arial" w:cs="Arial"/>
          <w:spacing w:val="-3"/>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3"/>
          <w:sz w:val="24"/>
          <w:szCs w:val="24"/>
          <w:lang w:val="es-ES" w:eastAsia="es-ES" w:bidi="es-ES"/>
        </w:rPr>
        <w:t xml:space="preserve"> </w:t>
      </w:r>
      <w:r w:rsidRPr="00542933">
        <w:rPr>
          <w:rFonts w:ascii="Arial" w:eastAsia="Arial" w:hAnsi="Arial" w:cs="Arial"/>
          <w:sz w:val="24"/>
          <w:szCs w:val="24"/>
          <w:lang w:val="es-ES" w:eastAsia="es-ES" w:bidi="es-ES"/>
        </w:rPr>
        <w:t>Disciplina</w:t>
      </w:r>
      <w:r w:rsidRPr="00542933">
        <w:rPr>
          <w:rFonts w:ascii="Arial" w:eastAsia="Arial" w:hAnsi="Arial" w:cs="Arial"/>
          <w:spacing w:val="-4"/>
          <w:sz w:val="24"/>
          <w:szCs w:val="24"/>
          <w:lang w:val="es-ES" w:eastAsia="es-ES" w:bidi="es-ES"/>
        </w:rPr>
        <w:t xml:space="preserve"> </w:t>
      </w:r>
      <w:r w:rsidRPr="00542933">
        <w:rPr>
          <w:rFonts w:ascii="Arial" w:eastAsia="Arial" w:hAnsi="Arial" w:cs="Arial"/>
          <w:sz w:val="24"/>
          <w:szCs w:val="24"/>
          <w:lang w:val="es-ES" w:eastAsia="es-ES" w:bidi="es-ES"/>
        </w:rPr>
        <w:t>Financiera</w:t>
      </w:r>
      <w:r w:rsidRPr="00542933">
        <w:rPr>
          <w:rFonts w:ascii="Arial" w:eastAsia="Arial" w:hAnsi="Arial" w:cs="Arial"/>
          <w:spacing w:val="-4"/>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4"/>
          <w:sz w:val="24"/>
          <w:szCs w:val="24"/>
          <w:lang w:val="es-ES" w:eastAsia="es-ES" w:bidi="es-ES"/>
        </w:rPr>
        <w:t xml:space="preserve"> </w:t>
      </w:r>
      <w:r w:rsidRPr="00542933">
        <w:rPr>
          <w:rFonts w:ascii="Arial" w:eastAsia="Arial" w:hAnsi="Arial" w:cs="Arial"/>
          <w:sz w:val="24"/>
          <w:szCs w:val="24"/>
          <w:lang w:val="es-ES" w:eastAsia="es-ES" w:bidi="es-ES"/>
        </w:rPr>
        <w:t>las</w:t>
      </w:r>
      <w:r w:rsidRPr="00542933">
        <w:rPr>
          <w:rFonts w:ascii="Arial" w:eastAsia="Arial" w:hAnsi="Arial" w:cs="Arial"/>
          <w:spacing w:val="-3"/>
          <w:sz w:val="24"/>
          <w:szCs w:val="24"/>
          <w:lang w:val="es-ES" w:eastAsia="es-ES" w:bidi="es-ES"/>
        </w:rPr>
        <w:t xml:space="preserve"> </w:t>
      </w:r>
      <w:r w:rsidRPr="00542933">
        <w:rPr>
          <w:rFonts w:ascii="Arial" w:eastAsia="Arial" w:hAnsi="Arial" w:cs="Arial"/>
          <w:sz w:val="24"/>
          <w:szCs w:val="24"/>
          <w:lang w:val="es-ES" w:eastAsia="es-ES" w:bidi="es-ES"/>
        </w:rPr>
        <w:t>Entidades Federativas y los</w:t>
      </w:r>
      <w:r w:rsidRPr="00542933">
        <w:rPr>
          <w:rFonts w:ascii="Arial" w:eastAsia="Arial" w:hAnsi="Arial" w:cs="Arial"/>
          <w:spacing w:val="2"/>
          <w:sz w:val="24"/>
          <w:szCs w:val="24"/>
          <w:lang w:val="es-ES" w:eastAsia="es-ES" w:bidi="es-ES"/>
        </w:rPr>
        <w:t xml:space="preserve"> </w:t>
      </w:r>
      <w:r w:rsidRPr="00542933">
        <w:rPr>
          <w:rFonts w:ascii="Arial" w:eastAsia="Arial" w:hAnsi="Arial" w:cs="Arial"/>
          <w:sz w:val="24"/>
          <w:szCs w:val="24"/>
          <w:lang w:val="es-ES" w:eastAsia="es-ES" w:bidi="es-ES"/>
        </w:rPr>
        <w:t>Municipios y</w:t>
      </w:r>
      <w:r w:rsidRPr="00542933">
        <w:rPr>
          <w:rFonts w:ascii="Arial" w:eastAsia="Arial" w:hAnsi="Arial" w:cs="Arial"/>
          <w:spacing w:val="-3"/>
          <w:sz w:val="24"/>
          <w:szCs w:val="24"/>
          <w:lang w:val="es-ES" w:eastAsia="es-ES" w:bidi="es-ES"/>
        </w:rPr>
        <w:t xml:space="preserve"> </w:t>
      </w:r>
      <w:r w:rsidRPr="00542933">
        <w:rPr>
          <w:rFonts w:ascii="Arial" w:eastAsia="Arial" w:hAnsi="Arial" w:cs="Arial"/>
          <w:sz w:val="24"/>
          <w:szCs w:val="24"/>
          <w:lang w:val="es-ES" w:eastAsia="es-ES" w:bidi="es-ES"/>
        </w:rPr>
        <w:t>a</w:t>
      </w:r>
      <w:r w:rsidRPr="00542933">
        <w:rPr>
          <w:rFonts w:ascii="Arial" w:eastAsia="Arial" w:hAnsi="Arial" w:cs="Arial"/>
          <w:spacing w:val="-4"/>
          <w:sz w:val="24"/>
          <w:szCs w:val="24"/>
          <w:lang w:val="es-ES" w:eastAsia="es-ES" w:bidi="es-ES"/>
        </w:rPr>
        <w:t xml:space="preserve"> </w:t>
      </w:r>
      <w:r w:rsidRPr="00542933">
        <w:rPr>
          <w:rFonts w:ascii="Arial" w:eastAsia="Arial" w:hAnsi="Arial" w:cs="Arial"/>
          <w:sz w:val="24"/>
          <w:szCs w:val="24"/>
          <w:lang w:val="es-ES" w:eastAsia="es-ES" w:bidi="es-ES"/>
        </w:rPr>
        <w:t>la</w:t>
      </w:r>
      <w:r w:rsidRPr="00542933">
        <w:rPr>
          <w:rFonts w:ascii="Arial" w:eastAsia="Arial" w:hAnsi="Arial" w:cs="Arial"/>
          <w:spacing w:val="-4"/>
          <w:sz w:val="24"/>
          <w:szCs w:val="24"/>
          <w:lang w:val="es-ES" w:eastAsia="es-ES" w:bidi="es-ES"/>
        </w:rPr>
        <w:t xml:space="preserve"> </w:t>
      </w:r>
      <w:r w:rsidRPr="00542933">
        <w:rPr>
          <w:rFonts w:ascii="Arial" w:eastAsia="Arial" w:hAnsi="Arial" w:cs="Arial"/>
          <w:sz w:val="24"/>
          <w:szCs w:val="24"/>
          <w:lang w:val="es-ES" w:eastAsia="es-ES" w:bidi="es-ES"/>
        </w:rPr>
        <w:t>Ley</w:t>
      </w:r>
      <w:r w:rsidRPr="00542933">
        <w:rPr>
          <w:rFonts w:ascii="Arial" w:eastAsia="Arial" w:hAnsi="Arial" w:cs="Arial"/>
          <w:spacing w:val="-18"/>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9"/>
          <w:sz w:val="24"/>
          <w:szCs w:val="24"/>
          <w:lang w:val="es-ES" w:eastAsia="es-ES" w:bidi="es-ES"/>
        </w:rPr>
        <w:t xml:space="preserve"> </w:t>
      </w:r>
      <w:r w:rsidRPr="00542933">
        <w:rPr>
          <w:rFonts w:ascii="Arial" w:eastAsia="Arial" w:hAnsi="Arial" w:cs="Arial"/>
          <w:sz w:val="24"/>
          <w:szCs w:val="24"/>
          <w:lang w:val="es-ES" w:eastAsia="es-ES" w:bidi="es-ES"/>
        </w:rPr>
        <w:t>Deuda Pública</w:t>
      </w:r>
      <w:r w:rsidRPr="00542933">
        <w:rPr>
          <w:rFonts w:ascii="Arial" w:eastAsia="Arial" w:hAnsi="Arial" w:cs="Arial"/>
          <w:spacing w:val="-4"/>
          <w:sz w:val="24"/>
          <w:szCs w:val="24"/>
          <w:lang w:val="es-ES" w:eastAsia="es-ES" w:bidi="es-ES"/>
        </w:rPr>
        <w:t xml:space="preserve"> </w:t>
      </w:r>
      <w:r w:rsidRPr="00542933">
        <w:rPr>
          <w:rFonts w:ascii="Arial" w:eastAsia="Arial" w:hAnsi="Arial" w:cs="Arial"/>
          <w:sz w:val="24"/>
          <w:szCs w:val="24"/>
          <w:lang w:val="es-ES" w:eastAsia="es-ES" w:bidi="es-ES"/>
        </w:rPr>
        <w:t>del</w:t>
      </w:r>
      <w:r w:rsidRPr="00542933">
        <w:rPr>
          <w:rFonts w:ascii="Arial" w:eastAsia="Arial" w:hAnsi="Arial" w:cs="Arial"/>
          <w:spacing w:val="-4"/>
          <w:sz w:val="24"/>
          <w:szCs w:val="24"/>
          <w:lang w:val="es-ES" w:eastAsia="es-ES" w:bidi="es-ES"/>
        </w:rPr>
        <w:t xml:space="preserve"> </w:t>
      </w:r>
      <w:r w:rsidRPr="00542933">
        <w:rPr>
          <w:rFonts w:ascii="Arial" w:eastAsia="Arial" w:hAnsi="Arial" w:cs="Arial"/>
          <w:sz w:val="24"/>
          <w:szCs w:val="24"/>
          <w:lang w:val="es-ES" w:eastAsia="es-ES" w:bidi="es-ES"/>
        </w:rPr>
        <w:t>Estado</w:t>
      </w:r>
      <w:r w:rsidRPr="00542933">
        <w:rPr>
          <w:rFonts w:ascii="Arial" w:eastAsia="Arial" w:hAnsi="Arial" w:cs="Arial"/>
          <w:spacing w:val="-4"/>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4"/>
          <w:sz w:val="24"/>
          <w:szCs w:val="24"/>
          <w:lang w:val="es-ES" w:eastAsia="es-ES" w:bidi="es-ES"/>
        </w:rPr>
        <w:t xml:space="preserve"> </w:t>
      </w:r>
      <w:r w:rsidRPr="00542933">
        <w:rPr>
          <w:rFonts w:ascii="Arial" w:eastAsia="Arial" w:hAnsi="Arial" w:cs="Arial"/>
          <w:sz w:val="24"/>
          <w:szCs w:val="24"/>
          <w:lang w:val="es-ES" w:eastAsia="es-ES" w:bidi="es-ES"/>
        </w:rPr>
        <w:t>Quintana</w:t>
      </w:r>
      <w:r w:rsidRPr="00542933">
        <w:rPr>
          <w:rFonts w:ascii="Arial" w:eastAsia="Arial" w:hAnsi="Arial" w:cs="Arial"/>
          <w:spacing w:val="-3"/>
          <w:sz w:val="24"/>
          <w:szCs w:val="24"/>
          <w:lang w:val="es-ES" w:eastAsia="es-ES" w:bidi="es-ES"/>
        </w:rPr>
        <w:t xml:space="preserve"> </w:t>
      </w:r>
      <w:r w:rsidRPr="00542933">
        <w:rPr>
          <w:rFonts w:ascii="Arial" w:eastAsia="Arial" w:hAnsi="Arial" w:cs="Arial"/>
          <w:sz w:val="24"/>
          <w:szCs w:val="24"/>
          <w:lang w:val="es-ES" w:eastAsia="es-ES" w:bidi="es-ES"/>
        </w:rPr>
        <w:t>Roo</w:t>
      </w:r>
      <w:r w:rsidRPr="00542933">
        <w:rPr>
          <w:rFonts w:ascii="Arial" w:eastAsia="Arial" w:hAnsi="Arial" w:cs="Arial"/>
          <w:spacing w:val="-4"/>
          <w:sz w:val="24"/>
          <w:szCs w:val="24"/>
          <w:lang w:val="es-ES" w:eastAsia="es-ES" w:bidi="es-ES"/>
        </w:rPr>
        <w:t>.</w:t>
      </w:r>
    </w:p>
    <w:p w14:paraId="6DDF2F7B" w14:textId="77777777" w:rsidR="00542933" w:rsidRPr="00542933" w:rsidRDefault="00542933" w:rsidP="00542933">
      <w:pPr>
        <w:widowControl w:val="0"/>
        <w:autoSpaceDE w:val="0"/>
        <w:autoSpaceDN w:val="0"/>
        <w:spacing w:after="0" w:line="240" w:lineRule="auto"/>
        <w:ind w:right="142"/>
        <w:rPr>
          <w:rFonts w:ascii="Arial" w:eastAsia="Arial" w:hAnsi="Arial" w:cs="Arial"/>
          <w:sz w:val="26"/>
          <w:szCs w:val="24"/>
          <w:lang w:val="es-ES" w:eastAsia="es-ES" w:bidi="es-ES"/>
        </w:rPr>
      </w:pPr>
    </w:p>
    <w:p w14:paraId="262D826A" w14:textId="77777777" w:rsidR="00542933" w:rsidRPr="00BD18A2" w:rsidRDefault="00542933" w:rsidP="00683FD0">
      <w:pPr>
        <w:pStyle w:val="Ttulo2"/>
        <w:numPr>
          <w:ilvl w:val="0"/>
          <w:numId w:val="22"/>
        </w:numPr>
        <w:jc w:val="both"/>
        <w:rPr>
          <w:rFonts w:ascii="Arial" w:hAnsi="Arial" w:cs="Arial"/>
          <w:b/>
          <w:color w:val="auto"/>
        </w:rPr>
      </w:pPr>
      <w:bookmarkStart w:id="42" w:name="_TOC_250012"/>
      <w:bookmarkStart w:id="43" w:name="_Toc158567488"/>
      <w:r w:rsidRPr="00BD18A2">
        <w:rPr>
          <w:rFonts w:ascii="Arial" w:hAnsi="Arial" w:cs="Arial"/>
          <w:b/>
          <w:color w:val="auto"/>
        </w:rPr>
        <w:t xml:space="preserve">Informe de la Deuda Pública Fiscalizable del Gobierno del Estado de </w:t>
      </w:r>
      <w:bookmarkEnd w:id="42"/>
      <w:r w:rsidRPr="00BD18A2">
        <w:rPr>
          <w:rFonts w:ascii="Arial" w:hAnsi="Arial" w:cs="Arial"/>
          <w:b/>
          <w:color w:val="auto"/>
        </w:rPr>
        <w:t>Quintana Roo</w:t>
      </w:r>
      <w:bookmarkEnd w:id="43"/>
    </w:p>
    <w:p w14:paraId="3AF0D262" w14:textId="77777777" w:rsidR="00542933" w:rsidRPr="00542933" w:rsidRDefault="00542933" w:rsidP="00542933">
      <w:pPr>
        <w:widowControl w:val="0"/>
        <w:autoSpaceDE w:val="0"/>
        <w:autoSpaceDN w:val="0"/>
        <w:spacing w:after="0" w:line="240" w:lineRule="auto"/>
        <w:ind w:right="142"/>
        <w:rPr>
          <w:rFonts w:ascii="Arial" w:eastAsia="Arial" w:hAnsi="Arial" w:cs="Arial"/>
          <w:b/>
          <w:sz w:val="26"/>
          <w:szCs w:val="24"/>
          <w:lang w:val="es-ES" w:eastAsia="es-ES" w:bidi="es-ES"/>
        </w:rPr>
      </w:pPr>
    </w:p>
    <w:p w14:paraId="43C3C415" w14:textId="77777777" w:rsidR="00542933" w:rsidRPr="00542933" w:rsidRDefault="00542933" w:rsidP="00BD18A2">
      <w:pPr>
        <w:widowControl w:val="0"/>
        <w:autoSpaceDE w:val="0"/>
        <w:autoSpaceDN w:val="0"/>
        <w:spacing w:before="181" w:after="0" w:line="240" w:lineRule="auto"/>
        <w:ind w:left="284" w:right="142"/>
        <w:jc w:val="both"/>
        <w:outlineLvl w:val="3"/>
        <w:rPr>
          <w:rFonts w:ascii="Arial" w:eastAsia="Arial" w:hAnsi="Arial" w:cs="Arial"/>
          <w:b/>
          <w:bCs/>
          <w:sz w:val="24"/>
          <w:szCs w:val="24"/>
          <w:lang w:val="es-ES" w:eastAsia="es-ES" w:bidi="es-ES"/>
        </w:rPr>
      </w:pPr>
      <w:bookmarkStart w:id="44" w:name="_TOC_250011"/>
      <w:bookmarkEnd w:id="44"/>
      <w:r w:rsidRPr="00542933">
        <w:rPr>
          <w:rFonts w:ascii="Arial" w:eastAsia="Arial" w:hAnsi="Arial" w:cs="Arial"/>
          <w:b/>
          <w:bCs/>
          <w:sz w:val="24"/>
          <w:szCs w:val="24"/>
          <w:lang w:val="es-ES" w:eastAsia="es-ES" w:bidi="es-ES"/>
        </w:rPr>
        <w:t>I.- Deuda Pública del Sector Estatal</w:t>
      </w:r>
    </w:p>
    <w:p w14:paraId="4846223C" w14:textId="77777777" w:rsidR="00542933" w:rsidRPr="00542933" w:rsidRDefault="00542933" w:rsidP="00542933">
      <w:pPr>
        <w:widowControl w:val="0"/>
        <w:autoSpaceDE w:val="0"/>
        <w:autoSpaceDN w:val="0"/>
        <w:spacing w:before="4" w:after="0" w:line="240" w:lineRule="auto"/>
        <w:ind w:right="142"/>
        <w:rPr>
          <w:rFonts w:ascii="Arial" w:eastAsia="Arial" w:hAnsi="Arial" w:cs="Arial"/>
          <w:b/>
          <w:sz w:val="32"/>
          <w:szCs w:val="24"/>
          <w:lang w:val="es-ES" w:eastAsia="es-ES" w:bidi="es-ES"/>
        </w:rPr>
      </w:pPr>
    </w:p>
    <w:p w14:paraId="459C3203" w14:textId="77777777" w:rsidR="00542933" w:rsidRPr="00542933" w:rsidRDefault="00542933" w:rsidP="00BD18A2">
      <w:pPr>
        <w:widowControl w:val="0"/>
        <w:autoSpaceDE w:val="0"/>
        <w:autoSpaceDN w:val="0"/>
        <w:spacing w:after="0" w:line="276" w:lineRule="auto"/>
        <w:ind w:left="284" w:right="142"/>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En términos de los artículos 1, fracción IV; 2, fracción I; 6, fracción XII; 16, fracción I, inciso</w:t>
      </w:r>
      <w:r w:rsidRPr="00542933">
        <w:rPr>
          <w:rFonts w:ascii="Arial" w:eastAsia="Arial" w:hAnsi="Arial" w:cs="Arial"/>
          <w:spacing w:val="-7"/>
          <w:sz w:val="24"/>
          <w:szCs w:val="24"/>
          <w:lang w:val="es-ES" w:eastAsia="es-ES" w:bidi="es-ES"/>
        </w:rPr>
        <w:t xml:space="preserve"> </w:t>
      </w:r>
      <w:r w:rsidRPr="00542933">
        <w:rPr>
          <w:rFonts w:ascii="Arial" w:eastAsia="Arial" w:hAnsi="Arial" w:cs="Arial"/>
          <w:sz w:val="24"/>
          <w:szCs w:val="24"/>
          <w:lang w:val="es-ES" w:eastAsia="es-ES" w:bidi="es-ES"/>
        </w:rPr>
        <w:t>g),</w:t>
      </w:r>
      <w:r w:rsidRPr="00542933">
        <w:rPr>
          <w:rFonts w:ascii="Arial" w:eastAsia="Arial" w:hAnsi="Arial" w:cs="Arial"/>
          <w:spacing w:val="-8"/>
          <w:sz w:val="24"/>
          <w:szCs w:val="24"/>
          <w:lang w:val="es-ES" w:eastAsia="es-ES" w:bidi="es-ES"/>
        </w:rPr>
        <w:t xml:space="preserve"> </w:t>
      </w:r>
      <w:r w:rsidRPr="00542933">
        <w:rPr>
          <w:rFonts w:ascii="Arial" w:eastAsia="Arial" w:hAnsi="Arial" w:cs="Arial"/>
          <w:sz w:val="24"/>
          <w:szCs w:val="24"/>
          <w:lang w:val="es-ES" w:eastAsia="es-ES" w:bidi="es-ES"/>
        </w:rPr>
        <w:t>y</w:t>
      </w:r>
      <w:r w:rsidRPr="00542933">
        <w:rPr>
          <w:rFonts w:ascii="Arial" w:eastAsia="Arial" w:hAnsi="Arial" w:cs="Arial"/>
          <w:spacing w:val="-8"/>
          <w:sz w:val="24"/>
          <w:szCs w:val="24"/>
          <w:lang w:val="es-ES" w:eastAsia="es-ES" w:bidi="es-ES"/>
        </w:rPr>
        <w:t xml:space="preserve"> </w:t>
      </w:r>
      <w:r w:rsidRPr="00542933">
        <w:rPr>
          <w:rFonts w:ascii="Arial" w:eastAsia="Arial" w:hAnsi="Arial" w:cs="Arial"/>
          <w:sz w:val="24"/>
          <w:szCs w:val="24"/>
          <w:lang w:val="es-ES" w:eastAsia="es-ES" w:bidi="es-ES"/>
        </w:rPr>
        <w:t>19,</w:t>
      </w:r>
      <w:r w:rsidRPr="00542933">
        <w:rPr>
          <w:rFonts w:ascii="Arial" w:eastAsia="Arial" w:hAnsi="Arial" w:cs="Arial"/>
          <w:spacing w:val="-8"/>
          <w:sz w:val="24"/>
          <w:szCs w:val="24"/>
          <w:lang w:val="es-ES" w:eastAsia="es-ES" w:bidi="es-ES"/>
        </w:rPr>
        <w:t xml:space="preserve"> </w:t>
      </w:r>
      <w:r w:rsidRPr="00542933">
        <w:rPr>
          <w:rFonts w:ascii="Arial" w:eastAsia="Arial" w:hAnsi="Arial" w:cs="Arial"/>
          <w:sz w:val="24"/>
          <w:szCs w:val="24"/>
          <w:lang w:val="es-ES" w:eastAsia="es-ES" w:bidi="es-ES"/>
        </w:rPr>
        <w:t>fracción</w:t>
      </w:r>
      <w:r w:rsidRPr="00542933">
        <w:rPr>
          <w:rFonts w:ascii="Arial" w:eastAsia="Arial" w:hAnsi="Arial" w:cs="Arial"/>
          <w:spacing w:val="-10"/>
          <w:sz w:val="24"/>
          <w:szCs w:val="24"/>
          <w:lang w:val="es-ES" w:eastAsia="es-ES" w:bidi="es-ES"/>
        </w:rPr>
        <w:t xml:space="preserve"> </w:t>
      </w:r>
      <w:r w:rsidRPr="00542933">
        <w:rPr>
          <w:rFonts w:ascii="Arial" w:eastAsia="Arial" w:hAnsi="Arial" w:cs="Arial"/>
          <w:sz w:val="24"/>
          <w:szCs w:val="24"/>
          <w:lang w:val="es-ES" w:eastAsia="es-ES" w:bidi="es-ES"/>
        </w:rPr>
        <w:t>VII,</w:t>
      </w:r>
      <w:r w:rsidRPr="00542933">
        <w:rPr>
          <w:rFonts w:ascii="Arial" w:eastAsia="Arial" w:hAnsi="Arial" w:cs="Arial"/>
          <w:spacing w:val="-8"/>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0"/>
          <w:sz w:val="24"/>
          <w:szCs w:val="24"/>
          <w:lang w:val="es-ES" w:eastAsia="es-ES" w:bidi="es-ES"/>
        </w:rPr>
        <w:t xml:space="preserve"> </w:t>
      </w:r>
      <w:r w:rsidRPr="00542933">
        <w:rPr>
          <w:rFonts w:ascii="Arial" w:eastAsia="Arial" w:hAnsi="Arial" w:cs="Arial"/>
          <w:sz w:val="24"/>
          <w:szCs w:val="24"/>
          <w:lang w:val="es-ES" w:eastAsia="es-ES" w:bidi="es-ES"/>
        </w:rPr>
        <w:t>la</w:t>
      </w:r>
      <w:r w:rsidRPr="00542933">
        <w:rPr>
          <w:rFonts w:ascii="Arial" w:eastAsia="Arial" w:hAnsi="Arial" w:cs="Arial"/>
          <w:spacing w:val="-7"/>
          <w:sz w:val="24"/>
          <w:szCs w:val="24"/>
          <w:lang w:val="es-ES" w:eastAsia="es-ES" w:bidi="es-ES"/>
        </w:rPr>
        <w:t xml:space="preserve"> </w:t>
      </w:r>
      <w:r w:rsidRPr="00542933">
        <w:rPr>
          <w:rFonts w:ascii="Arial" w:eastAsia="Arial" w:hAnsi="Arial" w:cs="Arial"/>
          <w:sz w:val="24"/>
          <w:szCs w:val="24"/>
          <w:lang w:val="es-ES" w:eastAsia="es-ES" w:bidi="es-ES"/>
        </w:rPr>
        <w:t>Ley</w:t>
      </w:r>
      <w:r w:rsidRPr="00542933">
        <w:rPr>
          <w:rFonts w:ascii="Arial" w:eastAsia="Arial" w:hAnsi="Arial" w:cs="Arial"/>
          <w:spacing w:val="-9"/>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0"/>
          <w:sz w:val="24"/>
          <w:szCs w:val="24"/>
          <w:lang w:val="es-ES" w:eastAsia="es-ES" w:bidi="es-ES"/>
        </w:rPr>
        <w:t xml:space="preserve"> </w:t>
      </w:r>
      <w:r w:rsidRPr="00542933">
        <w:rPr>
          <w:rFonts w:ascii="Arial" w:eastAsia="Arial" w:hAnsi="Arial" w:cs="Arial"/>
          <w:sz w:val="24"/>
          <w:szCs w:val="24"/>
          <w:lang w:val="es-ES" w:eastAsia="es-ES" w:bidi="es-ES"/>
        </w:rPr>
        <w:t>Fiscalización</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y</w:t>
      </w:r>
      <w:r w:rsidRPr="00542933">
        <w:rPr>
          <w:rFonts w:ascii="Arial" w:eastAsia="Arial" w:hAnsi="Arial" w:cs="Arial"/>
          <w:spacing w:val="-8"/>
          <w:sz w:val="24"/>
          <w:szCs w:val="24"/>
          <w:lang w:val="es-ES" w:eastAsia="es-ES" w:bidi="es-ES"/>
        </w:rPr>
        <w:t xml:space="preserve"> </w:t>
      </w:r>
      <w:r w:rsidRPr="00542933">
        <w:rPr>
          <w:rFonts w:ascii="Arial" w:eastAsia="Arial" w:hAnsi="Arial" w:cs="Arial"/>
          <w:sz w:val="24"/>
          <w:szCs w:val="24"/>
          <w:lang w:val="es-ES" w:eastAsia="es-ES" w:bidi="es-ES"/>
        </w:rPr>
        <w:t>Rendición</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6"/>
          <w:sz w:val="24"/>
          <w:szCs w:val="24"/>
          <w:lang w:val="es-ES" w:eastAsia="es-ES" w:bidi="es-ES"/>
        </w:rPr>
        <w:t xml:space="preserve"> </w:t>
      </w:r>
      <w:r w:rsidRPr="00542933">
        <w:rPr>
          <w:rFonts w:ascii="Arial" w:eastAsia="Arial" w:hAnsi="Arial" w:cs="Arial"/>
          <w:sz w:val="24"/>
          <w:szCs w:val="24"/>
          <w:lang w:val="es-ES" w:eastAsia="es-ES" w:bidi="es-ES"/>
        </w:rPr>
        <w:t>Cuentas</w:t>
      </w:r>
      <w:r w:rsidRPr="00542933">
        <w:rPr>
          <w:rFonts w:ascii="Arial" w:eastAsia="Arial" w:hAnsi="Arial" w:cs="Arial"/>
          <w:spacing w:val="-9"/>
          <w:sz w:val="24"/>
          <w:szCs w:val="24"/>
          <w:lang w:val="es-ES" w:eastAsia="es-ES" w:bidi="es-ES"/>
        </w:rPr>
        <w:t xml:space="preserve"> </w:t>
      </w:r>
      <w:r w:rsidRPr="00542933">
        <w:rPr>
          <w:rFonts w:ascii="Arial" w:eastAsia="Arial" w:hAnsi="Arial" w:cs="Arial"/>
          <w:sz w:val="24"/>
          <w:szCs w:val="24"/>
          <w:lang w:val="es-ES" w:eastAsia="es-ES" w:bidi="es-ES"/>
        </w:rPr>
        <w:t>del</w:t>
      </w:r>
      <w:r w:rsidRPr="00542933">
        <w:rPr>
          <w:rFonts w:ascii="Arial" w:eastAsia="Arial" w:hAnsi="Arial" w:cs="Arial"/>
          <w:spacing w:val="-10"/>
          <w:sz w:val="24"/>
          <w:szCs w:val="24"/>
          <w:lang w:val="es-ES" w:eastAsia="es-ES" w:bidi="es-ES"/>
        </w:rPr>
        <w:t xml:space="preserve"> </w:t>
      </w:r>
      <w:r w:rsidRPr="00542933">
        <w:rPr>
          <w:rFonts w:ascii="Arial" w:eastAsia="Arial" w:hAnsi="Arial" w:cs="Arial"/>
          <w:sz w:val="24"/>
          <w:szCs w:val="24"/>
          <w:lang w:val="es-ES" w:eastAsia="es-ES" w:bidi="es-ES"/>
        </w:rPr>
        <w:t>Estado de Quintana Roo, la Auditoría Superior del Estado de Quintana Roo revisa la gestión financiera de los recursos provenientes de financiamientos contratados por el estado y los municipios que lo</w:t>
      </w:r>
      <w:r w:rsidRPr="00542933">
        <w:rPr>
          <w:rFonts w:ascii="Arial" w:eastAsia="Arial" w:hAnsi="Arial" w:cs="Arial"/>
          <w:spacing w:val="-2"/>
          <w:sz w:val="24"/>
          <w:szCs w:val="24"/>
          <w:lang w:val="es-ES" w:eastAsia="es-ES" w:bidi="es-ES"/>
        </w:rPr>
        <w:t xml:space="preserve"> </w:t>
      </w:r>
      <w:r w:rsidRPr="00542933">
        <w:rPr>
          <w:rFonts w:ascii="Arial" w:eastAsia="Arial" w:hAnsi="Arial" w:cs="Arial"/>
          <w:sz w:val="24"/>
          <w:szCs w:val="24"/>
          <w:lang w:val="es-ES" w:eastAsia="es-ES" w:bidi="es-ES"/>
        </w:rPr>
        <w:t>integran.</w:t>
      </w:r>
    </w:p>
    <w:p w14:paraId="14376B3E" w14:textId="77777777" w:rsidR="00542933" w:rsidRPr="00542933" w:rsidRDefault="00542933" w:rsidP="00BD18A2">
      <w:pPr>
        <w:widowControl w:val="0"/>
        <w:autoSpaceDE w:val="0"/>
        <w:autoSpaceDN w:val="0"/>
        <w:spacing w:after="0" w:line="276" w:lineRule="auto"/>
        <w:ind w:left="284" w:right="142"/>
        <w:jc w:val="both"/>
        <w:rPr>
          <w:rFonts w:ascii="Arial" w:eastAsia="Arial" w:hAnsi="Arial" w:cs="Arial"/>
          <w:sz w:val="24"/>
          <w:szCs w:val="24"/>
          <w:lang w:val="es-ES" w:eastAsia="es-ES" w:bidi="es-ES"/>
        </w:rPr>
      </w:pPr>
    </w:p>
    <w:p w14:paraId="2D19EE4F" w14:textId="77777777" w:rsidR="00542933" w:rsidRPr="00542933" w:rsidRDefault="00542933" w:rsidP="00BD18A2">
      <w:pPr>
        <w:widowControl w:val="0"/>
        <w:autoSpaceDE w:val="0"/>
        <w:autoSpaceDN w:val="0"/>
        <w:spacing w:after="0" w:line="276" w:lineRule="auto"/>
        <w:ind w:left="284" w:right="142"/>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A continuación, se presenta el resultado del análisis general y agregado de la dinámica de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la</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deuda</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pública</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del</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Gobierno</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del</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Estado</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Quintana</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Roo,</w:t>
      </w:r>
      <w:r w:rsidRPr="00542933">
        <w:rPr>
          <w:rFonts w:ascii="Arial" w:eastAsia="Arial" w:hAnsi="Arial" w:cs="Arial"/>
          <w:spacing w:val="-13"/>
          <w:sz w:val="24"/>
          <w:szCs w:val="24"/>
          <w:lang w:val="es-ES" w:eastAsia="es-ES" w:bidi="es-ES"/>
        </w:rPr>
        <w:t xml:space="preserve"> </w:t>
      </w:r>
      <w:r w:rsidRPr="00542933">
        <w:rPr>
          <w:rFonts w:ascii="Arial" w:eastAsia="Arial" w:hAnsi="Arial" w:cs="Arial"/>
          <w:sz w:val="24"/>
          <w:szCs w:val="24"/>
          <w:lang w:val="es-ES" w:eastAsia="es-ES" w:bidi="es-ES"/>
        </w:rPr>
        <w:t>registrada</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en</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la</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Secretaría de Finanzas y Planeación, así como los resultados de las auditorías practicadas por la ASEQROO al respecto.</w:t>
      </w:r>
    </w:p>
    <w:p w14:paraId="56D81CCC" w14:textId="77777777" w:rsidR="00542933" w:rsidRPr="00542933" w:rsidRDefault="00542933" w:rsidP="00542933">
      <w:pPr>
        <w:widowControl w:val="0"/>
        <w:autoSpaceDE w:val="0"/>
        <w:autoSpaceDN w:val="0"/>
        <w:spacing w:after="0" w:line="240" w:lineRule="auto"/>
        <w:ind w:right="142"/>
        <w:rPr>
          <w:rFonts w:ascii="Arial" w:eastAsia="Arial" w:hAnsi="Arial" w:cs="Arial"/>
          <w:sz w:val="26"/>
          <w:szCs w:val="24"/>
          <w:lang w:val="es-ES" w:eastAsia="es-ES" w:bidi="es-ES"/>
        </w:rPr>
      </w:pPr>
    </w:p>
    <w:p w14:paraId="3BD59E9E" w14:textId="77777777" w:rsidR="00542933" w:rsidRPr="00542933" w:rsidRDefault="00542933" w:rsidP="00542933">
      <w:pPr>
        <w:widowControl w:val="0"/>
        <w:autoSpaceDE w:val="0"/>
        <w:autoSpaceDN w:val="0"/>
        <w:spacing w:before="5" w:after="0" w:line="240" w:lineRule="auto"/>
        <w:ind w:right="142"/>
        <w:rPr>
          <w:rFonts w:ascii="Arial" w:eastAsia="Arial" w:hAnsi="Arial" w:cs="Arial"/>
          <w:sz w:val="20"/>
          <w:szCs w:val="24"/>
          <w:lang w:val="es-ES" w:eastAsia="es-ES" w:bidi="es-ES"/>
        </w:rPr>
      </w:pPr>
    </w:p>
    <w:p w14:paraId="0D32EB71" w14:textId="77777777" w:rsidR="00542933" w:rsidRPr="00542933" w:rsidRDefault="00542933" w:rsidP="00BD18A2">
      <w:pPr>
        <w:widowControl w:val="0"/>
        <w:autoSpaceDE w:val="0"/>
        <w:autoSpaceDN w:val="0"/>
        <w:spacing w:after="0" w:line="240" w:lineRule="auto"/>
        <w:ind w:left="567" w:right="142"/>
        <w:jc w:val="both"/>
        <w:rPr>
          <w:rFonts w:ascii="Arial" w:eastAsia="Arial" w:hAnsi="Arial" w:cs="Arial"/>
          <w:b/>
          <w:sz w:val="24"/>
          <w:lang w:val="es-ES" w:eastAsia="es-ES" w:bidi="es-ES"/>
        </w:rPr>
      </w:pPr>
      <w:r w:rsidRPr="00542933">
        <w:rPr>
          <w:rFonts w:ascii="Arial" w:eastAsia="Arial" w:hAnsi="Arial" w:cs="Arial"/>
          <w:b/>
          <w:sz w:val="24"/>
          <w:lang w:val="es-ES" w:eastAsia="es-ES" w:bidi="es-ES"/>
        </w:rPr>
        <w:t>I.I.- Deuda Pública Estatal Contratada</w:t>
      </w:r>
    </w:p>
    <w:p w14:paraId="757F11EF" w14:textId="77777777" w:rsidR="00542933" w:rsidRPr="00542933" w:rsidRDefault="00542933" w:rsidP="00BD18A2">
      <w:pPr>
        <w:widowControl w:val="0"/>
        <w:autoSpaceDE w:val="0"/>
        <w:autoSpaceDN w:val="0"/>
        <w:spacing w:after="0" w:line="240" w:lineRule="auto"/>
        <w:ind w:left="567" w:right="142"/>
        <w:jc w:val="both"/>
        <w:rPr>
          <w:rFonts w:ascii="Arial" w:eastAsia="Arial" w:hAnsi="Arial" w:cs="Arial"/>
          <w:b/>
          <w:lang w:val="es-ES" w:eastAsia="es-ES" w:bidi="es-ES"/>
        </w:rPr>
      </w:pPr>
    </w:p>
    <w:p w14:paraId="26DFED65" w14:textId="77777777" w:rsidR="00542933" w:rsidRPr="00542933" w:rsidRDefault="00542933" w:rsidP="00BD18A2">
      <w:pPr>
        <w:widowControl w:val="0"/>
        <w:autoSpaceDE w:val="0"/>
        <w:autoSpaceDN w:val="0"/>
        <w:spacing w:after="0" w:line="276" w:lineRule="auto"/>
        <w:ind w:left="567" w:right="142"/>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Durante el ejercicio fiscal 2022, no se contrató deuda a</w:t>
      </w:r>
      <w:r w:rsidRPr="00542933">
        <w:rPr>
          <w:rFonts w:ascii="Arial" w:eastAsia="Arial" w:hAnsi="Arial" w:cs="Arial"/>
          <w:b/>
          <w:sz w:val="24"/>
          <w:szCs w:val="24"/>
          <w:lang w:val="es-ES" w:eastAsia="es-ES" w:bidi="es-ES"/>
        </w:rPr>
        <w:t xml:space="preserve"> largo plazo</w:t>
      </w:r>
      <w:r w:rsidRPr="00542933">
        <w:rPr>
          <w:rFonts w:ascii="Arial" w:eastAsia="Arial" w:hAnsi="Arial" w:cs="Arial"/>
          <w:sz w:val="24"/>
          <w:szCs w:val="24"/>
          <w:lang w:val="es-ES" w:eastAsia="es-ES" w:bidi="es-ES"/>
        </w:rPr>
        <w:t>. Sin embargo, se realizaron dos disposiciones derivadas del Decreto 102 publicado en el Periódico Oficial el 13 de marzo de 2021, como se describe a continuación:</w:t>
      </w:r>
    </w:p>
    <w:p w14:paraId="77A300FF" w14:textId="77777777" w:rsidR="00542933" w:rsidRPr="00542933" w:rsidRDefault="00542933" w:rsidP="00542933">
      <w:pPr>
        <w:widowControl w:val="0"/>
        <w:autoSpaceDE w:val="0"/>
        <w:autoSpaceDN w:val="0"/>
        <w:spacing w:after="0" w:line="276" w:lineRule="auto"/>
        <w:ind w:right="142"/>
        <w:jc w:val="both"/>
        <w:rPr>
          <w:rFonts w:ascii="Arial" w:eastAsia="Arial" w:hAnsi="Arial" w:cs="Arial"/>
          <w:sz w:val="24"/>
          <w:szCs w:val="24"/>
          <w:lang w:val="es-ES" w:eastAsia="es-ES" w:bidi="es-ES"/>
        </w:rPr>
      </w:pPr>
    </w:p>
    <w:p w14:paraId="436A3783" w14:textId="77777777" w:rsidR="00542933" w:rsidRPr="00156241" w:rsidRDefault="00542933" w:rsidP="00156241">
      <w:pPr>
        <w:widowControl w:val="0"/>
        <w:numPr>
          <w:ilvl w:val="0"/>
          <w:numId w:val="29"/>
        </w:numPr>
        <w:autoSpaceDE w:val="0"/>
        <w:autoSpaceDN w:val="0"/>
        <w:spacing w:after="0" w:line="276" w:lineRule="auto"/>
        <w:ind w:left="851" w:right="142"/>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Disposición de fecha 25 de febrero de 2022, realizada con el Banco Banobras S.N.C., derivado del contrato REOF-004-2021 por un importe de $101,448,683.76 (Son: Ciento un millones cuatrocientos cuarenta y ocho mil seiscientos ochenta y tres pesos 76/100 Moneda Nacional).</w:t>
      </w:r>
    </w:p>
    <w:p w14:paraId="5CE0869D" w14:textId="77777777" w:rsidR="00542933" w:rsidRPr="00542933" w:rsidRDefault="00542933" w:rsidP="00683FD0">
      <w:pPr>
        <w:widowControl w:val="0"/>
        <w:numPr>
          <w:ilvl w:val="0"/>
          <w:numId w:val="29"/>
        </w:numPr>
        <w:autoSpaceDE w:val="0"/>
        <w:autoSpaceDN w:val="0"/>
        <w:spacing w:after="0" w:line="276" w:lineRule="auto"/>
        <w:ind w:left="851" w:right="142"/>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lastRenderedPageBreak/>
        <w:t>Disposición de fecha 26 de mayo de 2022, realizada con el Banco Banobras S.N.C., derivado del contrato REOF-004-2021 por un importe de $74,247,609.65 (Son: Setenta y cuatro millones doscientos cuarenta y siete mil seiscientos nueve pesos 65/100 Moneda Nacional).</w:t>
      </w:r>
    </w:p>
    <w:p w14:paraId="2C990FB3" w14:textId="77777777" w:rsidR="00542933" w:rsidRPr="00542933" w:rsidRDefault="00542933" w:rsidP="00542933">
      <w:pPr>
        <w:widowControl w:val="0"/>
        <w:autoSpaceDE w:val="0"/>
        <w:autoSpaceDN w:val="0"/>
        <w:spacing w:after="0" w:line="276" w:lineRule="auto"/>
        <w:ind w:left="426" w:right="142"/>
        <w:jc w:val="both"/>
        <w:rPr>
          <w:rFonts w:ascii="Arial" w:eastAsia="Arial" w:hAnsi="Arial" w:cs="Arial"/>
          <w:sz w:val="24"/>
          <w:szCs w:val="24"/>
          <w:lang w:val="es-ES" w:eastAsia="es-ES" w:bidi="es-ES"/>
        </w:rPr>
      </w:pPr>
    </w:p>
    <w:p w14:paraId="06FC17A1" w14:textId="77777777" w:rsidR="00542933" w:rsidRPr="00542933" w:rsidRDefault="00542933" w:rsidP="00542933">
      <w:pPr>
        <w:widowControl w:val="0"/>
        <w:autoSpaceDE w:val="0"/>
        <w:autoSpaceDN w:val="0"/>
        <w:spacing w:after="0" w:line="276" w:lineRule="auto"/>
        <w:ind w:left="426" w:right="142"/>
        <w:jc w:val="both"/>
        <w:rPr>
          <w:rFonts w:ascii="Arial" w:eastAsia="Arial" w:hAnsi="Arial" w:cs="Arial"/>
          <w:spacing w:val="-8"/>
          <w:sz w:val="24"/>
          <w:szCs w:val="24"/>
          <w:lang w:val="es-ES" w:eastAsia="es-ES" w:bidi="es-ES"/>
        </w:rPr>
      </w:pPr>
      <w:r w:rsidRPr="00542933">
        <w:rPr>
          <w:rFonts w:ascii="Arial" w:eastAsia="Arial" w:hAnsi="Arial" w:cs="Arial"/>
          <w:sz w:val="24"/>
          <w:szCs w:val="24"/>
          <w:lang w:val="es-ES" w:eastAsia="es-ES" w:bidi="es-ES"/>
        </w:rPr>
        <w:t xml:space="preserve">Durante el ejercicio fiscal 2022, se contrató deuda a </w:t>
      </w:r>
      <w:r w:rsidRPr="00542933">
        <w:rPr>
          <w:rFonts w:ascii="Arial" w:eastAsia="Arial" w:hAnsi="Arial" w:cs="Arial"/>
          <w:b/>
          <w:sz w:val="24"/>
          <w:szCs w:val="24"/>
          <w:lang w:val="es-ES" w:eastAsia="es-ES" w:bidi="es-ES"/>
        </w:rPr>
        <w:t>corto plazo</w:t>
      </w:r>
      <w:r w:rsidRPr="00542933">
        <w:rPr>
          <w:rFonts w:ascii="Arial" w:eastAsia="Arial" w:hAnsi="Arial" w:cs="Arial"/>
          <w:sz w:val="24"/>
          <w:szCs w:val="24"/>
          <w:lang w:val="es-ES" w:eastAsia="es-ES" w:bidi="es-ES"/>
        </w:rPr>
        <w:t>, a través de la adquisición</w:t>
      </w:r>
      <w:r w:rsidRPr="00542933">
        <w:rPr>
          <w:rFonts w:ascii="Arial" w:eastAsia="Arial" w:hAnsi="Arial" w:cs="Arial"/>
          <w:spacing w:val="-10"/>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0"/>
          <w:sz w:val="24"/>
          <w:szCs w:val="24"/>
          <w:lang w:val="es-ES" w:eastAsia="es-ES" w:bidi="es-ES"/>
        </w:rPr>
        <w:t xml:space="preserve"> </w:t>
      </w:r>
      <w:r w:rsidRPr="00542933">
        <w:rPr>
          <w:rFonts w:ascii="Arial" w:eastAsia="Arial" w:hAnsi="Arial" w:cs="Arial"/>
          <w:sz w:val="24"/>
          <w:szCs w:val="24"/>
          <w:lang w:val="es-ES" w:eastAsia="es-ES" w:bidi="es-ES"/>
        </w:rPr>
        <w:t>tres</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financiamientos,</w:t>
      </w:r>
      <w:r w:rsidRPr="00542933">
        <w:rPr>
          <w:rFonts w:ascii="Arial" w:eastAsia="Arial" w:hAnsi="Arial" w:cs="Arial"/>
          <w:spacing w:val="-9"/>
          <w:sz w:val="24"/>
          <w:szCs w:val="24"/>
          <w:lang w:val="es-ES" w:eastAsia="es-ES" w:bidi="es-ES"/>
        </w:rPr>
        <w:t xml:space="preserve"> </w:t>
      </w:r>
      <w:r w:rsidRPr="00542933">
        <w:rPr>
          <w:rFonts w:ascii="Arial" w:eastAsia="Arial" w:hAnsi="Arial" w:cs="Arial"/>
          <w:sz w:val="24"/>
          <w:szCs w:val="24"/>
          <w:lang w:val="es-ES" w:eastAsia="es-ES" w:bidi="es-ES"/>
        </w:rPr>
        <w:t>como a continuación se describe:</w:t>
      </w:r>
      <w:r w:rsidRPr="00542933">
        <w:rPr>
          <w:rFonts w:ascii="Arial" w:eastAsia="Arial" w:hAnsi="Arial" w:cs="Arial"/>
          <w:spacing w:val="-8"/>
          <w:sz w:val="24"/>
          <w:szCs w:val="24"/>
          <w:lang w:val="es-ES" w:eastAsia="es-ES" w:bidi="es-ES"/>
        </w:rPr>
        <w:t xml:space="preserve"> </w:t>
      </w:r>
    </w:p>
    <w:p w14:paraId="1023278D" w14:textId="77777777" w:rsidR="00542933" w:rsidRPr="00542933" w:rsidRDefault="00542933" w:rsidP="00542933">
      <w:pPr>
        <w:widowControl w:val="0"/>
        <w:autoSpaceDE w:val="0"/>
        <w:autoSpaceDN w:val="0"/>
        <w:spacing w:after="0" w:line="276" w:lineRule="auto"/>
        <w:ind w:left="426" w:right="142"/>
        <w:jc w:val="both"/>
        <w:rPr>
          <w:rFonts w:ascii="Arial" w:eastAsia="Arial" w:hAnsi="Arial" w:cs="Arial"/>
          <w:sz w:val="24"/>
          <w:szCs w:val="24"/>
          <w:lang w:val="es-ES" w:eastAsia="es-ES" w:bidi="es-ES"/>
        </w:rPr>
      </w:pPr>
    </w:p>
    <w:p w14:paraId="2FB0F835" w14:textId="77777777" w:rsidR="00542933" w:rsidRPr="00542933" w:rsidRDefault="00542933" w:rsidP="00683FD0">
      <w:pPr>
        <w:widowControl w:val="0"/>
        <w:numPr>
          <w:ilvl w:val="0"/>
          <w:numId w:val="21"/>
        </w:numPr>
        <w:autoSpaceDE w:val="0"/>
        <w:autoSpaceDN w:val="0"/>
        <w:spacing w:after="0" w:line="276" w:lineRule="auto"/>
        <w:ind w:left="851" w:right="142"/>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Contrato celebrado con el Banco Bansí, S.A., Institución de Banca Múltiple, con</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fecha</w:t>
      </w:r>
      <w:r w:rsidRPr="00542933">
        <w:rPr>
          <w:rFonts w:ascii="Arial" w:eastAsia="Arial" w:hAnsi="Arial" w:cs="Arial"/>
          <w:spacing w:val="-10"/>
          <w:sz w:val="24"/>
          <w:szCs w:val="24"/>
          <w:lang w:val="es-ES" w:eastAsia="es-ES" w:bidi="es-ES"/>
        </w:rPr>
        <w:t xml:space="preserve"> </w:t>
      </w:r>
      <w:r w:rsidRPr="00542933">
        <w:rPr>
          <w:rFonts w:ascii="Arial" w:eastAsia="Arial" w:hAnsi="Arial" w:cs="Arial"/>
          <w:sz w:val="24"/>
          <w:szCs w:val="24"/>
          <w:lang w:val="es-ES" w:eastAsia="es-ES" w:bidi="es-ES"/>
        </w:rPr>
        <w:t>24</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de enero de 2022, por importe de $350,000,000.00 (Son: Trescientos cincuenta millones de pesos 00/100 Moneda Nacional), y cuya finalidad es cubrir necesidades de corto plazo, tales como insuficiencias</w:t>
      </w:r>
      <w:r w:rsidRPr="00542933">
        <w:rPr>
          <w:rFonts w:ascii="Arial" w:eastAsia="Arial" w:hAnsi="Arial" w:cs="Arial"/>
          <w:spacing w:val="-12"/>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liquidez</w:t>
      </w:r>
      <w:r w:rsidRPr="00542933">
        <w:rPr>
          <w:rFonts w:ascii="Arial" w:eastAsia="Arial" w:hAnsi="Arial" w:cs="Arial"/>
          <w:spacing w:val="-9"/>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carácter</w:t>
      </w:r>
      <w:r w:rsidRPr="00542933">
        <w:rPr>
          <w:rFonts w:ascii="Arial" w:eastAsia="Arial" w:hAnsi="Arial" w:cs="Arial"/>
          <w:spacing w:val="-13"/>
          <w:sz w:val="24"/>
          <w:szCs w:val="24"/>
          <w:lang w:val="es-ES" w:eastAsia="es-ES" w:bidi="es-ES"/>
        </w:rPr>
        <w:t xml:space="preserve"> </w:t>
      </w:r>
      <w:r w:rsidRPr="00542933">
        <w:rPr>
          <w:rFonts w:ascii="Arial" w:eastAsia="Arial" w:hAnsi="Arial" w:cs="Arial"/>
          <w:sz w:val="24"/>
          <w:szCs w:val="24"/>
          <w:lang w:val="es-ES" w:eastAsia="es-ES" w:bidi="es-ES"/>
        </w:rPr>
        <w:t>temporal; los</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recursos</w:t>
      </w:r>
      <w:r w:rsidRPr="00542933">
        <w:rPr>
          <w:rFonts w:ascii="Arial" w:eastAsia="Arial" w:hAnsi="Arial" w:cs="Arial"/>
          <w:spacing w:val="-13"/>
          <w:sz w:val="24"/>
          <w:szCs w:val="24"/>
          <w:lang w:val="es-ES" w:eastAsia="es-ES" w:bidi="es-ES"/>
        </w:rPr>
        <w:t xml:space="preserve"> </w:t>
      </w:r>
      <w:r w:rsidRPr="00542933">
        <w:rPr>
          <w:rFonts w:ascii="Arial" w:eastAsia="Arial" w:hAnsi="Arial" w:cs="Arial"/>
          <w:sz w:val="24"/>
          <w:szCs w:val="24"/>
          <w:lang w:val="es-ES" w:eastAsia="es-ES" w:bidi="es-ES"/>
        </w:rPr>
        <w:t>con</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los</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que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se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cubrirán</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todos los pagos y obligaciones que se deriven de la formalización del contrato, son de procedencia lícita, provenientes de ingresos de libre disposición incluyendo recursos propios del Estado. Se realizó la disposición de los recursos derivados del financiamiento en la misma fecha y por el mismo importe mencionado.</w:t>
      </w:r>
    </w:p>
    <w:p w14:paraId="332ED4A2" w14:textId="77777777" w:rsidR="00542933" w:rsidRPr="00542933" w:rsidRDefault="00542933" w:rsidP="00542933">
      <w:pPr>
        <w:widowControl w:val="0"/>
        <w:autoSpaceDE w:val="0"/>
        <w:autoSpaceDN w:val="0"/>
        <w:spacing w:after="0" w:line="276" w:lineRule="auto"/>
        <w:ind w:left="426" w:right="142"/>
        <w:jc w:val="both"/>
        <w:rPr>
          <w:rFonts w:ascii="Arial" w:eastAsia="Arial" w:hAnsi="Arial" w:cs="Arial"/>
          <w:sz w:val="24"/>
          <w:szCs w:val="24"/>
          <w:lang w:val="es-ES" w:eastAsia="es-ES" w:bidi="es-ES"/>
        </w:rPr>
      </w:pPr>
    </w:p>
    <w:p w14:paraId="26A01A5A" w14:textId="77777777" w:rsidR="00542933" w:rsidRPr="00542933" w:rsidRDefault="00542933" w:rsidP="00683FD0">
      <w:pPr>
        <w:widowControl w:val="0"/>
        <w:numPr>
          <w:ilvl w:val="0"/>
          <w:numId w:val="21"/>
        </w:numPr>
        <w:autoSpaceDE w:val="0"/>
        <w:autoSpaceDN w:val="0"/>
        <w:spacing w:after="0" w:line="276" w:lineRule="auto"/>
        <w:ind w:left="851" w:right="142"/>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Pagaré celebrado con el Banco Mercantil del Norte, S.A., Institución de Banca Múltiple, Grupo Financiero Banorte, con</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fecha</w:t>
      </w:r>
      <w:r w:rsidRPr="00542933">
        <w:rPr>
          <w:rFonts w:ascii="Arial" w:eastAsia="Arial" w:hAnsi="Arial" w:cs="Arial"/>
          <w:spacing w:val="-10"/>
          <w:sz w:val="24"/>
          <w:szCs w:val="24"/>
          <w:lang w:val="es-ES" w:eastAsia="es-ES" w:bidi="es-ES"/>
        </w:rPr>
        <w:t xml:space="preserve"> </w:t>
      </w:r>
      <w:r w:rsidRPr="00542933">
        <w:rPr>
          <w:rFonts w:ascii="Arial" w:eastAsia="Arial" w:hAnsi="Arial" w:cs="Arial"/>
          <w:sz w:val="24"/>
          <w:szCs w:val="24"/>
          <w:lang w:val="es-ES" w:eastAsia="es-ES" w:bidi="es-ES"/>
        </w:rPr>
        <w:t>11</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de octubre de 2022, por importe de $800,000,000.00 (Son: Ochocientos millones de pesos 00/100 Moneda Nacional), y cuya finalidad es cubrir necesidades de corto plazo, tales como insuficiencias</w:t>
      </w:r>
      <w:r w:rsidRPr="00542933">
        <w:rPr>
          <w:rFonts w:ascii="Arial" w:eastAsia="Arial" w:hAnsi="Arial" w:cs="Arial"/>
          <w:spacing w:val="-12"/>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liquidez</w:t>
      </w:r>
      <w:r w:rsidRPr="00542933">
        <w:rPr>
          <w:rFonts w:ascii="Arial" w:eastAsia="Arial" w:hAnsi="Arial" w:cs="Arial"/>
          <w:spacing w:val="-9"/>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carácter</w:t>
      </w:r>
      <w:r w:rsidRPr="00542933">
        <w:rPr>
          <w:rFonts w:ascii="Arial" w:eastAsia="Arial" w:hAnsi="Arial" w:cs="Arial"/>
          <w:spacing w:val="-13"/>
          <w:sz w:val="24"/>
          <w:szCs w:val="24"/>
          <w:lang w:val="es-ES" w:eastAsia="es-ES" w:bidi="es-ES"/>
        </w:rPr>
        <w:t xml:space="preserve"> </w:t>
      </w:r>
      <w:r w:rsidRPr="00542933">
        <w:rPr>
          <w:rFonts w:ascii="Arial" w:eastAsia="Arial" w:hAnsi="Arial" w:cs="Arial"/>
          <w:sz w:val="24"/>
          <w:szCs w:val="24"/>
          <w:lang w:val="es-ES" w:eastAsia="es-ES" w:bidi="es-ES"/>
        </w:rPr>
        <w:t>temporal; los</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recursos</w:t>
      </w:r>
      <w:r w:rsidRPr="00542933">
        <w:rPr>
          <w:rFonts w:ascii="Arial" w:eastAsia="Arial" w:hAnsi="Arial" w:cs="Arial"/>
          <w:spacing w:val="-13"/>
          <w:sz w:val="24"/>
          <w:szCs w:val="24"/>
          <w:lang w:val="es-ES" w:eastAsia="es-ES" w:bidi="es-ES"/>
        </w:rPr>
        <w:t xml:space="preserve"> </w:t>
      </w:r>
      <w:r w:rsidRPr="00542933">
        <w:rPr>
          <w:rFonts w:ascii="Arial" w:eastAsia="Arial" w:hAnsi="Arial" w:cs="Arial"/>
          <w:sz w:val="24"/>
          <w:szCs w:val="24"/>
          <w:lang w:val="es-ES" w:eastAsia="es-ES" w:bidi="es-ES"/>
        </w:rPr>
        <w:t>con</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los</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que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se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cubrirán</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todos los pagos y obligaciones que se deriven del pagaré, son de procedencia lícita, provenientes de ingresos de libre disposición incluyendo recursos propios del Estado. Se realizó la disposición de los recursos derivados del financiamiento en la misma fecha y por el mismo importe mencionado.</w:t>
      </w:r>
    </w:p>
    <w:p w14:paraId="671FBDD1" w14:textId="77777777" w:rsidR="00542933" w:rsidRPr="00542933" w:rsidRDefault="00542933" w:rsidP="00BD18A2">
      <w:pPr>
        <w:widowControl w:val="0"/>
        <w:autoSpaceDE w:val="0"/>
        <w:autoSpaceDN w:val="0"/>
        <w:spacing w:after="0" w:line="276" w:lineRule="auto"/>
        <w:ind w:left="851" w:right="142"/>
        <w:rPr>
          <w:rFonts w:ascii="Arial" w:eastAsia="Arial" w:hAnsi="Arial" w:cs="Arial"/>
          <w:sz w:val="24"/>
          <w:szCs w:val="24"/>
          <w:lang w:val="es-ES" w:eastAsia="es-ES" w:bidi="es-ES"/>
        </w:rPr>
      </w:pPr>
    </w:p>
    <w:p w14:paraId="47C1F3EF" w14:textId="77777777" w:rsidR="00542933" w:rsidRPr="00156241" w:rsidRDefault="00542933" w:rsidP="00542933">
      <w:pPr>
        <w:widowControl w:val="0"/>
        <w:numPr>
          <w:ilvl w:val="0"/>
          <w:numId w:val="21"/>
        </w:numPr>
        <w:autoSpaceDE w:val="0"/>
        <w:autoSpaceDN w:val="0"/>
        <w:spacing w:after="0" w:line="276" w:lineRule="auto"/>
        <w:ind w:left="851" w:right="142"/>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Contrato celebrado con el Banco Bansí, S.A., Institución de Banca Múltiple, con</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fecha</w:t>
      </w:r>
      <w:r w:rsidRPr="00542933">
        <w:rPr>
          <w:rFonts w:ascii="Arial" w:eastAsia="Arial" w:hAnsi="Arial" w:cs="Arial"/>
          <w:spacing w:val="-10"/>
          <w:sz w:val="24"/>
          <w:szCs w:val="24"/>
          <w:lang w:val="es-ES" w:eastAsia="es-ES" w:bidi="es-ES"/>
        </w:rPr>
        <w:t xml:space="preserve"> </w:t>
      </w:r>
      <w:r w:rsidRPr="00542933">
        <w:rPr>
          <w:rFonts w:ascii="Arial" w:eastAsia="Arial" w:hAnsi="Arial" w:cs="Arial"/>
          <w:sz w:val="24"/>
          <w:szCs w:val="24"/>
          <w:lang w:val="es-ES" w:eastAsia="es-ES" w:bidi="es-ES"/>
        </w:rPr>
        <w:t>11</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de octubre de 2022, por importe de $700,000,000.00 (Son: Setecientos millones de pesos 00/100 Moneda Nacional), y cuya finalidad es cubrir necesidades de corto plazo, tales como insuficiencias</w:t>
      </w:r>
      <w:r w:rsidRPr="00542933">
        <w:rPr>
          <w:rFonts w:ascii="Arial" w:eastAsia="Arial" w:hAnsi="Arial" w:cs="Arial"/>
          <w:spacing w:val="-12"/>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liquidez</w:t>
      </w:r>
      <w:r w:rsidRPr="00542933">
        <w:rPr>
          <w:rFonts w:ascii="Arial" w:eastAsia="Arial" w:hAnsi="Arial" w:cs="Arial"/>
          <w:spacing w:val="-9"/>
          <w:sz w:val="24"/>
          <w:szCs w:val="24"/>
          <w:lang w:val="es-ES" w:eastAsia="es-ES" w:bidi="es-ES"/>
        </w:rPr>
        <w:t xml:space="preserve"> </w:t>
      </w:r>
      <w:r w:rsidRPr="00542933">
        <w:rPr>
          <w:rFonts w:ascii="Arial" w:eastAsia="Arial" w:hAnsi="Arial" w:cs="Arial"/>
          <w:sz w:val="24"/>
          <w:szCs w:val="24"/>
          <w:lang w:val="es-ES" w:eastAsia="es-ES" w:bidi="es-ES"/>
        </w:rPr>
        <w:t>de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carácter</w:t>
      </w:r>
      <w:r w:rsidRPr="00542933">
        <w:rPr>
          <w:rFonts w:ascii="Arial" w:eastAsia="Arial" w:hAnsi="Arial" w:cs="Arial"/>
          <w:spacing w:val="-13"/>
          <w:sz w:val="24"/>
          <w:szCs w:val="24"/>
          <w:lang w:val="es-ES" w:eastAsia="es-ES" w:bidi="es-ES"/>
        </w:rPr>
        <w:t xml:space="preserve"> </w:t>
      </w:r>
      <w:r w:rsidRPr="00542933">
        <w:rPr>
          <w:rFonts w:ascii="Arial" w:eastAsia="Arial" w:hAnsi="Arial" w:cs="Arial"/>
          <w:sz w:val="24"/>
          <w:szCs w:val="24"/>
          <w:lang w:val="es-ES" w:eastAsia="es-ES" w:bidi="es-ES"/>
        </w:rPr>
        <w:t>temporal; los</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recursos</w:t>
      </w:r>
      <w:r w:rsidRPr="00542933">
        <w:rPr>
          <w:rFonts w:ascii="Arial" w:eastAsia="Arial" w:hAnsi="Arial" w:cs="Arial"/>
          <w:spacing w:val="-13"/>
          <w:sz w:val="24"/>
          <w:szCs w:val="24"/>
          <w:lang w:val="es-ES" w:eastAsia="es-ES" w:bidi="es-ES"/>
        </w:rPr>
        <w:t xml:space="preserve"> </w:t>
      </w:r>
      <w:r w:rsidRPr="00542933">
        <w:rPr>
          <w:rFonts w:ascii="Arial" w:eastAsia="Arial" w:hAnsi="Arial" w:cs="Arial"/>
          <w:sz w:val="24"/>
          <w:szCs w:val="24"/>
          <w:lang w:val="es-ES" w:eastAsia="es-ES" w:bidi="es-ES"/>
        </w:rPr>
        <w:t>con</w:t>
      </w:r>
      <w:r w:rsidRPr="00542933">
        <w:rPr>
          <w:rFonts w:ascii="Arial" w:eastAsia="Arial" w:hAnsi="Arial" w:cs="Arial"/>
          <w:spacing w:val="-11"/>
          <w:sz w:val="24"/>
          <w:szCs w:val="24"/>
          <w:lang w:val="es-ES" w:eastAsia="es-ES" w:bidi="es-ES"/>
        </w:rPr>
        <w:t xml:space="preserve"> </w:t>
      </w:r>
      <w:r w:rsidRPr="00542933">
        <w:rPr>
          <w:rFonts w:ascii="Arial" w:eastAsia="Arial" w:hAnsi="Arial" w:cs="Arial"/>
          <w:sz w:val="24"/>
          <w:szCs w:val="24"/>
          <w:lang w:val="es-ES" w:eastAsia="es-ES" w:bidi="es-ES"/>
        </w:rPr>
        <w:t>los</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que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se</w:t>
      </w:r>
      <w:r w:rsidRPr="00542933">
        <w:rPr>
          <w:rFonts w:ascii="Arial" w:eastAsia="Arial" w:hAnsi="Arial" w:cs="Arial"/>
          <w:spacing w:val="-15"/>
          <w:sz w:val="24"/>
          <w:szCs w:val="24"/>
          <w:lang w:val="es-ES" w:eastAsia="es-ES" w:bidi="es-ES"/>
        </w:rPr>
        <w:t xml:space="preserve"> </w:t>
      </w:r>
      <w:r w:rsidRPr="00542933">
        <w:rPr>
          <w:rFonts w:ascii="Arial" w:eastAsia="Arial" w:hAnsi="Arial" w:cs="Arial"/>
          <w:sz w:val="24"/>
          <w:szCs w:val="24"/>
          <w:lang w:val="es-ES" w:eastAsia="es-ES" w:bidi="es-ES"/>
        </w:rPr>
        <w:t>cubrirán</w:t>
      </w:r>
      <w:r w:rsidRPr="00542933">
        <w:rPr>
          <w:rFonts w:ascii="Arial" w:eastAsia="Arial" w:hAnsi="Arial" w:cs="Arial"/>
          <w:spacing w:val="-14"/>
          <w:sz w:val="24"/>
          <w:szCs w:val="24"/>
          <w:lang w:val="es-ES" w:eastAsia="es-ES" w:bidi="es-ES"/>
        </w:rPr>
        <w:t xml:space="preserve"> </w:t>
      </w:r>
      <w:r w:rsidRPr="00542933">
        <w:rPr>
          <w:rFonts w:ascii="Arial" w:eastAsia="Arial" w:hAnsi="Arial" w:cs="Arial"/>
          <w:sz w:val="24"/>
          <w:szCs w:val="24"/>
          <w:lang w:val="es-ES" w:eastAsia="es-ES" w:bidi="es-ES"/>
        </w:rPr>
        <w:t>todos los pagos y obligaciones que se deriven de la formalización del contrato, son de procedencia lícita, provenientes de ingresos de libre disposición incluyendo recursos propios del Estado. Se realizó la disposición de los recursos derivados del financiamiento en la misma fecha y por el mismo importe mencionado.</w:t>
      </w:r>
    </w:p>
    <w:p w14:paraId="76B7FF13" w14:textId="77777777" w:rsidR="00542933" w:rsidRPr="00542933" w:rsidRDefault="00542933" w:rsidP="005E03DC">
      <w:pPr>
        <w:widowControl w:val="0"/>
        <w:autoSpaceDE w:val="0"/>
        <w:autoSpaceDN w:val="0"/>
        <w:spacing w:after="0" w:line="240" w:lineRule="auto"/>
        <w:ind w:left="567" w:right="142"/>
        <w:jc w:val="both"/>
        <w:rPr>
          <w:rFonts w:ascii="Arial" w:eastAsia="Arial" w:hAnsi="Arial" w:cs="Arial"/>
          <w:b/>
          <w:lang w:val="es-ES" w:eastAsia="es-ES" w:bidi="es-ES"/>
        </w:rPr>
      </w:pPr>
      <w:r w:rsidRPr="00542933">
        <w:rPr>
          <w:rFonts w:ascii="Arial" w:eastAsia="Arial" w:hAnsi="Arial" w:cs="Arial"/>
          <w:b/>
          <w:sz w:val="24"/>
          <w:lang w:val="es-ES" w:eastAsia="es-ES" w:bidi="es-ES"/>
        </w:rPr>
        <w:lastRenderedPageBreak/>
        <w:t>I.II.- Deuda Pública Estatal Fiscalizada</w:t>
      </w:r>
    </w:p>
    <w:p w14:paraId="0BC16149" w14:textId="77777777" w:rsidR="00542933" w:rsidRPr="00542933" w:rsidRDefault="00542933" w:rsidP="005E03DC">
      <w:pPr>
        <w:widowControl w:val="0"/>
        <w:autoSpaceDE w:val="0"/>
        <w:autoSpaceDN w:val="0"/>
        <w:spacing w:before="8" w:after="0" w:line="240" w:lineRule="auto"/>
        <w:ind w:left="567" w:right="142"/>
        <w:rPr>
          <w:rFonts w:ascii="Arial" w:eastAsia="Arial" w:hAnsi="Arial" w:cs="Arial"/>
          <w:b/>
          <w:sz w:val="23"/>
          <w:szCs w:val="24"/>
          <w:lang w:val="es-ES" w:eastAsia="es-ES" w:bidi="es-ES"/>
        </w:rPr>
      </w:pPr>
    </w:p>
    <w:p w14:paraId="14BDD7DB" w14:textId="77777777" w:rsidR="00542933" w:rsidRPr="00542933" w:rsidRDefault="00542933" w:rsidP="005E03DC">
      <w:pPr>
        <w:widowControl w:val="0"/>
        <w:autoSpaceDE w:val="0"/>
        <w:autoSpaceDN w:val="0"/>
        <w:spacing w:after="0" w:line="276" w:lineRule="auto"/>
        <w:ind w:left="567" w:right="142"/>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Se practicó una auditoría de cumplimiento financiero de financiamientos, otras obligaciones y empréstitos, del ejercicio fiscal 2022. Derivado de la auditoría realizada, se presenta la siguiente información:</w:t>
      </w:r>
    </w:p>
    <w:p w14:paraId="520EB816" w14:textId="77777777" w:rsidR="00542933" w:rsidRPr="00542933" w:rsidRDefault="00542933" w:rsidP="00542933">
      <w:pPr>
        <w:widowControl w:val="0"/>
        <w:autoSpaceDE w:val="0"/>
        <w:autoSpaceDN w:val="0"/>
        <w:spacing w:after="0" w:line="240" w:lineRule="auto"/>
        <w:ind w:right="142"/>
        <w:rPr>
          <w:rFonts w:ascii="Arial" w:eastAsia="Arial" w:hAnsi="Arial" w:cs="Arial"/>
          <w:sz w:val="24"/>
          <w:szCs w:val="24"/>
          <w:lang w:val="es-ES" w:eastAsia="es-ES" w:bidi="es-ES"/>
        </w:rPr>
      </w:pPr>
    </w:p>
    <w:p w14:paraId="19B9016E" w14:textId="77777777" w:rsidR="00542933" w:rsidRPr="00542933" w:rsidRDefault="00542933" w:rsidP="00542933">
      <w:pPr>
        <w:widowControl w:val="0"/>
        <w:autoSpaceDE w:val="0"/>
        <w:autoSpaceDN w:val="0"/>
        <w:spacing w:before="153" w:after="0" w:line="240" w:lineRule="auto"/>
        <w:jc w:val="both"/>
        <w:outlineLvl w:val="3"/>
        <w:rPr>
          <w:rFonts w:ascii="Arial" w:eastAsia="Arial" w:hAnsi="Arial" w:cs="Arial"/>
          <w:b/>
          <w:bCs/>
          <w:sz w:val="24"/>
          <w:szCs w:val="24"/>
          <w:lang w:val="es-ES" w:eastAsia="es-ES" w:bidi="es-ES"/>
        </w:rPr>
      </w:pPr>
      <w:r w:rsidRPr="00542933">
        <w:rPr>
          <w:rFonts w:ascii="Arial" w:eastAsia="Arial" w:hAnsi="Arial" w:cs="Arial"/>
          <w:b/>
          <w:bCs/>
          <w:sz w:val="24"/>
          <w:szCs w:val="24"/>
          <w:lang w:val="es-ES" w:eastAsia="es-ES" w:bidi="es-ES"/>
        </w:rPr>
        <w:t>Deuda Pública Largo plazo:</w:t>
      </w:r>
    </w:p>
    <w:p w14:paraId="69789FD7" w14:textId="77777777" w:rsidR="00542933" w:rsidRPr="00542933" w:rsidRDefault="00542933" w:rsidP="00542933">
      <w:pPr>
        <w:widowControl w:val="0"/>
        <w:autoSpaceDE w:val="0"/>
        <w:autoSpaceDN w:val="0"/>
        <w:spacing w:before="9" w:after="1" w:line="240" w:lineRule="auto"/>
        <w:rPr>
          <w:rFonts w:ascii="Arial" w:eastAsia="Arial" w:hAnsi="Arial" w:cs="Arial"/>
          <w:b/>
          <w:sz w:val="17"/>
          <w:szCs w:val="24"/>
          <w:lang w:val="es-ES" w:eastAsia="es-ES" w:bidi="es-ES"/>
        </w:rPr>
      </w:pPr>
    </w:p>
    <w:tbl>
      <w:tblPr>
        <w:tblW w:w="9485"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839"/>
        <w:gridCol w:w="839"/>
        <w:gridCol w:w="839"/>
        <w:gridCol w:w="913"/>
        <w:gridCol w:w="919"/>
        <w:gridCol w:w="1030"/>
        <w:gridCol w:w="1134"/>
        <w:gridCol w:w="709"/>
        <w:gridCol w:w="789"/>
        <w:gridCol w:w="1474"/>
      </w:tblGrid>
      <w:tr w:rsidR="00542933" w:rsidRPr="00542933" w14:paraId="61968BB6" w14:textId="77777777" w:rsidTr="00542933">
        <w:trPr>
          <w:trHeight w:val="20"/>
          <w:tblHeader/>
          <w:jc w:val="center"/>
        </w:trPr>
        <w:tc>
          <w:tcPr>
            <w:tcW w:w="839" w:type="dxa"/>
            <w:shd w:val="clear" w:color="000000" w:fill="BFBFBF"/>
            <w:vAlign w:val="center"/>
            <w:hideMark/>
          </w:tcPr>
          <w:p w14:paraId="5398F4DD"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Registro</w:t>
            </w:r>
          </w:p>
        </w:tc>
        <w:tc>
          <w:tcPr>
            <w:tcW w:w="839" w:type="dxa"/>
            <w:shd w:val="clear" w:color="000000" w:fill="BFBFBF"/>
            <w:vAlign w:val="center"/>
            <w:hideMark/>
          </w:tcPr>
          <w:p w14:paraId="2DF6A27F"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Acreedor</w:t>
            </w:r>
          </w:p>
        </w:tc>
        <w:tc>
          <w:tcPr>
            <w:tcW w:w="839" w:type="dxa"/>
            <w:shd w:val="clear" w:color="000000" w:fill="BFBFBF"/>
            <w:vAlign w:val="center"/>
            <w:hideMark/>
          </w:tcPr>
          <w:p w14:paraId="69C49E4D"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Motivo de su Contratación</w:t>
            </w:r>
          </w:p>
        </w:tc>
        <w:tc>
          <w:tcPr>
            <w:tcW w:w="913" w:type="dxa"/>
            <w:shd w:val="clear" w:color="000000" w:fill="BFBFBF"/>
            <w:vAlign w:val="center"/>
            <w:hideMark/>
          </w:tcPr>
          <w:p w14:paraId="36F9EAB5"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Destino final y aplicación</w:t>
            </w:r>
          </w:p>
        </w:tc>
        <w:tc>
          <w:tcPr>
            <w:tcW w:w="919" w:type="dxa"/>
            <w:shd w:val="clear" w:color="000000" w:fill="BFBFBF"/>
            <w:vAlign w:val="center"/>
            <w:hideMark/>
          </w:tcPr>
          <w:p w14:paraId="2CADE976"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Importe Global</w:t>
            </w:r>
          </w:p>
        </w:tc>
        <w:tc>
          <w:tcPr>
            <w:tcW w:w="1030" w:type="dxa"/>
            <w:shd w:val="clear" w:color="000000" w:fill="BFBFBF"/>
            <w:vAlign w:val="center"/>
            <w:hideMark/>
          </w:tcPr>
          <w:p w14:paraId="26E22730"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Saldo al 31/12/2021</w:t>
            </w:r>
          </w:p>
        </w:tc>
        <w:tc>
          <w:tcPr>
            <w:tcW w:w="1134" w:type="dxa"/>
            <w:shd w:val="clear" w:color="000000" w:fill="BFBFBF"/>
            <w:vAlign w:val="center"/>
            <w:hideMark/>
          </w:tcPr>
          <w:p w14:paraId="4D0635AD"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Saldo actual al 31/12/2022</w:t>
            </w:r>
          </w:p>
        </w:tc>
        <w:tc>
          <w:tcPr>
            <w:tcW w:w="709" w:type="dxa"/>
            <w:shd w:val="clear" w:color="000000" w:fill="BFBFBF"/>
            <w:vAlign w:val="center"/>
            <w:hideMark/>
          </w:tcPr>
          <w:p w14:paraId="02461481"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Tipo de garantía</w:t>
            </w:r>
          </w:p>
        </w:tc>
        <w:tc>
          <w:tcPr>
            <w:tcW w:w="789" w:type="dxa"/>
            <w:shd w:val="clear" w:color="000000" w:fill="BFBFBF"/>
            <w:vAlign w:val="center"/>
            <w:hideMark/>
          </w:tcPr>
          <w:p w14:paraId="558D467E"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Tipo de Instrumento</w:t>
            </w:r>
          </w:p>
        </w:tc>
        <w:tc>
          <w:tcPr>
            <w:tcW w:w="1474" w:type="dxa"/>
            <w:shd w:val="clear" w:color="000000" w:fill="BFBFBF"/>
            <w:vAlign w:val="center"/>
            <w:hideMark/>
          </w:tcPr>
          <w:p w14:paraId="27D6415E"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Monto</w:t>
            </w:r>
          </w:p>
        </w:tc>
      </w:tr>
      <w:tr w:rsidR="00542933" w:rsidRPr="00542933" w14:paraId="09178487" w14:textId="77777777" w:rsidTr="00542933">
        <w:trPr>
          <w:trHeight w:val="20"/>
          <w:jc w:val="center"/>
        </w:trPr>
        <w:tc>
          <w:tcPr>
            <w:tcW w:w="839" w:type="dxa"/>
            <w:shd w:val="clear" w:color="auto" w:fill="auto"/>
            <w:noWrap/>
            <w:vAlign w:val="center"/>
            <w:hideMark/>
          </w:tcPr>
          <w:p w14:paraId="677AB9C7"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RUOE-069GOB/2012</w:t>
            </w:r>
          </w:p>
        </w:tc>
        <w:tc>
          <w:tcPr>
            <w:tcW w:w="839" w:type="dxa"/>
            <w:shd w:val="clear" w:color="auto" w:fill="auto"/>
            <w:noWrap/>
            <w:vAlign w:val="center"/>
            <w:hideMark/>
          </w:tcPr>
          <w:p w14:paraId="6A360060"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Banobras, S.N.C. (PROFISE)</w:t>
            </w:r>
          </w:p>
        </w:tc>
        <w:tc>
          <w:tcPr>
            <w:tcW w:w="839" w:type="dxa"/>
            <w:shd w:val="clear" w:color="auto" w:fill="auto"/>
            <w:noWrap/>
            <w:vAlign w:val="center"/>
            <w:hideMark/>
          </w:tcPr>
          <w:p w14:paraId="34B95118"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hideMark/>
          </w:tcPr>
          <w:p w14:paraId="4468E6FA"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Inversión Pública Productiva</w:t>
            </w:r>
          </w:p>
        </w:tc>
        <w:tc>
          <w:tcPr>
            <w:tcW w:w="919" w:type="dxa"/>
            <w:shd w:val="clear" w:color="auto" w:fill="auto"/>
            <w:noWrap/>
            <w:vAlign w:val="center"/>
            <w:hideMark/>
          </w:tcPr>
          <w:p w14:paraId="0771D5D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$262,861,190.00</w:t>
            </w:r>
          </w:p>
        </w:tc>
        <w:tc>
          <w:tcPr>
            <w:tcW w:w="1030" w:type="dxa"/>
            <w:shd w:val="clear" w:color="auto" w:fill="auto"/>
            <w:noWrap/>
            <w:vAlign w:val="center"/>
            <w:hideMark/>
          </w:tcPr>
          <w:p w14:paraId="35249A54"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$262,861,190.00</w:t>
            </w:r>
          </w:p>
        </w:tc>
        <w:tc>
          <w:tcPr>
            <w:tcW w:w="1134" w:type="dxa"/>
            <w:shd w:val="clear" w:color="auto" w:fill="auto"/>
            <w:noWrap/>
            <w:vAlign w:val="center"/>
          </w:tcPr>
          <w:p w14:paraId="5841557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$262,861,190.00</w:t>
            </w:r>
          </w:p>
        </w:tc>
        <w:tc>
          <w:tcPr>
            <w:tcW w:w="709" w:type="dxa"/>
            <w:shd w:val="clear" w:color="auto" w:fill="auto"/>
            <w:vAlign w:val="center"/>
            <w:hideMark/>
          </w:tcPr>
          <w:p w14:paraId="5D78A4F9"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w:t>
            </w:r>
          </w:p>
        </w:tc>
        <w:tc>
          <w:tcPr>
            <w:tcW w:w="789" w:type="dxa"/>
            <w:shd w:val="clear" w:color="auto" w:fill="auto"/>
            <w:vAlign w:val="center"/>
            <w:hideMark/>
          </w:tcPr>
          <w:p w14:paraId="785DD020"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w:t>
            </w:r>
          </w:p>
        </w:tc>
        <w:tc>
          <w:tcPr>
            <w:tcW w:w="1474" w:type="dxa"/>
            <w:shd w:val="clear" w:color="auto" w:fill="auto"/>
            <w:vAlign w:val="center"/>
            <w:hideMark/>
          </w:tcPr>
          <w:p w14:paraId="42065C80"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w:t>
            </w:r>
          </w:p>
        </w:tc>
      </w:tr>
      <w:tr w:rsidR="00542933" w:rsidRPr="00542933" w14:paraId="1078CB59" w14:textId="77777777" w:rsidTr="00542933">
        <w:trPr>
          <w:trHeight w:val="20"/>
          <w:jc w:val="center"/>
        </w:trPr>
        <w:tc>
          <w:tcPr>
            <w:tcW w:w="839" w:type="dxa"/>
            <w:shd w:val="clear" w:color="auto" w:fill="auto"/>
            <w:noWrap/>
            <w:vAlign w:val="center"/>
            <w:hideMark/>
          </w:tcPr>
          <w:p w14:paraId="6643E357"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REOF- 011/2016</w:t>
            </w:r>
          </w:p>
        </w:tc>
        <w:tc>
          <w:tcPr>
            <w:tcW w:w="839" w:type="dxa"/>
            <w:shd w:val="clear" w:color="auto" w:fill="auto"/>
            <w:noWrap/>
            <w:vAlign w:val="center"/>
            <w:hideMark/>
          </w:tcPr>
          <w:p w14:paraId="55757891"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HSBC México, S.A.</w:t>
            </w:r>
          </w:p>
        </w:tc>
        <w:tc>
          <w:tcPr>
            <w:tcW w:w="839" w:type="dxa"/>
            <w:shd w:val="clear" w:color="auto" w:fill="auto"/>
            <w:noWrap/>
            <w:vAlign w:val="center"/>
            <w:hideMark/>
          </w:tcPr>
          <w:p w14:paraId="169F251A"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hideMark/>
          </w:tcPr>
          <w:p w14:paraId="725F026D"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Reestructura de Deuda Anterior</w:t>
            </w:r>
          </w:p>
        </w:tc>
        <w:tc>
          <w:tcPr>
            <w:tcW w:w="919" w:type="dxa"/>
            <w:shd w:val="clear" w:color="auto" w:fill="auto"/>
            <w:noWrap/>
            <w:vAlign w:val="center"/>
            <w:hideMark/>
          </w:tcPr>
          <w:p w14:paraId="41ED015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1,698,186,888.00</w:t>
            </w:r>
          </w:p>
        </w:tc>
        <w:tc>
          <w:tcPr>
            <w:tcW w:w="1030" w:type="dxa"/>
            <w:shd w:val="clear" w:color="auto" w:fill="auto"/>
            <w:noWrap/>
            <w:vAlign w:val="center"/>
            <w:hideMark/>
          </w:tcPr>
          <w:p w14:paraId="3C59364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458338A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709" w:type="dxa"/>
            <w:shd w:val="clear" w:color="auto" w:fill="auto"/>
            <w:vAlign w:val="center"/>
            <w:hideMark/>
          </w:tcPr>
          <w:p w14:paraId="56220F40"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w:t>
            </w:r>
          </w:p>
        </w:tc>
        <w:tc>
          <w:tcPr>
            <w:tcW w:w="789" w:type="dxa"/>
            <w:shd w:val="clear" w:color="auto" w:fill="auto"/>
            <w:vAlign w:val="center"/>
            <w:hideMark/>
          </w:tcPr>
          <w:p w14:paraId="73AFF23F"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w:t>
            </w:r>
          </w:p>
        </w:tc>
        <w:tc>
          <w:tcPr>
            <w:tcW w:w="1474" w:type="dxa"/>
            <w:shd w:val="clear" w:color="auto" w:fill="auto"/>
            <w:vAlign w:val="center"/>
            <w:hideMark/>
          </w:tcPr>
          <w:p w14:paraId="3FED5F96"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w:t>
            </w:r>
          </w:p>
        </w:tc>
      </w:tr>
      <w:tr w:rsidR="00542933" w:rsidRPr="00542933" w14:paraId="532BDF07" w14:textId="77777777" w:rsidTr="00542933">
        <w:trPr>
          <w:trHeight w:val="20"/>
          <w:jc w:val="center"/>
        </w:trPr>
        <w:tc>
          <w:tcPr>
            <w:tcW w:w="839" w:type="dxa"/>
            <w:shd w:val="clear" w:color="auto" w:fill="auto"/>
            <w:noWrap/>
            <w:vAlign w:val="center"/>
          </w:tcPr>
          <w:p w14:paraId="051DBE3F"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REOF-001/2020</w:t>
            </w:r>
          </w:p>
        </w:tc>
        <w:tc>
          <w:tcPr>
            <w:tcW w:w="839" w:type="dxa"/>
            <w:shd w:val="clear" w:color="auto" w:fill="auto"/>
            <w:noWrap/>
            <w:vAlign w:val="center"/>
          </w:tcPr>
          <w:p w14:paraId="6118311B"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Banorte, S.A</w:t>
            </w:r>
          </w:p>
        </w:tc>
        <w:tc>
          <w:tcPr>
            <w:tcW w:w="839" w:type="dxa"/>
            <w:shd w:val="clear" w:color="auto" w:fill="auto"/>
            <w:noWrap/>
            <w:vAlign w:val="center"/>
          </w:tcPr>
          <w:p w14:paraId="7820B7D1"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tcPr>
          <w:p w14:paraId="1A38B30E"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Refinanciamiento de Deuda Anterior</w:t>
            </w:r>
          </w:p>
        </w:tc>
        <w:tc>
          <w:tcPr>
            <w:tcW w:w="919" w:type="dxa"/>
            <w:shd w:val="clear" w:color="auto" w:fill="auto"/>
            <w:noWrap/>
            <w:vAlign w:val="center"/>
          </w:tcPr>
          <w:p w14:paraId="0C39E9B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6,289,644,499.34</w:t>
            </w:r>
          </w:p>
        </w:tc>
        <w:tc>
          <w:tcPr>
            <w:tcW w:w="1030" w:type="dxa"/>
            <w:shd w:val="clear" w:color="auto" w:fill="auto"/>
            <w:noWrap/>
            <w:vAlign w:val="center"/>
          </w:tcPr>
          <w:p w14:paraId="24C8E6B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6,277,706,754.08</w:t>
            </w:r>
          </w:p>
        </w:tc>
        <w:tc>
          <w:tcPr>
            <w:tcW w:w="1134" w:type="dxa"/>
            <w:shd w:val="clear" w:color="auto" w:fill="auto"/>
            <w:noWrap/>
            <w:vAlign w:val="center"/>
          </w:tcPr>
          <w:p w14:paraId="4A476893" w14:textId="77777777" w:rsidR="00542933" w:rsidRPr="00542933" w:rsidRDefault="001376C7"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Pr>
                <w:rFonts w:ascii="Arial" w:eastAsia="Times New Roman" w:hAnsi="Arial" w:cs="Arial"/>
                <w:color w:val="000000"/>
                <w:sz w:val="10"/>
                <w:szCs w:val="10"/>
                <w:lang w:val="es-ES" w:eastAsia="es-MX" w:bidi="es-ES"/>
              </w:rPr>
              <w:t xml:space="preserve">  </w:t>
            </w:r>
            <w:r w:rsidR="00542933" w:rsidRPr="00542933">
              <w:rPr>
                <w:rFonts w:ascii="Arial" w:eastAsia="Times New Roman" w:hAnsi="Arial" w:cs="Arial"/>
                <w:color w:val="000000"/>
                <w:sz w:val="10"/>
                <w:szCs w:val="10"/>
                <w:lang w:val="es-ES" w:eastAsia="es-MX" w:bidi="es-ES"/>
              </w:rPr>
              <w:t xml:space="preserve">6,267,699,300.72 </w:t>
            </w:r>
          </w:p>
        </w:tc>
        <w:tc>
          <w:tcPr>
            <w:tcW w:w="709" w:type="dxa"/>
            <w:shd w:val="clear" w:color="auto" w:fill="auto"/>
            <w:vAlign w:val="center"/>
          </w:tcPr>
          <w:p w14:paraId="3083996F"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GPO</w:t>
            </w:r>
          </w:p>
        </w:tc>
        <w:tc>
          <w:tcPr>
            <w:tcW w:w="789" w:type="dxa"/>
            <w:shd w:val="clear" w:color="auto" w:fill="auto"/>
            <w:vAlign w:val="center"/>
          </w:tcPr>
          <w:p w14:paraId="43A1FC7C"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SWAP</w:t>
            </w:r>
          </w:p>
        </w:tc>
        <w:tc>
          <w:tcPr>
            <w:tcW w:w="1474" w:type="dxa"/>
            <w:shd w:val="clear" w:color="auto" w:fill="auto"/>
            <w:vAlign w:val="center"/>
          </w:tcPr>
          <w:p w14:paraId="385FEDA0"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25% del saldo insoluto de principal programado conforme a los pagarés suscritos por el estado al amparo del contrato del crédito.</w:t>
            </w:r>
          </w:p>
        </w:tc>
      </w:tr>
      <w:tr w:rsidR="00542933" w:rsidRPr="00542933" w14:paraId="43F60372" w14:textId="77777777" w:rsidTr="00542933">
        <w:trPr>
          <w:trHeight w:val="20"/>
          <w:jc w:val="center"/>
        </w:trPr>
        <w:tc>
          <w:tcPr>
            <w:tcW w:w="839" w:type="dxa"/>
            <w:shd w:val="clear" w:color="auto" w:fill="auto"/>
            <w:noWrap/>
            <w:vAlign w:val="center"/>
          </w:tcPr>
          <w:p w14:paraId="5517E975"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REOF-002/2020</w:t>
            </w:r>
          </w:p>
        </w:tc>
        <w:tc>
          <w:tcPr>
            <w:tcW w:w="839" w:type="dxa"/>
            <w:shd w:val="clear" w:color="auto" w:fill="auto"/>
            <w:noWrap/>
            <w:vAlign w:val="center"/>
          </w:tcPr>
          <w:p w14:paraId="11640626"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Banobras, S.N.C.</w:t>
            </w:r>
          </w:p>
        </w:tc>
        <w:tc>
          <w:tcPr>
            <w:tcW w:w="839" w:type="dxa"/>
            <w:shd w:val="clear" w:color="auto" w:fill="auto"/>
            <w:noWrap/>
            <w:vAlign w:val="center"/>
          </w:tcPr>
          <w:p w14:paraId="454C8EB6"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tcPr>
          <w:p w14:paraId="250BAAB8"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Refinanciamiento de Deuda Anterior</w:t>
            </w:r>
          </w:p>
        </w:tc>
        <w:tc>
          <w:tcPr>
            <w:tcW w:w="919" w:type="dxa"/>
            <w:shd w:val="clear" w:color="auto" w:fill="auto"/>
            <w:noWrap/>
            <w:vAlign w:val="center"/>
          </w:tcPr>
          <w:p w14:paraId="4BA11D1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2,997,127,875.97</w:t>
            </w:r>
          </w:p>
        </w:tc>
        <w:tc>
          <w:tcPr>
            <w:tcW w:w="1030" w:type="dxa"/>
            <w:shd w:val="clear" w:color="auto" w:fill="auto"/>
            <w:noWrap/>
            <w:vAlign w:val="center"/>
          </w:tcPr>
          <w:p w14:paraId="7EE53FA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2,990,675,958.79</w:t>
            </w:r>
          </w:p>
        </w:tc>
        <w:tc>
          <w:tcPr>
            <w:tcW w:w="1134" w:type="dxa"/>
            <w:shd w:val="clear" w:color="auto" w:fill="auto"/>
            <w:noWrap/>
            <w:vAlign w:val="center"/>
          </w:tcPr>
          <w:p w14:paraId="3BC732F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2,985,830,502.16</w:t>
            </w:r>
          </w:p>
        </w:tc>
        <w:tc>
          <w:tcPr>
            <w:tcW w:w="709" w:type="dxa"/>
            <w:shd w:val="clear" w:color="auto" w:fill="auto"/>
            <w:vAlign w:val="center"/>
          </w:tcPr>
          <w:p w14:paraId="63FB3D84"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789" w:type="dxa"/>
            <w:shd w:val="clear" w:color="auto" w:fill="auto"/>
            <w:vAlign w:val="center"/>
          </w:tcPr>
          <w:p w14:paraId="3873E099"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SWAP</w:t>
            </w:r>
          </w:p>
        </w:tc>
        <w:tc>
          <w:tcPr>
            <w:tcW w:w="1474" w:type="dxa"/>
            <w:shd w:val="clear" w:color="auto" w:fill="auto"/>
            <w:vAlign w:val="center"/>
          </w:tcPr>
          <w:p w14:paraId="507C19C9"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p>
        </w:tc>
      </w:tr>
      <w:tr w:rsidR="00542933" w:rsidRPr="00542933" w14:paraId="202046CA" w14:textId="77777777" w:rsidTr="00542933">
        <w:trPr>
          <w:trHeight w:val="20"/>
          <w:jc w:val="center"/>
        </w:trPr>
        <w:tc>
          <w:tcPr>
            <w:tcW w:w="839" w:type="dxa"/>
            <w:shd w:val="clear" w:color="auto" w:fill="auto"/>
            <w:noWrap/>
            <w:vAlign w:val="center"/>
          </w:tcPr>
          <w:p w14:paraId="4FEEF492"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REOF-003/2020</w:t>
            </w:r>
          </w:p>
        </w:tc>
        <w:tc>
          <w:tcPr>
            <w:tcW w:w="839" w:type="dxa"/>
            <w:shd w:val="clear" w:color="auto" w:fill="auto"/>
            <w:noWrap/>
            <w:vAlign w:val="center"/>
          </w:tcPr>
          <w:p w14:paraId="1D295BCF"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Banobras, S.N.C.</w:t>
            </w:r>
          </w:p>
        </w:tc>
        <w:tc>
          <w:tcPr>
            <w:tcW w:w="839" w:type="dxa"/>
            <w:shd w:val="clear" w:color="auto" w:fill="auto"/>
            <w:noWrap/>
            <w:vAlign w:val="center"/>
          </w:tcPr>
          <w:p w14:paraId="56B3D4B6"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tcPr>
          <w:p w14:paraId="4BF43304"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Refinanciamiento de Deuda Anterior</w:t>
            </w:r>
          </w:p>
        </w:tc>
        <w:tc>
          <w:tcPr>
            <w:tcW w:w="919" w:type="dxa"/>
            <w:shd w:val="clear" w:color="auto" w:fill="auto"/>
            <w:noWrap/>
            <w:vAlign w:val="center"/>
          </w:tcPr>
          <w:p w14:paraId="725605A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1,498,585,598.68</w:t>
            </w:r>
          </w:p>
        </w:tc>
        <w:tc>
          <w:tcPr>
            <w:tcW w:w="1030" w:type="dxa"/>
            <w:shd w:val="clear" w:color="auto" w:fill="auto"/>
            <w:noWrap/>
            <w:vAlign w:val="center"/>
          </w:tcPr>
          <w:p w14:paraId="6924CD4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1,495,359,593.46</w:t>
            </w:r>
          </w:p>
        </w:tc>
        <w:tc>
          <w:tcPr>
            <w:tcW w:w="1134" w:type="dxa"/>
            <w:shd w:val="clear" w:color="auto" w:fill="auto"/>
            <w:noWrap/>
            <w:vAlign w:val="center"/>
          </w:tcPr>
          <w:p w14:paraId="43E3504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1,492,936,830.13</w:t>
            </w:r>
          </w:p>
        </w:tc>
        <w:tc>
          <w:tcPr>
            <w:tcW w:w="709" w:type="dxa"/>
            <w:shd w:val="clear" w:color="auto" w:fill="auto"/>
            <w:vAlign w:val="center"/>
          </w:tcPr>
          <w:p w14:paraId="028C15A2"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789" w:type="dxa"/>
            <w:shd w:val="clear" w:color="auto" w:fill="auto"/>
            <w:vAlign w:val="center"/>
          </w:tcPr>
          <w:p w14:paraId="532686CC"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SWAP</w:t>
            </w:r>
          </w:p>
        </w:tc>
        <w:tc>
          <w:tcPr>
            <w:tcW w:w="1474" w:type="dxa"/>
            <w:shd w:val="clear" w:color="auto" w:fill="auto"/>
            <w:vAlign w:val="center"/>
          </w:tcPr>
          <w:p w14:paraId="080E1AA1"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p>
        </w:tc>
      </w:tr>
      <w:tr w:rsidR="00542933" w:rsidRPr="00542933" w14:paraId="0BB4FA3B" w14:textId="77777777" w:rsidTr="00542933">
        <w:trPr>
          <w:trHeight w:val="20"/>
          <w:jc w:val="center"/>
        </w:trPr>
        <w:tc>
          <w:tcPr>
            <w:tcW w:w="839" w:type="dxa"/>
            <w:shd w:val="clear" w:color="auto" w:fill="auto"/>
            <w:noWrap/>
            <w:vAlign w:val="center"/>
          </w:tcPr>
          <w:p w14:paraId="114884FC"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REOF-004/2020</w:t>
            </w:r>
          </w:p>
        </w:tc>
        <w:tc>
          <w:tcPr>
            <w:tcW w:w="839" w:type="dxa"/>
            <w:shd w:val="clear" w:color="auto" w:fill="auto"/>
            <w:noWrap/>
            <w:vAlign w:val="center"/>
          </w:tcPr>
          <w:p w14:paraId="2622639B"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Banobras, S.N.C.</w:t>
            </w:r>
          </w:p>
        </w:tc>
        <w:tc>
          <w:tcPr>
            <w:tcW w:w="839" w:type="dxa"/>
            <w:shd w:val="clear" w:color="auto" w:fill="auto"/>
            <w:noWrap/>
            <w:vAlign w:val="center"/>
          </w:tcPr>
          <w:p w14:paraId="105403A8"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tcPr>
          <w:p w14:paraId="021D0F6A"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Refinanciamiento de Deuda Anterior</w:t>
            </w:r>
          </w:p>
        </w:tc>
        <w:tc>
          <w:tcPr>
            <w:tcW w:w="919" w:type="dxa"/>
            <w:shd w:val="clear" w:color="auto" w:fill="auto"/>
            <w:noWrap/>
            <w:vAlign w:val="center"/>
          </w:tcPr>
          <w:p w14:paraId="2FE4FEA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4,495,366,938.89</w:t>
            </w:r>
          </w:p>
        </w:tc>
        <w:tc>
          <w:tcPr>
            <w:tcW w:w="1030" w:type="dxa"/>
            <w:shd w:val="clear" w:color="auto" w:fill="auto"/>
            <w:noWrap/>
            <w:vAlign w:val="center"/>
          </w:tcPr>
          <w:p w14:paraId="7F09CF1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4,470,565,999.50</w:t>
            </w:r>
          </w:p>
        </w:tc>
        <w:tc>
          <w:tcPr>
            <w:tcW w:w="1134" w:type="dxa"/>
            <w:shd w:val="clear" w:color="auto" w:fill="auto"/>
            <w:noWrap/>
            <w:vAlign w:val="center"/>
          </w:tcPr>
          <w:p w14:paraId="3659A8D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4,450,201,987.25</w:t>
            </w:r>
          </w:p>
        </w:tc>
        <w:tc>
          <w:tcPr>
            <w:tcW w:w="709" w:type="dxa"/>
            <w:shd w:val="clear" w:color="auto" w:fill="auto"/>
            <w:vAlign w:val="center"/>
          </w:tcPr>
          <w:p w14:paraId="28AE84FD"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789" w:type="dxa"/>
            <w:shd w:val="clear" w:color="auto" w:fill="auto"/>
            <w:vAlign w:val="center"/>
          </w:tcPr>
          <w:p w14:paraId="4A30ABAF"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SWAP</w:t>
            </w:r>
          </w:p>
        </w:tc>
        <w:tc>
          <w:tcPr>
            <w:tcW w:w="1474" w:type="dxa"/>
            <w:shd w:val="clear" w:color="auto" w:fill="auto"/>
            <w:vAlign w:val="center"/>
          </w:tcPr>
          <w:p w14:paraId="4837473E"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p>
        </w:tc>
      </w:tr>
      <w:tr w:rsidR="00542933" w:rsidRPr="00542933" w14:paraId="2F098F27" w14:textId="77777777" w:rsidTr="00542933">
        <w:trPr>
          <w:trHeight w:val="20"/>
          <w:jc w:val="center"/>
        </w:trPr>
        <w:tc>
          <w:tcPr>
            <w:tcW w:w="839" w:type="dxa"/>
            <w:shd w:val="clear" w:color="auto" w:fill="auto"/>
            <w:noWrap/>
            <w:vAlign w:val="center"/>
          </w:tcPr>
          <w:p w14:paraId="38F061B5"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REOF-005/2020</w:t>
            </w:r>
          </w:p>
        </w:tc>
        <w:tc>
          <w:tcPr>
            <w:tcW w:w="839" w:type="dxa"/>
            <w:shd w:val="clear" w:color="auto" w:fill="auto"/>
            <w:noWrap/>
            <w:vAlign w:val="center"/>
          </w:tcPr>
          <w:p w14:paraId="78E12009"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Banobras, S.N.C.</w:t>
            </w:r>
          </w:p>
        </w:tc>
        <w:tc>
          <w:tcPr>
            <w:tcW w:w="839" w:type="dxa"/>
            <w:shd w:val="clear" w:color="auto" w:fill="auto"/>
            <w:noWrap/>
            <w:vAlign w:val="center"/>
          </w:tcPr>
          <w:p w14:paraId="6F96FDD1"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tcPr>
          <w:p w14:paraId="0E942135"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Refinanciamiento de Deuda Anterior</w:t>
            </w:r>
          </w:p>
        </w:tc>
        <w:tc>
          <w:tcPr>
            <w:tcW w:w="919" w:type="dxa"/>
            <w:shd w:val="clear" w:color="auto" w:fill="auto"/>
            <w:noWrap/>
            <w:vAlign w:val="center"/>
          </w:tcPr>
          <w:p w14:paraId="63CA9F7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1,498,563,937.99</w:t>
            </w:r>
          </w:p>
        </w:tc>
        <w:tc>
          <w:tcPr>
            <w:tcW w:w="1030" w:type="dxa"/>
            <w:shd w:val="clear" w:color="auto" w:fill="auto"/>
            <w:noWrap/>
            <w:vAlign w:val="center"/>
          </w:tcPr>
          <w:p w14:paraId="6F55187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1,495,337,979.40</w:t>
            </w:r>
          </w:p>
        </w:tc>
        <w:tc>
          <w:tcPr>
            <w:tcW w:w="1134" w:type="dxa"/>
            <w:shd w:val="clear" w:color="auto" w:fill="auto"/>
            <w:noWrap/>
            <w:vAlign w:val="center"/>
          </w:tcPr>
          <w:p w14:paraId="2E992EF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1,492,915,251.07</w:t>
            </w:r>
          </w:p>
        </w:tc>
        <w:tc>
          <w:tcPr>
            <w:tcW w:w="709" w:type="dxa"/>
            <w:shd w:val="clear" w:color="auto" w:fill="auto"/>
            <w:vAlign w:val="center"/>
          </w:tcPr>
          <w:p w14:paraId="45AC163F"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789" w:type="dxa"/>
            <w:shd w:val="clear" w:color="auto" w:fill="auto"/>
            <w:vAlign w:val="center"/>
          </w:tcPr>
          <w:p w14:paraId="75DE382A"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SWAP</w:t>
            </w:r>
          </w:p>
        </w:tc>
        <w:tc>
          <w:tcPr>
            <w:tcW w:w="1474" w:type="dxa"/>
            <w:shd w:val="clear" w:color="auto" w:fill="auto"/>
            <w:vAlign w:val="center"/>
          </w:tcPr>
          <w:p w14:paraId="691D95D2"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p>
        </w:tc>
      </w:tr>
      <w:tr w:rsidR="00542933" w:rsidRPr="00542933" w14:paraId="46D626C7" w14:textId="77777777" w:rsidTr="00542933">
        <w:trPr>
          <w:trHeight w:val="20"/>
          <w:jc w:val="center"/>
        </w:trPr>
        <w:tc>
          <w:tcPr>
            <w:tcW w:w="839" w:type="dxa"/>
            <w:shd w:val="clear" w:color="auto" w:fill="auto"/>
            <w:noWrap/>
            <w:vAlign w:val="center"/>
          </w:tcPr>
          <w:p w14:paraId="1CC59A4B"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REOF-006/2020</w:t>
            </w:r>
          </w:p>
        </w:tc>
        <w:tc>
          <w:tcPr>
            <w:tcW w:w="839" w:type="dxa"/>
            <w:shd w:val="clear" w:color="auto" w:fill="auto"/>
            <w:noWrap/>
            <w:vAlign w:val="center"/>
          </w:tcPr>
          <w:p w14:paraId="63BD01E4"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Banobras, S.N.C.</w:t>
            </w:r>
          </w:p>
        </w:tc>
        <w:tc>
          <w:tcPr>
            <w:tcW w:w="839" w:type="dxa"/>
            <w:shd w:val="clear" w:color="auto" w:fill="auto"/>
            <w:noWrap/>
            <w:vAlign w:val="center"/>
          </w:tcPr>
          <w:p w14:paraId="64FE6F14"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tcPr>
          <w:p w14:paraId="0FF837A6"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Refinanciamiento de Deuda Anterior</w:t>
            </w:r>
          </w:p>
        </w:tc>
        <w:tc>
          <w:tcPr>
            <w:tcW w:w="919" w:type="dxa"/>
            <w:shd w:val="clear" w:color="auto" w:fill="auto"/>
            <w:noWrap/>
            <w:vAlign w:val="center"/>
          </w:tcPr>
          <w:p w14:paraId="407B859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768,625,525.01</w:t>
            </w:r>
          </w:p>
        </w:tc>
        <w:tc>
          <w:tcPr>
            <w:tcW w:w="1030" w:type="dxa"/>
            <w:shd w:val="clear" w:color="auto" w:fill="auto"/>
            <w:noWrap/>
            <w:vAlign w:val="center"/>
          </w:tcPr>
          <w:p w14:paraId="5DBFD03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764,385,017.96</w:t>
            </w:r>
          </w:p>
        </w:tc>
        <w:tc>
          <w:tcPr>
            <w:tcW w:w="1134" w:type="dxa"/>
            <w:shd w:val="clear" w:color="auto" w:fill="auto"/>
            <w:noWrap/>
            <w:vAlign w:val="center"/>
          </w:tcPr>
          <w:p w14:paraId="22A46F5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760,903,144.32</w:t>
            </w:r>
          </w:p>
        </w:tc>
        <w:tc>
          <w:tcPr>
            <w:tcW w:w="709" w:type="dxa"/>
            <w:shd w:val="clear" w:color="auto" w:fill="auto"/>
            <w:vAlign w:val="center"/>
          </w:tcPr>
          <w:p w14:paraId="1950BC92"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789" w:type="dxa"/>
            <w:shd w:val="clear" w:color="auto" w:fill="auto"/>
            <w:vAlign w:val="center"/>
          </w:tcPr>
          <w:p w14:paraId="495EDD98"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SWAP</w:t>
            </w:r>
          </w:p>
        </w:tc>
        <w:tc>
          <w:tcPr>
            <w:tcW w:w="1474" w:type="dxa"/>
            <w:shd w:val="clear" w:color="auto" w:fill="auto"/>
            <w:vAlign w:val="center"/>
          </w:tcPr>
          <w:p w14:paraId="5767DEAB"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p>
        </w:tc>
      </w:tr>
      <w:tr w:rsidR="00542933" w:rsidRPr="00542933" w14:paraId="3CFF9739" w14:textId="77777777" w:rsidTr="00542933">
        <w:trPr>
          <w:trHeight w:val="20"/>
          <w:jc w:val="center"/>
        </w:trPr>
        <w:tc>
          <w:tcPr>
            <w:tcW w:w="839" w:type="dxa"/>
            <w:shd w:val="clear" w:color="auto" w:fill="auto"/>
            <w:noWrap/>
            <w:vAlign w:val="center"/>
          </w:tcPr>
          <w:p w14:paraId="209A8646"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REOF-009/2020</w:t>
            </w:r>
          </w:p>
        </w:tc>
        <w:tc>
          <w:tcPr>
            <w:tcW w:w="839" w:type="dxa"/>
            <w:shd w:val="clear" w:color="auto" w:fill="auto"/>
            <w:noWrap/>
            <w:vAlign w:val="center"/>
          </w:tcPr>
          <w:p w14:paraId="631DE712"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HSBC México, S.A.</w:t>
            </w:r>
          </w:p>
        </w:tc>
        <w:tc>
          <w:tcPr>
            <w:tcW w:w="839" w:type="dxa"/>
            <w:shd w:val="clear" w:color="auto" w:fill="auto"/>
            <w:noWrap/>
            <w:vAlign w:val="center"/>
          </w:tcPr>
          <w:p w14:paraId="0D368DDC"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tcPr>
          <w:p w14:paraId="00ECEF1E"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Refinanciamiento de Deuda Anterior</w:t>
            </w:r>
          </w:p>
        </w:tc>
        <w:tc>
          <w:tcPr>
            <w:tcW w:w="919" w:type="dxa"/>
            <w:shd w:val="clear" w:color="auto" w:fill="auto"/>
            <w:noWrap/>
            <w:vAlign w:val="center"/>
          </w:tcPr>
          <w:p w14:paraId="1C9DFC3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498,408,447.14</w:t>
            </w:r>
          </w:p>
        </w:tc>
        <w:tc>
          <w:tcPr>
            <w:tcW w:w="1030" w:type="dxa"/>
            <w:shd w:val="clear" w:color="auto" w:fill="auto"/>
            <w:noWrap/>
            <w:vAlign w:val="center"/>
          </w:tcPr>
          <w:p w14:paraId="73E2555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497,722,886.33</w:t>
            </w:r>
          </w:p>
        </w:tc>
        <w:tc>
          <w:tcPr>
            <w:tcW w:w="1134" w:type="dxa"/>
            <w:shd w:val="clear" w:color="auto" w:fill="auto"/>
            <w:noWrap/>
            <w:vAlign w:val="center"/>
          </w:tcPr>
          <w:p w14:paraId="4CF03A1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497,137,455.77</w:t>
            </w:r>
          </w:p>
        </w:tc>
        <w:tc>
          <w:tcPr>
            <w:tcW w:w="709" w:type="dxa"/>
            <w:shd w:val="clear" w:color="auto" w:fill="auto"/>
            <w:vAlign w:val="center"/>
          </w:tcPr>
          <w:p w14:paraId="36F15A00"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789" w:type="dxa"/>
            <w:shd w:val="clear" w:color="auto" w:fill="auto"/>
            <w:vAlign w:val="center"/>
          </w:tcPr>
          <w:p w14:paraId="64167D14"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1474" w:type="dxa"/>
            <w:shd w:val="clear" w:color="auto" w:fill="auto"/>
            <w:vAlign w:val="center"/>
          </w:tcPr>
          <w:p w14:paraId="4DC94241"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p>
        </w:tc>
      </w:tr>
      <w:tr w:rsidR="00542933" w:rsidRPr="00542933" w14:paraId="436610A8" w14:textId="77777777" w:rsidTr="00542933">
        <w:trPr>
          <w:trHeight w:val="20"/>
          <w:jc w:val="center"/>
        </w:trPr>
        <w:tc>
          <w:tcPr>
            <w:tcW w:w="839" w:type="dxa"/>
            <w:shd w:val="clear" w:color="auto" w:fill="auto"/>
            <w:noWrap/>
            <w:vAlign w:val="center"/>
          </w:tcPr>
          <w:p w14:paraId="345936DB"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REOF-008/2020</w:t>
            </w:r>
          </w:p>
        </w:tc>
        <w:tc>
          <w:tcPr>
            <w:tcW w:w="839" w:type="dxa"/>
            <w:shd w:val="clear" w:color="auto" w:fill="auto"/>
            <w:noWrap/>
            <w:vAlign w:val="center"/>
          </w:tcPr>
          <w:p w14:paraId="5D9A3E88"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HSBC México, S.A.</w:t>
            </w:r>
          </w:p>
        </w:tc>
        <w:tc>
          <w:tcPr>
            <w:tcW w:w="839" w:type="dxa"/>
            <w:shd w:val="clear" w:color="auto" w:fill="auto"/>
            <w:noWrap/>
            <w:vAlign w:val="center"/>
          </w:tcPr>
          <w:p w14:paraId="015DD27C"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tcPr>
          <w:p w14:paraId="076081D1"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Refinanciamiento de Deuda Anterior</w:t>
            </w:r>
          </w:p>
        </w:tc>
        <w:tc>
          <w:tcPr>
            <w:tcW w:w="919" w:type="dxa"/>
            <w:shd w:val="clear" w:color="auto" w:fill="auto"/>
            <w:noWrap/>
            <w:vAlign w:val="center"/>
          </w:tcPr>
          <w:p w14:paraId="1C60ED3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647,930,981.26</w:t>
            </w:r>
          </w:p>
        </w:tc>
        <w:tc>
          <w:tcPr>
            <w:tcW w:w="1030" w:type="dxa"/>
            <w:shd w:val="clear" w:color="auto" w:fill="auto"/>
            <w:noWrap/>
            <w:vAlign w:val="center"/>
          </w:tcPr>
          <w:p w14:paraId="4D7853F8"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647,039,752.18</w:t>
            </w:r>
          </w:p>
        </w:tc>
        <w:tc>
          <w:tcPr>
            <w:tcW w:w="1134" w:type="dxa"/>
            <w:shd w:val="clear" w:color="auto" w:fill="auto"/>
            <w:noWrap/>
            <w:vAlign w:val="center"/>
          </w:tcPr>
          <w:p w14:paraId="1C3A272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646,278,692.45</w:t>
            </w:r>
          </w:p>
        </w:tc>
        <w:tc>
          <w:tcPr>
            <w:tcW w:w="709" w:type="dxa"/>
            <w:shd w:val="clear" w:color="auto" w:fill="auto"/>
            <w:vAlign w:val="center"/>
          </w:tcPr>
          <w:p w14:paraId="7DFCBB10"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789" w:type="dxa"/>
            <w:shd w:val="clear" w:color="auto" w:fill="auto"/>
            <w:vAlign w:val="center"/>
          </w:tcPr>
          <w:p w14:paraId="63A141FB"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1474" w:type="dxa"/>
            <w:shd w:val="clear" w:color="auto" w:fill="auto"/>
            <w:vAlign w:val="center"/>
          </w:tcPr>
          <w:p w14:paraId="3C6D2D0D"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p>
        </w:tc>
      </w:tr>
      <w:tr w:rsidR="00542933" w:rsidRPr="00542933" w14:paraId="21CC0FFC" w14:textId="77777777" w:rsidTr="00542933">
        <w:trPr>
          <w:trHeight w:val="20"/>
          <w:jc w:val="center"/>
        </w:trPr>
        <w:tc>
          <w:tcPr>
            <w:tcW w:w="839" w:type="dxa"/>
            <w:shd w:val="clear" w:color="auto" w:fill="auto"/>
            <w:noWrap/>
            <w:vAlign w:val="center"/>
          </w:tcPr>
          <w:p w14:paraId="3D99DB11"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REOF-004/2021</w:t>
            </w:r>
          </w:p>
        </w:tc>
        <w:tc>
          <w:tcPr>
            <w:tcW w:w="839" w:type="dxa"/>
            <w:shd w:val="clear" w:color="auto" w:fill="auto"/>
            <w:noWrap/>
            <w:vAlign w:val="center"/>
          </w:tcPr>
          <w:p w14:paraId="5275F371"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Banobras, S.N.C. (FAFEF)</w:t>
            </w:r>
          </w:p>
        </w:tc>
        <w:tc>
          <w:tcPr>
            <w:tcW w:w="839" w:type="dxa"/>
            <w:shd w:val="clear" w:color="auto" w:fill="auto"/>
            <w:noWrap/>
            <w:vAlign w:val="center"/>
          </w:tcPr>
          <w:p w14:paraId="12090ED8"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Inversión Pública</w:t>
            </w:r>
          </w:p>
        </w:tc>
        <w:tc>
          <w:tcPr>
            <w:tcW w:w="913" w:type="dxa"/>
            <w:shd w:val="clear" w:color="auto" w:fill="auto"/>
            <w:noWrap/>
            <w:vAlign w:val="center"/>
          </w:tcPr>
          <w:p w14:paraId="008B3151"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Inversión Pública Productiva</w:t>
            </w:r>
          </w:p>
        </w:tc>
        <w:tc>
          <w:tcPr>
            <w:tcW w:w="919" w:type="dxa"/>
            <w:shd w:val="clear" w:color="auto" w:fill="auto"/>
            <w:noWrap/>
            <w:vAlign w:val="center"/>
          </w:tcPr>
          <w:p w14:paraId="76EF906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644,303,706.59</w:t>
            </w:r>
          </w:p>
        </w:tc>
        <w:tc>
          <w:tcPr>
            <w:tcW w:w="1030" w:type="dxa"/>
            <w:shd w:val="clear" w:color="auto" w:fill="auto"/>
            <w:noWrap/>
            <w:vAlign w:val="center"/>
          </w:tcPr>
          <w:p w14:paraId="5F84483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642,325,542.39</w:t>
            </w:r>
          </w:p>
        </w:tc>
        <w:tc>
          <w:tcPr>
            <w:tcW w:w="1134" w:type="dxa"/>
            <w:shd w:val="clear" w:color="auto" w:fill="auto"/>
            <w:noWrap/>
            <w:vAlign w:val="center"/>
          </w:tcPr>
          <w:p w14:paraId="70D34835" w14:textId="77777777" w:rsidR="00542933" w:rsidRPr="00542933" w:rsidRDefault="001376C7"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Pr>
                <w:rFonts w:ascii="Arial" w:eastAsia="Times New Roman" w:hAnsi="Arial" w:cs="Arial"/>
                <w:color w:val="000000"/>
                <w:sz w:val="10"/>
                <w:szCs w:val="10"/>
                <w:lang w:val="es-ES" w:eastAsia="es-MX" w:bidi="es-ES"/>
              </w:rPr>
              <w:t xml:space="preserve">    </w:t>
            </w:r>
            <w:r w:rsidR="00542933" w:rsidRPr="00542933">
              <w:rPr>
                <w:rFonts w:ascii="Arial" w:eastAsia="Times New Roman" w:hAnsi="Arial" w:cs="Arial"/>
                <w:color w:val="000000"/>
                <w:sz w:val="10"/>
                <w:szCs w:val="10"/>
                <w:lang w:val="es-ES" w:eastAsia="es-MX" w:bidi="es-ES"/>
              </w:rPr>
              <w:t xml:space="preserve"> </w:t>
            </w:r>
          </w:p>
          <w:p w14:paraId="74861E79" w14:textId="77777777" w:rsidR="00542933" w:rsidRPr="00542933" w:rsidRDefault="001376C7"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Pr>
                <w:rFonts w:ascii="Arial" w:eastAsia="Times New Roman" w:hAnsi="Arial" w:cs="Arial"/>
                <w:color w:val="000000"/>
                <w:sz w:val="10"/>
                <w:szCs w:val="10"/>
                <w:lang w:val="es-ES" w:eastAsia="es-MX" w:bidi="es-ES"/>
              </w:rPr>
              <w:t xml:space="preserve">    </w:t>
            </w:r>
            <w:r w:rsidR="00542933" w:rsidRPr="00542933">
              <w:rPr>
                <w:rFonts w:ascii="Arial" w:eastAsia="Times New Roman" w:hAnsi="Arial" w:cs="Arial"/>
                <w:color w:val="000000"/>
                <w:sz w:val="10"/>
                <w:szCs w:val="10"/>
                <w:lang w:val="es-ES" w:eastAsia="es-MX" w:bidi="es-ES"/>
              </w:rPr>
              <w:t xml:space="preserve"> 802,225,579.72 </w:t>
            </w:r>
          </w:p>
          <w:p w14:paraId="584C06A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p>
          <w:p w14:paraId="77A8613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p>
        </w:tc>
        <w:tc>
          <w:tcPr>
            <w:tcW w:w="709" w:type="dxa"/>
            <w:shd w:val="clear" w:color="auto" w:fill="auto"/>
            <w:vAlign w:val="center"/>
          </w:tcPr>
          <w:p w14:paraId="11A6D420"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789" w:type="dxa"/>
            <w:shd w:val="clear" w:color="auto" w:fill="auto"/>
            <w:vAlign w:val="center"/>
          </w:tcPr>
          <w:p w14:paraId="48249263"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1474" w:type="dxa"/>
            <w:shd w:val="clear" w:color="auto" w:fill="auto"/>
            <w:vAlign w:val="center"/>
          </w:tcPr>
          <w:p w14:paraId="3E10B3BC"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p>
        </w:tc>
      </w:tr>
      <w:tr w:rsidR="00542933" w:rsidRPr="00542933" w14:paraId="2359B478" w14:textId="77777777" w:rsidTr="00542933">
        <w:trPr>
          <w:trHeight w:val="20"/>
          <w:jc w:val="center"/>
        </w:trPr>
        <w:tc>
          <w:tcPr>
            <w:tcW w:w="839" w:type="dxa"/>
            <w:shd w:val="clear" w:color="auto" w:fill="BFBFBF"/>
            <w:noWrap/>
            <w:vAlign w:val="center"/>
          </w:tcPr>
          <w:p w14:paraId="2C8E0479"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839" w:type="dxa"/>
            <w:shd w:val="clear" w:color="auto" w:fill="BFBFBF"/>
            <w:noWrap/>
            <w:vAlign w:val="center"/>
          </w:tcPr>
          <w:p w14:paraId="5F4E6C33"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p>
        </w:tc>
        <w:tc>
          <w:tcPr>
            <w:tcW w:w="839" w:type="dxa"/>
            <w:shd w:val="clear" w:color="auto" w:fill="BFBFBF"/>
            <w:noWrap/>
            <w:vAlign w:val="center"/>
          </w:tcPr>
          <w:p w14:paraId="5E99BCFD"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p>
        </w:tc>
        <w:tc>
          <w:tcPr>
            <w:tcW w:w="913" w:type="dxa"/>
            <w:shd w:val="clear" w:color="auto" w:fill="BFBFBF"/>
            <w:noWrap/>
            <w:vAlign w:val="center"/>
          </w:tcPr>
          <w:p w14:paraId="4AF4154B"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p>
        </w:tc>
        <w:tc>
          <w:tcPr>
            <w:tcW w:w="919" w:type="dxa"/>
            <w:shd w:val="clear" w:color="auto" w:fill="BFBFBF"/>
            <w:noWrap/>
            <w:vAlign w:val="center"/>
          </w:tcPr>
          <w:p w14:paraId="10E1C0DB"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b/>
                <w:bCs/>
                <w:color w:val="000000"/>
                <w:sz w:val="10"/>
                <w:szCs w:val="10"/>
                <w:lang w:val="es-ES" w:eastAsia="es-MX" w:bidi="es-ES"/>
              </w:rPr>
              <w:t>Subtotal</w:t>
            </w:r>
          </w:p>
        </w:tc>
        <w:tc>
          <w:tcPr>
            <w:tcW w:w="1030" w:type="dxa"/>
            <w:shd w:val="clear" w:color="auto" w:fill="BFBFBF"/>
            <w:noWrap/>
            <w:vAlign w:val="center"/>
          </w:tcPr>
          <w:p w14:paraId="3FB04689"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fldChar w:fldCharType="begin"/>
            </w:r>
            <w:r w:rsidRPr="00542933">
              <w:rPr>
                <w:rFonts w:ascii="Arial" w:eastAsia="Times New Roman" w:hAnsi="Arial" w:cs="Arial"/>
                <w:b/>
                <w:bCs/>
                <w:color w:val="000000"/>
                <w:sz w:val="10"/>
                <w:szCs w:val="10"/>
                <w:lang w:val="es-ES" w:eastAsia="es-MX" w:bidi="es-ES"/>
              </w:rPr>
              <w:instrText xml:space="preserve"> =SUM(ABOVE) </w:instrText>
            </w:r>
            <w:r w:rsidRPr="00542933">
              <w:rPr>
                <w:rFonts w:ascii="Arial" w:eastAsia="Times New Roman" w:hAnsi="Arial" w:cs="Arial"/>
                <w:b/>
                <w:bCs/>
                <w:color w:val="000000"/>
                <w:sz w:val="10"/>
                <w:szCs w:val="10"/>
                <w:lang w:val="es-ES" w:eastAsia="es-MX" w:bidi="es-ES"/>
              </w:rPr>
              <w:fldChar w:fldCharType="separate"/>
            </w:r>
            <w:r w:rsidRPr="00542933">
              <w:rPr>
                <w:rFonts w:ascii="Arial" w:eastAsia="Times New Roman" w:hAnsi="Arial" w:cs="Arial"/>
                <w:b/>
                <w:bCs/>
                <w:noProof/>
                <w:color w:val="000000"/>
                <w:sz w:val="10"/>
                <w:szCs w:val="10"/>
                <w:lang w:val="es-ES" w:eastAsia="es-MX" w:bidi="es-ES"/>
              </w:rPr>
              <w:t>$19,543,980,674.09</w:t>
            </w:r>
            <w:r w:rsidRPr="00542933">
              <w:rPr>
                <w:rFonts w:ascii="Arial" w:eastAsia="Times New Roman" w:hAnsi="Arial" w:cs="Arial"/>
                <w:b/>
                <w:bCs/>
                <w:color w:val="000000"/>
                <w:sz w:val="10"/>
                <w:szCs w:val="10"/>
                <w:lang w:val="es-ES" w:eastAsia="es-MX" w:bidi="es-ES"/>
              </w:rPr>
              <w:fldChar w:fldCharType="end"/>
            </w:r>
          </w:p>
        </w:tc>
        <w:tc>
          <w:tcPr>
            <w:tcW w:w="1134" w:type="dxa"/>
            <w:shd w:val="clear" w:color="auto" w:fill="BFBFBF"/>
            <w:noWrap/>
            <w:vAlign w:val="center"/>
          </w:tcPr>
          <w:p w14:paraId="688EB95A"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$19,658,989,933.59</w:t>
            </w:r>
          </w:p>
        </w:tc>
        <w:tc>
          <w:tcPr>
            <w:tcW w:w="709" w:type="dxa"/>
            <w:shd w:val="clear" w:color="auto" w:fill="BFBFBF"/>
            <w:vAlign w:val="center"/>
          </w:tcPr>
          <w:p w14:paraId="4669ABC1"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789" w:type="dxa"/>
            <w:shd w:val="clear" w:color="auto" w:fill="BFBFBF"/>
            <w:vAlign w:val="center"/>
          </w:tcPr>
          <w:p w14:paraId="5EEEE0D4"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1474" w:type="dxa"/>
            <w:shd w:val="clear" w:color="auto" w:fill="BFBFBF"/>
            <w:vAlign w:val="center"/>
          </w:tcPr>
          <w:p w14:paraId="0D341D6E" w14:textId="77777777" w:rsidR="00542933" w:rsidRPr="00542933" w:rsidRDefault="00542933" w:rsidP="00542933">
            <w:pPr>
              <w:widowControl w:val="0"/>
              <w:autoSpaceDE w:val="0"/>
              <w:autoSpaceDN w:val="0"/>
              <w:spacing w:after="0" w:line="240" w:lineRule="auto"/>
              <w:jc w:val="both"/>
              <w:rPr>
                <w:rFonts w:ascii="Arial" w:eastAsia="Times New Roman" w:hAnsi="Arial" w:cs="Arial"/>
                <w:color w:val="000000"/>
                <w:sz w:val="10"/>
                <w:szCs w:val="10"/>
                <w:lang w:val="es-ES" w:eastAsia="es-MX" w:bidi="es-ES"/>
              </w:rPr>
            </w:pPr>
          </w:p>
        </w:tc>
      </w:tr>
    </w:tbl>
    <w:p w14:paraId="436D1937" w14:textId="77777777" w:rsidR="00542933" w:rsidRPr="00542933" w:rsidRDefault="00542933" w:rsidP="00542933">
      <w:pPr>
        <w:widowControl w:val="0"/>
        <w:tabs>
          <w:tab w:val="left" w:pos="1574"/>
        </w:tabs>
        <w:autoSpaceDE w:val="0"/>
        <w:autoSpaceDN w:val="0"/>
        <w:spacing w:after="0" w:line="240" w:lineRule="auto"/>
        <w:ind w:left="1276"/>
        <w:rPr>
          <w:rFonts w:ascii="Arial" w:eastAsia="Times New Roman" w:hAnsi="Arial" w:cs="Arial"/>
          <w:b/>
          <w:bCs/>
          <w:color w:val="000000"/>
          <w:sz w:val="14"/>
          <w:szCs w:val="10"/>
          <w:lang w:eastAsia="es-MX"/>
        </w:rPr>
      </w:pPr>
    </w:p>
    <w:p w14:paraId="4B6D209B" w14:textId="77777777" w:rsidR="00542933" w:rsidRPr="00542933" w:rsidRDefault="00542933" w:rsidP="00542933">
      <w:pPr>
        <w:widowControl w:val="0"/>
        <w:tabs>
          <w:tab w:val="left" w:pos="1574"/>
        </w:tabs>
        <w:autoSpaceDE w:val="0"/>
        <w:autoSpaceDN w:val="0"/>
        <w:spacing w:after="0" w:line="240" w:lineRule="auto"/>
        <w:ind w:left="284" w:hanging="283"/>
        <w:jc w:val="both"/>
        <w:rPr>
          <w:rFonts w:ascii="Arial" w:eastAsia="Times New Roman" w:hAnsi="Arial" w:cs="Arial"/>
          <w:bCs/>
          <w:color w:val="000000"/>
          <w:sz w:val="14"/>
          <w:szCs w:val="10"/>
          <w:lang w:eastAsia="es-MX"/>
        </w:rPr>
      </w:pPr>
      <w:r w:rsidRPr="00542933">
        <w:rPr>
          <w:rFonts w:ascii="Arial" w:eastAsia="Times New Roman" w:hAnsi="Arial" w:cs="Arial"/>
          <w:bCs/>
          <w:color w:val="000000"/>
          <w:sz w:val="14"/>
          <w:szCs w:val="10"/>
          <w:lang w:eastAsia="es-MX"/>
        </w:rPr>
        <w:t xml:space="preserve">Elaboración propia de la ASEQROO. </w:t>
      </w:r>
    </w:p>
    <w:p w14:paraId="3488BB0B" w14:textId="77777777" w:rsidR="00542933" w:rsidRPr="00542933" w:rsidRDefault="00542933" w:rsidP="00542933">
      <w:pPr>
        <w:widowControl w:val="0"/>
        <w:tabs>
          <w:tab w:val="left" w:pos="1574"/>
        </w:tabs>
        <w:autoSpaceDE w:val="0"/>
        <w:autoSpaceDN w:val="0"/>
        <w:spacing w:after="0" w:line="240" w:lineRule="auto"/>
        <w:ind w:left="284" w:hanging="283"/>
        <w:jc w:val="both"/>
        <w:rPr>
          <w:rFonts w:ascii="Arial" w:eastAsia="Times New Roman" w:hAnsi="Arial" w:cs="Arial"/>
          <w:bCs/>
          <w:color w:val="000000"/>
          <w:sz w:val="14"/>
          <w:szCs w:val="10"/>
          <w:lang w:eastAsia="es-MX"/>
        </w:rPr>
      </w:pPr>
      <w:r w:rsidRPr="00542933">
        <w:rPr>
          <w:rFonts w:ascii="Arial" w:eastAsia="Times New Roman" w:hAnsi="Arial" w:cs="Arial"/>
          <w:b/>
          <w:bCs/>
          <w:color w:val="000000"/>
          <w:sz w:val="14"/>
          <w:szCs w:val="10"/>
          <w:lang w:eastAsia="es-MX"/>
        </w:rPr>
        <w:t>Fuente:</w:t>
      </w:r>
      <w:r w:rsidRPr="00542933">
        <w:rPr>
          <w:rFonts w:ascii="Arial" w:eastAsia="Times New Roman" w:hAnsi="Arial" w:cs="Arial"/>
          <w:bCs/>
          <w:color w:val="000000"/>
          <w:sz w:val="14"/>
          <w:szCs w:val="10"/>
          <w:lang w:eastAsia="es-MX"/>
        </w:rPr>
        <w:t xml:space="preserve"> Auxiliar contable del pasivo y gasto emitido por la Secretaría de Finanzas y Planeación.</w:t>
      </w:r>
    </w:p>
    <w:p w14:paraId="7C7C5B93" w14:textId="77777777" w:rsidR="00542933" w:rsidRPr="00542933" w:rsidRDefault="00542933" w:rsidP="005E03DC">
      <w:pPr>
        <w:widowControl w:val="0"/>
        <w:autoSpaceDE w:val="0"/>
        <w:autoSpaceDN w:val="0"/>
        <w:spacing w:before="225" w:after="0" w:line="240" w:lineRule="auto"/>
        <w:ind w:left="567"/>
        <w:jc w:val="both"/>
        <w:rPr>
          <w:rFonts w:ascii="Arial" w:eastAsia="Arial" w:hAnsi="Arial" w:cs="Arial"/>
          <w:b/>
          <w:sz w:val="24"/>
          <w:lang w:val="es-ES" w:eastAsia="es-ES" w:bidi="es-ES"/>
        </w:rPr>
      </w:pPr>
      <w:r w:rsidRPr="00542933">
        <w:rPr>
          <w:rFonts w:ascii="Arial" w:eastAsia="Arial" w:hAnsi="Arial" w:cs="Arial"/>
          <w:b/>
          <w:sz w:val="24"/>
          <w:lang w:val="es-ES" w:eastAsia="es-ES" w:bidi="es-ES"/>
        </w:rPr>
        <w:t>Amortización, Intereses, Costos y Gastos pagados de la Deuda Pública a largo plazo en el ejercicio fiscal 2022:</w:t>
      </w:r>
    </w:p>
    <w:p w14:paraId="49D21AA7" w14:textId="77777777" w:rsidR="00542933" w:rsidRPr="00542933" w:rsidRDefault="00542933" w:rsidP="00542933">
      <w:pPr>
        <w:widowControl w:val="0"/>
        <w:autoSpaceDE w:val="0"/>
        <w:autoSpaceDN w:val="0"/>
        <w:spacing w:before="225" w:after="0" w:line="240" w:lineRule="auto"/>
        <w:rPr>
          <w:rFonts w:ascii="Arial" w:eastAsia="Arial" w:hAnsi="Arial" w:cs="Arial"/>
          <w:b/>
          <w:sz w:val="14"/>
          <w:szCs w:val="14"/>
          <w:lang w:val="es-ES" w:eastAsia="es-ES" w:bidi="es-ES"/>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70" w:type="dxa"/>
          <w:right w:w="70" w:type="dxa"/>
        </w:tblCellMar>
        <w:tblLook w:val="04A0" w:firstRow="1" w:lastRow="0" w:firstColumn="1" w:lastColumn="0" w:noHBand="0" w:noVBand="1"/>
      </w:tblPr>
      <w:tblGrid>
        <w:gridCol w:w="704"/>
        <w:gridCol w:w="567"/>
        <w:gridCol w:w="1134"/>
        <w:gridCol w:w="1134"/>
        <w:gridCol w:w="993"/>
        <w:gridCol w:w="708"/>
        <w:gridCol w:w="851"/>
        <w:gridCol w:w="992"/>
        <w:gridCol w:w="1134"/>
        <w:gridCol w:w="1134"/>
      </w:tblGrid>
      <w:tr w:rsidR="00542933" w:rsidRPr="00542933" w14:paraId="0BE5DA5C" w14:textId="77777777" w:rsidTr="00542933">
        <w:trPr>
          <w:trHeight w:val="378"/>
          <w:tblHeader/>
          <w:jc w:val="center"/>
        </w:trPr>
        <w:tc>
          <w:tcPr>
            <w:tcW w:w="704" w:type="dxa"/>
            <w:shd w:val="clear" w:color="000000" w:fill="D9D9D9"/>
            <w:vAlign w:val="center"/>
            <w:hideMark/>
          </w:tcPr>
          <w:p w14:paraId="1C554313"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Banco</w:t>
            </w:r>
          </w:p>
        </w:tc>
        <w:tc>
          <w:tcPr>
            <w:tcW w:w="567" w:type="dxa"/>
            <w:shd w:val="clear" w:color="000000" w:fill="D9D9D9"/>
            <w:vAlign w:val="center"/>
            <w:hideMark/>
          </w:tcPr>
          <w:p w14:paraId="0DFAF18B"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Contrato</w:t>
            </w:r>
          </w:p>
        </w:tc>
        <w:tc>
          <w:tcPr>
            <w:tcW w:w="1134" w:type="dxa"/>
            <w:shd w:val="clear" w:color="000000" w:fill="D9D9D9"/>
            <w:vAlign w:val="center"/>
            <w:hideMark/>
          </w:tcPr>
          <w:p w14:paraId="6F111977"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Saldo Inicial</w:t>
            </w:r>
          </w:p>
        </w:tc>
        <w:tc>
          <w:tcPr>
            <w:tcW w:w="1134" w:type="dxa"/>
            <w:shd w:val="clear" w:color="000000" w:fill="D9D9D9"/>
            <w:vAlign w:val="center"/>
            <w:hideMark/>
          </w:tcPr>
          <w:p w14:paraId="7E0ADE5E"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Amortización de la Deuda</w:t>
            </w:r>
          </w:p>
        </w:tc>
        <w:tc>
          <w:tcPr>
            <w:tcW w:w="993" w:type="dxa"/>
            <w:shd w:val="clear" w:color="000000" w:fill="D9D9D9"/>
            <w:vAlign w:val="center"/>
            <w:hideMark/>
          </w:tcPr>
          <w:p w14:paraId="0201AAF9"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Interés de la Deuda</w:t>
            </w:r>
          </w:p>
        </w:tc>
        <w:tc>
          <w:tcPr>
            <w:tcW w:w="708" w:type="dxa"/>
            <w:shd w:val="clear" w:color="000000" w:fill="D9D9D9"/>
            <w:vAlign w:val="center"/>
            <w:hideMark/>
          </w:tcPr>
          <w:p w14:paraId="1508B873"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Comisión de la Deuda</w:t>
            </w:r>
          </w:p>
        </w:tc>
        <w:tc>
          <w:tcPr>
            <w:tcW w:w="851" w:type="dxa"/>
            <w:shd w:val="clear" w:color="000000" w:fill="D9D9D9"/>
            <w:vAlign w:val="center"/>
            <w:hideMark/>
          </w:tcPr>
          <w:p w14:paraId="0A98CAC8"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Gasto de la Deuda</w:t>
            </w:r>
          </w:p>
        </w:tc>
        <w:tc>
          <w:tcPr>
            <w:tcW w:w="992" w:type="dxa"/>
            <w:shd w:val="clear" w:color="000000" w:fill="D9D9D9"/>
            <w:vAlign w:val="center"/>
            <w:hideMark/>
          </w:tcPr>
          <w:p w14:paraId="22A80B36"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Costo por Coberturas de la Deuda</w:t>
            </w:r>
          </w:p>
        </w:tc>
        <w:tc>
          <w:tcPr>
            <w:tcW w:w="1134" w:type="dxa"/>
            <w:shd w:val="clear" w:color="000000" w:fill="D9D9D9"/>
            <w:vAlign w:val="center"/>
            <w:hideMark/>
          </w:tcPr>
          <w:p w14:paraId="23C2E512"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Total</w:t>
            </w:r>
          </w:p>
        </w:tc>
        <w:tc>
          <w:tcPr>
            <w:tcW w:w="1134" w:type="dxa"/>
            <w:shd w:val="clear" w:color="000000" w:fill="D9D9D9"/>
            <w:vAlign w:val="center"/>
            <w:hideMark/>
          </w:tcPr>
          <w:p w14:paraId="06DA9DD6"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Saldo Final</w:t>
            </w:r>
          </w:p>
        </w:tc>
      </w:tr>
      <w:tr w:rsidR="00542933" w:rsidRPr="00542933" w14:paraId="60423ED7" w14:textId="77777777" w:rsidTr="00542933">
        <w:trPr>
          <w:trHeight w:val="20"/>
          <w:jc w:val="center"/>
        </w:trPr>
        <w:tc>
          <w:tcPr>
            <w:tcW w:w="704" w:type="dxa"/>
            <w:shd w:val="clear" w:color="auto" w:fill="auto"/>
            <w:vAlign w:val="center"/>
          </w:tcPr>
          <w:p w14:paraId="0BF6B711"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Banobras, S.N.C. (PROFISE)</w:t>
            </w:r>
          </w:p>
        </w:tc>
        <w:tc>
          <w:tcPr>
            <w:tcW w:w="567" w:type="dxa"/>
            <w:shd w:val="clear" w:color="auto" w:fill="auto"/>
            <w:noWrap/>
            <w:vAlign w:val="center"/>
          </w:tcPr>
          <w:p w14:paraId="12D9D122"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RUOE-069GOB/2012</w:t>
            </w:r>
          </w:p>
        </w:tc>
        <w:tc>
          <w:tcPr>
            <w:tcW w:w="1134" w:type="dxa"/>
            <w:shd w:val="clear" w:color="auto" w:fill="auto"/>
            <w:noWrap/>
            <w:vAlign w:val="center"/>
          </w:tcPr>
          <w:p w14:paraId="4938C38B" w14:textId="77777777" w:rsidR="00542933" w:rsidRPr="00542933" w:rsidRDefault="00542933" w:rsidP="00542933">
            <w:pPr>
              <w:tabs>
                <w:tab w:val="left" w:pos="249"/>
              </w:tabs>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$262,861,190.00</w:t>
            </w:r>
          </w:p>
        </w:tc>
        <w:tc>
          <w:tcPr>
            <w:tcW w:w="1134" w:type="dxa"/>
            <w:shd w:val="clear" w:color="auto" w:fill="auto"/>
            <w:noWrap/>
            <w:vAlign w:val="center"/>
          </w:tcPr>
          <w:p w14:paraId="21B27C3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3" w:type="dxa"/>
            <w:shd w:val="clear" w:color="auto" w:fill="auto"/>
            <w:noWrap/>
            <w:vAlign w:val="center"/>
          </w:tcPr>
          <w:p w14:paraId="575355B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$ 21,822,461.28</w:t>
            </w:r>
          </w:p>
        </w:tc>
        <w:tc>
          <w:tcPr>
            <w:tcW w:w="708" w:type="dxa"/>
            <w:shd w:val="clear" w:color="auto" w:fill="auto"/>
            <w:noWrap/>
            <w:vAlign w:val="center"/>
          </w:tcPr>
          <w:p w14:paraId="330B44B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5258CD8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2" w:type="dxa"/>
            <w:shd w:val="clear" w:color="auto" w:fill="auto"/>
            <w:noWrap/>
            <w:vAlign w:val="center"/>
          </w:tcPr>
          <w:p w14:paraId="33D220E4"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1F44AB0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$ 21,822,461.28</w:t>
            </w:r>
          </w:p>
        </w:tc>
        <w:tc>
          <w:tcPr>
            <w:tcW w:w="1134" w:type="dxa"/>
            <w:shd w:val="clear" w:color="auto" w:fill="auto"/>
            <w:noWrap/>
            <w:vAlign w:val="center"/>
          </w:tcPr>
          <w:p w14:paraId="28625AC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$ 262,861,190.00</w:t>
            </w:r>
          </w:p>
        </w:tc>
      </w:tr>
      <w:tr w:rsidR="00542933" w:rsidRPr="00542933" w14:paraId="5F5CDFAD" w14:textId="77777777" w:rsidTr="00542933">
        <w:trPr>
          <w:trHeight w:val="20"/>
          <w:jc w:val="center"/>
        </w:trPr>
        <w:tc>
          <w:tcPr>
            <w:tcW w:w="704" w:type="dxa"/>
            <w:shd w:val="clear" w:color="auto" w:fill="auto"/>
            <w:vAlign w:val="center"/>
          </w:tcPr>
          <w:p w14:paraId="6871AC2C"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Hsbc México, S.A.</w:t>
            </w:r>
          </w:p>
        </w:tc>
        <w:tc>
          <w:tcPr>
            <w:tcW w:w="567" w:type="dxa"/>
            <w:shd w:val="clear" w:color="auto" w:fill="auto"/>
            <w:vAlign w:val="center"/>
          </w:tcPr>
          <w:p w14:paraId="6BE70DAA"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REOF-011/2016</w:t>
            </w:r>
          </w:p>
        </w:tc>
        <w:tc>
          <w:tcPr>
            <w:tcW w:w="1134" w:type="dxa"/>
            <w:shd w:val="clear" w:color="auto" w:fill="auto"/>
            <w:noWrap/>
            <w:vAlign w:val="center"/>
          </w:tcPr>
          <w:p w14:paraId="1A04325D"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c>
          <w:tcPr>
            <w:tcW w:w="1134" w:type="dxa"/>
            <w:shd w:val="clear" w:color="auto" w:fill="auto"/>
            <w:noWrap/>
            <w:vAlign w:val="center"/>
          </w:tcPr>
          <w:p w14:paraId="2E0CDA2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3" w:type="dxa"/>
            <w:shd w:val="clear" w:color="auto" w:fill="auto"/>
            <w:noWrap/>
            <w:vAlign w:val="center"/>
          </w:tcPr>
          <w:p w14:paraId="3E19BEC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708" w:type="dxa"/>
            <w:shd w:val="clear" w:color="auto" w:fill="auto"/>
            <w:noWrap/>
            <w:vAlign w:val="center"/>
          </w:tcPr>
          <w:p w14:paraId="7CB852A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464878C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2" w:type="dxa"/>
            <w:shd w:val="clear" w:color="auto" w:fill="auto"/>
            <w:noWrap/>
            <w:vAlign w:val="center"/>
          </w:tcPr>
          <w:p w14:paraId="654E8AD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$ 8,408,364.03</w:t>
            </w:r>
          </w:p>
        </w:tc>
        <w:tc>
          <w:tcPr>
            <w:tcW w:w="1134" w:type="dxa"/>
            <w:shd w:val="clear" w:color="auto" w:fill="auto"/>
            <w:noWrap/>
            <w:vAlign w:val="center"/>
          </w:tcPr>
          <w:p w14:paraId="113223F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8,408,364.03</w:t>
            </w:r>
          </w:p>
        </w:tc>
        <w:tc>
          <w:tcPr>
            <w:tcW w:w="1134" w:type="dxa"/>
            <w:shd w:val="clear" w:color="auto" w:fill="auto"/>
            <w:noWrap/>
            <w:vAlign w:val="center"/>
          </w:tcPr>
          <w:p w14:paraId="4B999E5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7FE7244D" w14:textId="77777777" w:rsidTr="00542933">
        <w:trPr>
          <w:trHeight w:val="20"/>
          <w:jc w:val="center"/>
        </w:trPr>
        <w:tc>
          <w:tcPr>
            <w:tcW w:w="704" w:type="dxa"/>
            <w:shd w:val="clear" w:color="auto" w:fill="auto"/>
            <w:vAlign w:val="center"/>
          </w:tcPr>
          <w:p w14:paraId="08FDC8CB"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Banorte, S.A</w:t>
            </w:r>
          </w:p>
        </w:tc>
        <w:tc>
          <w:tcPr>
            <w:tcW w:w="567" w:type="dxa"/>
            <w:shd w:val="clear" w:color="auto" w:fill="auto"/>
            <w:vAlign w:val="center"/>
          </w:tcPr>
          <w:p w14:paraId="0B0CB82A"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REOF-001/2020</w:t>
            </w:r>
          </w:p>
        </w:tc>
        <w:tc>
          <w:tcPr>
            <w:tcW w:w="1134" w:type="dxa"/>
            <w:shd w:val="clear" w:color="auto" w:fill="auto"/>
            <w:noWrap/>
            <w:vAlign w:val="center"/>
          </w:tcPr>
          <w:p w14:paraId="0201E161"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6,277,706,754.08</w:t>
            </w:r>
          </w:p>
        </w:tc>
        <w:tc>
          <w:tcPr>
            <w:tcW w:w="1134" w:type="dxa"/>
            <w:shd w:val="clear" w:color="auto" w:fill="auto"/>
            <w:noWrap/>
            <w:vAlign w:val="center"/>
          </w:tcPr>
          <w:p w14:paraId="1D2FE99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$ 10,007,453.36</w:t>
            </w:r>
          </w:p>
        </w:tc>
        <w:tc>
          <w:tcPr>
            <w:tcW w:w="993" w:type="dxa"/>
            <w:shd w:val="clear" w:color="auto" w:fill="auto"/>
            <w:noWrap/>
            <w:vAlign w:val="center"/>
          </w:tcPr>
          <w:p w14:paraId="5221AEF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513,451,016.24</w:t>
            </w:r>
          </w:p>
        </w:tc>
        <w:tc>
          <w:tcPr>
            <w:tcW w:w="708" w:type="dxa"/>
            <w:shd w:val="clear" w:color="auto" w:fill="auto"/>
            <w:noWrap/>
            <w:vAlign w:val="center"/>
          </w:tcPr>
          <w:p w14:paraId="7141E11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076430E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$ 4,046,747.79</w:t>
            </w:r>
          </w:p>
        </w:tc>
        <w:tc>
          <w:tcPr>
            <w:tcW w:w="992" w:type="dxa"/>
            <w:shd w:val="clear" w:color="auto" w:fill="auto"/>
            <w:noWrap/>
            <w:vAlign w:val="center"/>
          </w:tcPr>
          <w:p w14:paraId="29B3EA34"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762C84C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527,505,217.39</w:t>
            </w:r>
          </w:p>
        </w:tc>
        <w:tc>
          <w:tcPr>
            <w:tcW w:w="1134" w:type="dxa"/>
            <w:shd w:val="clear" w:color="auto" w:fill="auto"/>
            <w:noWrap/>
            <w:vAlign w:val="center"/>
          </w:tcPr>
          <w:p w14:paraId="24EF003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6,267,699,300.72</w:t>
            </w:r>
          </w:p>
        </w:tc>
      </w:tr>
      <w:tr w:rsidR="00542933" w:rsidRPr="00542933" w14:paraId="18A1A134" w14:textId="77777777" w:rsidTr="00542933">
        <w:trPr>
          <w:trHeight w:val="20"/>
          <w:jc w:val="center"/>
        </w:trPr>
        <w:tc>
          <w:tcPr>
            <w:tcW w:w="704" w:type="dxa"/>
            <w:shd w:val="clear" w:color="auto" w:fill="auto"/>
            <w:vAlign w:val="center"/>
          </w:tcPr>
          <w:p w14:paraId="61688945"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Banobras, S.N.C.</w:t>
            </w:r>
          </w:p>
        </w:tc>
        <w:tc>
          <w:tcPr>
            <w:tcW w:w="567" w:type="dxa"/>
            <w:shd w:val="clear" w:color="auto" w:fill="auto"/>
            <w:vAlign w:val="center"/>
          </w:tcPr>
          <w:p w14:paraId="0266FA1B"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REOF-002/2020</w:t>
            </w:r>
          </w:p>
        </w:tc>
        <w:tc>
          <w:tcPr>
            <w:tcW w:w="1134" w:type="dxa"/>
            <w:shd w:val="clear" w:color="auto" w:fill="auto"/>
            <w:noWrap/>
            <w:vAlign w:val="center"/>
          </w:tcPr>
          <w:p w14:paraId="43958FB6"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2,990,675,958.79</w:t>
            </w:r>
          </w:p>
        </w:tc>
        <w:tc>
          <w:tcPr>
            <w:tcW w:w="1134" w:type="dxa"/>
            <w:shd w:val="clear" w:color="auto" w:fill="auto"/>
            <w:noWrap/>
            <w:vAlign w:val="center"/>
          </w:tcPr>
          <w:p w14:paraId="5BB711E8"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4,845,456.63</w:t>
            </w:r>
          </w:p>
        </w:tc>
        <w:tc>
          <w:tcPr>
            <w:tcW w:w="993" w:type="dxa"/>
            <w:shd w:val="clear" w:color="auto" w:fill="auto"/>
            <w:noWrap/>
            <w:vAlign w:val="center"/>
          </w:tcPr>
          <w:p w14:paraId="1936EB7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246,718,084.43</w:t>
            </w:r>
          </w:p>
        </w:tc>
        <w:tc>
          <w:tcPr>
            <w:tcW w:w="708" w:type="dxa"/>
            <w:shd w:val="clear" w:color="auto" w:fill="auto"/>
            <w:noWrap/>
            <w:vAlign w:val="center"/>
          </w:tcPr>
          <w:p w14:paraId="6AF4FE10"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53C39BF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2" w:type="dxa"/>
            <w:shd w:val="clear" w:color="auto" w:fill="auto"/>
            <w:noWrap/>
            <w:vAlign w:val="center"/>
          </w:tcPr>
          <w:p w14:paraId="1243C2E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4C97EB48"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251,563,541.06</w:t>
            </w:r>
          </w:p>
        </w:tc>
        <w:tc>
          <w:tcPr>
            <w:tcW w:w="1134" w:type="dxa"/>
            <w:shd w:val="clear" w:color="auto" w:fill="auto"/>
            <w:noWrap/>
            <w:vAlign w:val="center"/>
          </w:tcPr>
          <w:p w14:paraId="7B2A162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2,985,830,502.16</w:t>
            </w:r>
          </w:p>
        </w:tc>
      </w:tr>
      <w:tr w:rsidR="00542933" w:rsidRPr="00542933" w14:paraId="6AFF7ED8" w14:textId="77777777" w:rsidTr="00542933">
        <w:trPr>
          <w:trHeight w:val="20"/>
          <w:jc w:val="center"/>
        </w:trPr>
        <w:tc>
          <w:tcPr>
            <w:tcW w:w="704" w:type="dxa"/>
            <w:shd w:val="clear" w:color="auto" w:fill="auto"/>
            <w:vAlign w:val="center"/>
          </w:tcPr>
          <w:p w14:paraId="0BB20E40"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Banobras, S.N.C.</w:t>
            </w:r>
          </w:p>
        </w:tc>
        <w:tc>
          <w:tcPr>
            <w:tcW w:w="567" w:type="dxa"/>
            <w:shd w:val="clear" w:color="auto" w:fill="auto"/>
            <w:vAlign w:val="center"/>
          </w:tcPr>
          <w:p w14:paraId="48D9763B"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REOF-003/2020</w:t>
            </w:r>
          </w:p>
        </w:tc>
        <w:tc>
          <w:tcPr>
            <w:tcW w:w="1134" w:type="dxa"/>
            <w:shd w:val="clear" w:color="auto" w:fill="auto"/>
            <w:noWrap/>
            <w:vAlign w:val="center"/>
          </w:tcPr>
          <w:p w14:paraId="59998C20"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1,495,359,593.46</w:t>
            </w:r>
          </w:p>
        </w:tc>
        <w:tc>
          <w:tcPr>
            <w:tcW w:w="1134" w:type="dxa"/>
            <w:shd w:val="clear" w:color="auto" w:fill="auto"/>
            <w:noWrap/>
            <w:vAlign w:val="center"/>
          </w:tcPr>
          <w:p w14:paraId="72A18788"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2,422,763.33</w:t>
            </w:r>
          </w:p>
        </w:tc>
        <w:tc>
          <w:tcPr>
            <w:tcW w:w="993" w:type="dxa"/>
            <w:shd w:val="clear" w:color="auto" w:fill="auto"/>
            <w:noWrap/>
            <w:vAlign w:val="center"/>
          </w:tcPr>
          <w:p w14:paraId="39D9596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125,173,860.20</w:t>
            </w:r>
          </w:p>
        </w:tc>
        <w:tc>
          <w:tcPr>
            <w:tcW w:w="708" w:type="dxa"/>
            <w:shd w:val="clear" w:color="auto" w:fill="auto"/>
            <w:noWrap/>
            <w:vAlign w:val="center"/>
          </w:tcPr>
          <w:p w14:paraId="62488F8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14B6FB3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2" w:type="dxa"/>
            <w:shd w:val="clear" w:color="auto" w:fill="auto"/>
            <w:noWrap/>
            <w:vAlign w:val="center"/>
          </w:tcPr>
          <w:p w14:paraId="4AD070A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397DAFC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127,596,623.53</w:t>
            </w:r>
          </w:p>
        </w:tc>
        <w:tc>
          <w:tcPr>
            <w:tcW w:w="1134" w:type="dxa"/>
            <w:shd w:val="clear" w:color="auto" w:fill="auto"/>
            <w:noWrap/>
            <w:vAlign w:val="center"/>
          </w:tcPr>
          <w:p w14:paraId="25CE00C0"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1,492,936,830.13</w:t>
            </w:r>
          </w:p>
        </w:tc>
      </w:tr>
      <w:tr w:rsidR="00542933" w:rsidRPr="00542933" w14:paraId="33EC6614" w14:textId="77777777" w:rsidTr="00542933">
        <w:trPr>
          <w:trHeight w:val="20"/>
          <w:jc w:val="center"/>
        </w:trPr>
        <w:tc>
          <w:tcPr>
            <w:tcW w:w="704" w:type="dxa"/>
            <w:shd w:val="clear" w:color="auto" w:fill="auto"/>
            <w:vAlign w:val="center"/>
          </w:tcPr>
          <w:p w14:paraId="66B20E0A"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Banobras, S.N.C.</w:t>
            </w:r>
          </w:p>
        </w:tc>
        <w:tc>
          <w:tcPr>
            <w:tcW w:w="567" w:type="dxa"/>
            <w:shd w:val="clear" w:color="auto" w:fill="auto"/>
            <w:vAlign w:val="center"/>
          </w:tcPr>
          <w:p w14:paraId="57D19349"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REOF-004/2020</w:t>
            </w:r>
          </w:p>
        </w:tc>
        <w:tc>
          <w:tcPr>
            <w:tcW w:w="1134" w:type="dxa"/>
            <w:shd w:val="clear" w:color="auto" w:fill="auto"/>
            <w:noWrap/>
            <w:vAlign w:val="center"/>
          </w:tcPr>
          <w:p w14:paraId="1E0C48D0"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4,470,565,999.50</w:t>
            </w:r>
          </w:p>
        </w:tc>
        <w:tc>
          <w:tcPr>
            <w:tcW w:w="1134" w:type="dxa"/>
            <w:shd w:val="clear" w:color="auto" w:fill="auto"/>
            <w:noWrap/>
            <w:vAlign w:val="center"/>
          </w:tcPr>
          <w:p w14:paraId="58521F9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20,364,012.25</w:t>
            </w:r>
          </w:p>
        </w:tc>
        <w:tc>
          <w:tcPr>
            <w:tcW w:w="993" w:type="dxa"/>
            <w:shd w:val="clear" w:color="auto" w:fill="auto"/>
            <w:noWrap/>
            <w:vAlign w:val="center"/>
          </w:tcPr>
          <w:p w14:paraId="6193B1E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371,425,412.12</w:t>
            </w:r>
          </w:p>
        </w:tc>
        <w:tc>
          <w:tcPr>
            <w:tcW w:w="708" w:type="dxa"/>
            <w:shd w:val="clear" w:color="auto" w:fill="auto"/>
            <w:noWrap/>
            <w:vAlign w:val="center"/>
          </w:tcPr>
          <w:p w14:paraId="7A1C21D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244BF14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2" w:type="dxa"/>
            <w:shd w:val="clear" w:color="auto" w:fill="auto"/>
            <w:noWrap/>
            <w:vAlign w:val="center"/>
          </w:tcPr>
          <w:p w14:paraId="107504E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74498A9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391,789,424.37</w:t>
            </w:r>
          </w:p>
        </w:tc>
        <w:tc>
          <w:tcPr>
            <w:tcW w:w="1134" w:type="dxa"/>
            <w:shd w:val="clear" w:color="auto" w:fill="auto"/>
            <w:noWrap/>
            <w:vAlign w:val="center"/>
          </w:tcPr>
          <w:p w14:paraId="44560AE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4,450,201,987.25</w:t>
            </w:r>
          </w:p>
        </w:tc>
      </w:tr>
      <w:tr w:rsidR="00542933" w:rsidRPr="00542933" w14:paraId="20123BFD" w14:textId="77777777" w:rsidTr="00542933">
        <w:trPr>
          <w:trHeight w:val="20"/>
          <w:jc w:val="center"/>
        </w:trPr>
        <w:tc>
          <w:tcPr>
            <w:tcW w:w="704" w:type="dxa"/>
            <w:shd w:val="clear" w:color="auto" w:fill="auto"/>
            <w:vAlign w:val="center"/>
          </w:tcPr>
          <w:p w14:paraId="0F14EF46"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Banobras, S.N.C.</w:t>
            </w:r>
          </w:p>
        </w:tc>
        <w:tc>
          <w:tcPr>
            <w:tcW w:w="567" w:type="dxa"/>
            <w:shd w:val="clear" w:color="auto" w:fill="auto"/>
            <w:vAlign w:val="center"/>
          </w:tcPr>
          <w:p w14:paraId="312C1A63"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REOF-005/2020</w:t>
            </w:r>
          </w:p>
        </w:tc>
        <w:tc>
          <w:tcPr>
            <w:tcW w:w="1134" w:type="dxa"/>
            <w:shd w:val="clear" w:color="auto" w:fill="auto"/>
            <w:noWrap/>
            <w:vAlign w:val="center"/>
          </w:tcPr>
          <w:p w14:paraId="03FD0629"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1,495,337,979.40</w:t>
            </w:r>
          </w:p>
        </w:tc>
        <w:tc>
          <w:tcPr>
            <w:tcW w:w="1134" w:type="dxa"/>
            <w:shd w:val="clear" w:color="auto" w:fill="auto"/>
            <w:noWrap/>
            <w:vAlign w:val="center"/>
          </w:tcPr>
          <w:p w14:paraId="1CE1FD3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2,422,728.33</w:t>
            </w:r>
          </w:p>
        </w:tc>
        <w:tc>
          <w:tcPr>
            <w:tcW w:w="993" w:type="dxa"/>
            <w:shd w:val="clear" w:color="auto" w:fill="auto"/>
            <w:noWrap/>
            <w:vAlign w:val="center"/>
          </w:tcPr>
          <w:p w14:paraId="24BC8BF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126,380,723.39</w:t>
            </w:r>
          </w:p>
        </w:tc>
        <w:tc>
          <w:tcPr>
            <w:tcW w:w="708" w:type="dxa"/>
            <w:shd w:val="clear" w:color="auto" w:fill="auto"/>
            <w:noWrap/>
            <w:vAlign w:val="center"/>
          </w:tcPr>
          <w:p w14:paraId="705239C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1D805AB8"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2" w:type="dxa"/>
            <w:shd w:val="clear" w:color="auto" w:fill="auto"/>
            <w:noWrap/>
            <w:vAlign w:val="center"/>
          </w:tcPr>
          <w:p w14:paraId="6025186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0A257C1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128,803,451.72</w:t>
            </w:r>
          </w:p>
        </w:tc>
        <w:tc>
          <w:tcPr>
            <w:tcW w:w="1134" w:type="dxa"/>
            <w:shd w:val="clear" w:color="auto" w:fill="auto"/>
            <w:noWrap/>
            <w:vAlign w:val="center"/>
          </w:tcPr>
          <w:p w14:paraId="5B17187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1,492,915,251.07</w:t>
            </w:r>
          </w:p>
        </w:tc>
      </w:tr>
      <w:tr w:rsidR="00542933" w:rsidRPr="00542933" w14:paraId="19F46F66" w14:textId="77777777" w:rsidTr="00542933">
        <w:trPr>
          <w:trHeight w:val="20"/>
          <w:jc w:val="center"/>
        </w:trPr>
        <w:tc>
          <w:tcPr>
            <w:tcW w:w="704" w:type="dxa"/>
            <w:shd w:val="clear" w:color="auto" w:fill="auto"/>
            <w:vAlign w:val="center"/>
          </w:tcPr>
          <w:p w14:paraId="76941992"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Banobras, S.N.C.</w:t>
            </w:r>
          </w:p>
        </w:tc>
        <w:tc>
          <w:tcPr>
            <w:tcW w:w="567" w:type="dxa"/>
            <w:shd w:val="clear" w:color="auto" w:fill="auto"/>
            <w:vAlign w:val="center"/>
          </w:tcPr>
          <w:p w14:paraId="2AA5ECE1"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REOF-006/2020</w:t>
            </w:r>
          </w:p>
        </w:tc>
        <w:tc>
          <w:tcPr>
            <w:tcW w:w="1134" w:type="dxa"/>
            <w:shd w:val="clear" w:color="auto" w:fill="auto"/>
            <w:noWrap/>
            <w:vAlign w:val="center"/>
          </w:tcPr>
          <w:p w14:paraId="3A7D2A83"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764,385,017.96</w:t>
            </w:r>
          </w:p>
        </w:tc>
        <w:tc>
          <w:tcPr>
            <w:tcW w:w="1134" w:type="dxa"/>
            <w:shd w:val="clear" w:color="auto" w:fill="auto"/>
            <w:noWrap/>
            <w:vAlign w:val="center"/>
          </w:tcPr>
          <w:p w14:paraId="6ED4B4F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3,481,873.64</w:t>
            </w:r>
          </w:p>
        </w:tc>
        <w:tc>
          <w:tcPr>
            <w:tcW w:w="993" w:type="dxa"/>
            <w:shd w:val="clear" w:color="auto" w:fill="auto"/>
            <w:noWrap/>
            <w:vAlign w:val="center"/>
          </w:tcPr>
          <w:p w14:paraId="712F253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64,123,995.95</w:t>
            </w:r>
          </w:p>
        </w:tc>
        <w:tc>
          <w:tcPr>
            <w:tcW w:w="708" w:type="dxa"/>
            <w:shd w:val="clear" w:color="auto" w:fill="auto"/>
            <w:noWrap/>
            <w:vAlign w:val="center"/>
          </w:tcPr>
          <w:p w14:paraId="38B4C0A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095057C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2" w:type="dxa"/>
            <w:shd w:val="clear" w:color="auto" w:fill="auto"/>
            <w:noWrap/>
            <w:vAlign w:val="center"/>
          </w:tcPr>
          <w:p w14:paraId="6A44709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5E9F4D8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67,605,869.59</w:t>
            </w:r>
          </w:p>
        </w:tc>
        <w:tc>
          <w:tcPr>
            <w:tcW w:w="1134" w:type="dxa"/>
            <w:shd w:val="clear" w:color="auto" w:fill="auto"/>
            <w:noWrap/>
            <w:vAlign w:val="center"/>
          </w:tcPr>
          <w:p w14:paraId="206D3E1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760,903,144.32</w:t>
            </w:r>
          </w:p>
        </w:tc>
      </w:tr>
      <w:tr w:rsidR="00542933" w:rsidRPr="00542933" w14:paraId="38D8765D" w14:textId="77777777" w:rsidTr="00542933">
        <w:trPr>
          <w:trHeight w:val="20"/>
          <w:jc w:val="center"/>
        </w:trPr>
        <w:tc>
          <w:tcPr>
            <w:tcW w:w="704" w:type="dxa"/>
            <w:shd w:val="clear" w:color="auto" w:fill="auto"/>
            <w:vAlign w:val="center"/>
          </w:tcPr>
          <w:p w14:paraId="51624A82"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HSBC México, S.A.</w:t>
            </w:r>
          </w:p>
        </w:tc>
        <w:tc>
          <w:tcPr>
            <w:tcW w:w="567" w:type="dxa"/>
            <w:shd w:val="clear" w:color="auto" w:fill="auto"/>
            <w:vAlign w:val="center"/>
          </w:tcPr>
          <w:p w14:paraId="42D14EBE"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REOF-009/2020</w:t>
            </w:r>
          </w:p>
        </w:tc>
        <w:tc>
          <w:tcPr>
            <w:tcW w:w="1134" w:type="dxa"/>
            <w:shd w:val="clear" w:color="auto" w:fill="auto"/>
            <w:noWrap/>
            <w:vAlign w:val="center"/>
          </w:tcPr>
          <w:p w14:paraId="72C6AFFA"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497,722,886.33</w:t>
            </w:r>
          </w:p>
        </w:tc>
        <w:tc>
          <w:tcPr>
            <w:tcW w:w="1134" w:type="dxa"/>
            <w:shd w:val="clear" w:color="auto" w:fill="auto"/>
            <w:noWrap/>
            <w:vAlign w:val="center"/>
          </w:tcPr>
          <w:p w14:paraId="4B5A0BA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585,430.56</w:t>
            </w:r>
          </w:p>
        </w:tc>
        <w:tc>
          <w:tcPr>
            <w:tcW w:w="993" w:type="dxa"/>
            <w:shd w:val="clear" w:color="auto" w:fill="auto"/>
            <w:noWrap/>
            <w:vAlign w:val="center"/>
          </w:tcPr>
          <w:p w14:paraId="587E971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41,799,113.01</w:t>
            </w:r>
          </w:p>
        </w:tc>
        <w:tc>
          <w:tcPr>
            <w:tcW w:w="708" w:type="dxa"/>
            <w:shd w:val="clear" w:color="auto" w:fill="auto"/>
            <w:noWrap/>
            <w:vAlign w:val="center"/>
          </w:tcPr>
          <w:p w14:paraId="0B76D30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688B6C1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2" w:type="dxa"/>
            <w:shd w:val="clear" w:color="auto" w:fill="auto"/>
            <w:noWrap/>
            <w:vAlign w:val="center"/>
          </w:tcPr>
          <w:p w14:paraId="47BDB9E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54923BD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42,384,543.57</w:t>
            </w:r>
          </w:p>
        </w:tc>
        <w:tc>
          <w:tcPr>
            <w:tcW w:w="1134" w:type="dxa"/>
            <w:shd w:val="clear" w:color="auto" w:fill="auto"/>
            <w:noWrap/>
            <w:vAlign w:val="center"/>
          </w:tcPr>
          <w:p w14:paraId="090FA924"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497,137,455.77</w:t>
            </w:r>
          </w:p>
        </w:tc>
      </w:tr>
      <w:tr w:rsidR="00542933" w:rsidRPr="00542933" w14:paraId="115E277B" w14:textId="77777777" w:rsidTr="00542933">
        <w:trPr>
          <w:trHeight w:val="20"/>
          <w:jc w:val="center"/>
        </w:trPr>
        <w:tc>
          <w:tcPr>
            <w:tcW w:w="704" w:type="dxa"/>
            <w:shd w:val="clear" w:color="auto" w:fill="auto"/>
            <w:vAlign w:val="center"/>
          </w:tcPr>
          <w:p w14:paraId="63418EAC"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HSBC México, S.A</w:t>
            </w:r>
          </w:p>
        </w:tc>
        <w:tc>
          <w:tcPr>
            <w:tcW w:w="567" w:type="dxa"/>
            <w:shd w:val="clear" w:color="auto" w:fill="auto"/>
            <w:vAlign w:val="center"/>
          </w:tcPr>
          <w:p w14:paraId="650B41DC"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REOF-008/2020</w:t>
            </w:r>
          </w:p>
        </w:tc>
        <w:tc>
          <w:tcPr>
            <w:tcW w:w="1134" w:type="dxa"/>
            <w:shd w:val="clear" w:color="auto" w:fill="auto"/>
            <w:noWrap/>
            <w:vAlign w:val="center"/>
          </w:tcPr>
          <w:p w14:paraId="7BEA8BE8"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647,039,752.18</w:t>
            </w:r>
          </w:p>
        </w:tc>
        <w:tc>
          <w:tcPr>
            <w:tcW w:w="1134" w:type="dxa"/>
            <w:shd w:val="clear" w:color="auto" w:fill="auto"/>
            <w:noWrap/>
            <w:vAlign w:val="center"/>
          </w:tcPr>
          <w:p w14:paraId="70062E34"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761,059.73</w:t>
            </w:r>
          </w:p>
        </w:tc>
        <w:tc>
          <w:tcPr>
            <w:tcW w:w="993" w:type="dxa"/>
            <w:shd w:val="clear" w:color="auto" w:fill="auto"/>
            <w:noWrap/>
            <w:vAlign w:val="center"/>
          </w:tcPr>
          <w:p w14:paraId="3827628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53,684,964.26</w:t>
            </w:r>
          </w:p>
        </w:tc>
        <w:tc>
          <w:tcPr>
            <w:tcW w:w="708" w:type="dxa"/>
            <w:shd w:val="clear" w:color="auto" w:fill="auto"/>
            <w:noWrap/>
            <w:vAlign w:val="center"/>
          </w:tcPr>
          <w:p w14:paraId="59FB7C3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1FD9BD3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2" w:type="dxa"/>
            <w:shd w:val="clear" w:color="auto" w:fill="auto"/>
            <w:noWrap/>
            <w:vAlign w:val="center"/>
          </w:tcPr>
          <w:p w14:paraId="7F3C183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3F7A6CF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54,446,023.99</w:t>
            </w:r>
          </w:p>
        </w:tc>
        <w:tc>
          <w:tcPr>
            <w:tcW w:w="1134" w:type="dxa"/>
            <w:shd w:val="clear" w:color="auto" w:fill="auto"/>
            <w:noWrap/>
            <w:vAlign w:val="center"/>
          </w:tcPr>
          <w:p w14:paraId="56B24DC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646,278,692.45</w:t>
            </w:r>
          </w:p>
        </w:tc>
      </w:tr>
      <w:tr w:rsidR="00542933" w:rsidRPr="00542933" w14:paraId="244B2635" w14:textId="77777777" w:rsidTr="00542933">
        <w:trPr>
          <w:trHeight w:val="20"/>
          <w:jc w:val="center"/>
        </w:trPr>
        <w:tc>
          <w:tcPr>
            <w:tcW w:w="704" w:type="dxa"/>
            <w:shd w:val="clear" w:color="auto" w:fill="auto"/>
            <w:vAlign w:val="center"/>
          </w:tcPr>
          <w:p w14:paraId="641D53E7" w14:textId="77777777" w:rsidR="00542933" w:rsidRPr="00542933" w:rsidRDefault="00542933" w:rsidP="00542933">
            <w:pPr>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Banobras, S.N.C. (FAFEF)</w:t>
            </w:r>
          </w:p>
        </w:tc>
        <w:tc>
          <w:tcPr>
            <w:tcW w:w="567" w:type="dxa"/>
            <w:shd w:val="clear" w:color="auto" w:fill="auto"/>
            <w:vAlign w:val="center"/>
          </w:tcPr>
          <w:p w14:paraId="5428A3ED" w14:textId="77777777" w:rsidR="00542933" w:rsidRPr="00542933" w:rsidRDefault="00542933" w:rsidP="00542933">
            <w:pPr>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REOF-004/2021</w:t>
            </w:r>
          </w:p>
        </w:tc>
        <w:tc>
          <w:tcPr>
            <w:tcW w:w="1134" w:type="dxa"/>
            <w:shd w:val="clear" w:color="auto" w:fill="auto"/>
            <w:noWrap/>
            <w:vAlign w:val="center"/>
          </w:tcPr>
          <w:p w14:paraId="3625A13A" w14:textId="77777777" w:rsidR="00542933" w:rsidRPr="00542933" w:rsidRDefault="00542933" w:rsidP="00542933">
            <w:pPr>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642,325,542.39</w:t>
            </w:r>
          </w:p>
        </w:tc>
        <w:tc>
          <w:tcPr>
            <w:tcW w:w="1134" w:type="dxa"/>
            <w:shd w:val="clear" w:color="auto" w:fill="auto"/>
            <w:noWrap/>
            <w:vAlign w:val="center"/>
          </w:tcPr>
          <w:p w14:paraId="5CA6F7A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15,796,256.08</w:t>
            </w:r>
          </w:p>
        </w:tc>
        <w:tc>
          <w:tcPr>
            <w:tcW w:w="993" w:type="dxa"/>
            <w:shd w:val="clear" w:color="auto" w:fill="auto"/>
            <w:noWrap/>
            <w:vAlign w:val="center"/>
          </w:tcPr>
          <w:p w14:paraId="0C77836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63,648,397.41</w:t>
            </w:r>
          </w:p>
        </w:tc>
        <w:tc>
          <w:tcPr>
            <w:tcW w:w="708" w:type="dxa"/>
            <w:shd w:val="clear" w:color="auto" w:fill="auto"/>
            <w:noWrap/>
            <w:vAlign w:val="center"/>
          </w:tcPr>
          <w:p w14:paraId="5FF8058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851" w:type="dxa"/>
            <w:shd w:val="clear" w:color="auto" w:fill="auto"/>
            <w:noWrap/>
            <w:vAlign w:val="center"/>
          </w:tcPr>
          <w:p w14:paraId="48F96F2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992" w:type="dxa"/>
            <w:shd w:val="clear" w:color="auto" w:fill="auto"/>
            <w:noWrap/>
            <w:vAlign w:val="center"/>
          </w:tcPr>
          <w:p w14:paraId="2429F3D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6,833,381.38</w:t>
            </w:r>
          </w:p>
        </w:tc>
        <w:tc>
          <w:tcPr>
            <w:tcW w:w="1134" w:type="dxa"/>
            <w:shd w:val="clear" w:color="auto" w:fill="auto"/>
            <w:noWrap/>
            <w:vAlign w:val="center"/>
          </w:tcPr>
          <w:p w14:paraId="787CAD0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86,278,034.87</w:t>
            </w:r>
          </w:p>
        </w:tc>
        <w:tc>
          <w:tcPr>
            <w:tcW w:w="1134" w:type="dxa"/>
            <w:shd w:val="clear" w:color="auto" w:fill="auto"/>
            <w:noWrap/>
            <w:vAlign w:val="center"/>
          </w:tcPr>
          <w:p w14:paraId="62063C7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802,225,579.72</w:t>
            </w:r>
          </w:p>
        </w:tc>
      </w:tr>
      <w:tr w:rsidR="00542933" w:rsidRPr="00542933" w14:paraId="72835968" w14:textId="77777777" w:rsidTr="00542933">
        <w:trPr>
          <w:trHeight w:val="20"/>
          <w:jc w:val="center"/>
        </w:trPr>
        <w:tc>
          <w:tcPr>
            <w:tcW w:w="1271" w:type="dxa"/>
            <w:gridSpan w:val="2"/>
            <w:shd w:val="clear" w:color="auto" w:fill="BFBFBF"/>
            <w:noWrap/>
            <w:vAlign w:val="center"/>
            <w:hideMark/>
          </w:tcPr>
          <w:p w14:paraId="72058BD4"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Total</w:t>
            </w:r>
          </w:p>
        </w:tc>
        <w:tc>
          <w:tcPr>
            <w:tcW w:w="1134" w:type="dxa"/>
            <w:shd w:val="clear" w:color="auto" w:fill="BFBFBF"/>
            <w:noWrap/>
            <w:vAlign w:val="center"/>
            <w:hideMark/>
          </w:tcPr>
          <w:p w14:paraId="59D23648" w14:textId="77777777" w:rsidR="00542933" w:rsidRPr="00542933" w:rsidRDefault="00542933" w:rsidP="00542933">
            <w:pPr>
              <w:spacing w:after="0" w:line="240" w:lineRule="auto"/>
              <w:jc w:val="right"/>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val="es-ES" w:eastAsia="es-MX" w:bidi="es-ES"/>
              </w:rPr>
              <w:fldChar w:fldCharType="begin"/>
            </w:r>
            <w:r w:rsidRPr="00542933">
              <w:rPr>
                <w:rFonts w:ascii="Arial" w:eastAsia="Times New Roman" w:hAnsi="Arial" w:cs="Arial"/>
                <w:b/>
                <w:bCs/>
                <w:color w:val="000000"/>
                <w:sz w:val="10"/>
                <w:szCs w:val="10"/>
                <w:lang w:val="es-ES" w:eastAsia="es-MX" w:bidi="es-ES"/>
              </w:rPr>
              <w:instrText xml:space="preserve"> =SUM(ABOVE) </w:instrText>
            </w:r>
            <w:r w:rsidRPr="00542933">
              <w:rPr>
                <w:rFonts w:ascii="Arial" w:eastAsia="Times New Roman" w:hAnsi="Arial" w:cs="Arial"/>
                <w:b/>
                <w:bCs/>
                <w:color w:val="000000"/>
                <w:sz w:val="10"/>
                <w:szCs w:val="10"/>
                <w:lang w:val="es-ES" w:eastAsia="es-MX" w:bidi="es-ES"/>
              </w:rPr>
              <w:fldChar w:fldCharType="separate"/>
            </w:r>
            <w:r w:rsidRPr="00542933">
              <w:rPr>
                <w:rFonts w:ascii="Arial" w:eastAsia="Times New Roman" w:hAnsi="Arial" w:cs="Arial"/>
                <w:b/>
                <w:bCs/>
                <w:noProof/>
                <w:color w:val="000000"/>
                <w:sz w:val="10"/>
                <w:szCs w:val="10"/>
                <w:lang w:val="es-ES" w:eastAsia="es-MX" w:bidi="es-ES"/>
              </w:rPr>
              <w:t>$19,543,980,674.09</w:t>
            </w:r>
            <w:r w:rsidRPr="00542933">
              <w:rPr>
                <w:rFonts w:ascii="Arial" w:eastAsia="Times New Roman" w:hAnsi="Arial" w:cs="Arial"/>
                <w:b/>
                <w:bCs/>
                <w:color w:val="000000"/>
                <w:sz w:val="10"/>
                <w:szCs w:val="10"/>
                <w:lang w:val="es-ES" w:eastAsia="es-MX" w:bidi="es-ES"/>
              </w:rPr>
              <w:fldChar w:fldCharType="end"/>
            </w:r>
          </w:p>
        </w:tc>
        <w:tc>
          <w:tcPr>
            <w:tcW w:w="1134" w:type="dxa"/>
            <w:shd w:val="clear" w:color="auto" w:fill="BFBFBF"/>
            <w:noWrap/>
            <w:vAlign w:val="center"/>
          </w:tcPr>
          <w:p w14:paraId="70794224"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noProof/>
                <w:color w:val="000000"/>
                <w:sz w:val="10"/>
                <w:szCs w:val="10"/>
                <w:lang w:eastAsia="es-MX"/>
              </w:rPr>
            </w:pPr>
            <w:r w:rsidRPr="00542933">
              <w:rPr>
                <w:rFonts w:ascii="Arial" w:eastAsia="Times New Roman" w:hAnsi="Arial" w:cs="Arial"/>
                <w:b/>
                <w:bCs/>
                <w:noProof/>
                <w:color w:val="000000"/>
                <w:sz w:val="10"/>
                <w:szCs w:val="10"/>
                <w:lang w:eastAsia="es-MX"/>
              </w:rPr>
              <w:t>$60,687,033.91</w:t>
            </w:r>
          </w:p>
        </w:tc>
        <w:tc>
          <w:tcPr>
            <w:tcW w:w="993" w:type="dxa"/>
            <w:shd w:val="clear" w:color="auto" w:fill="BFBFBF"/>
            <w:noWrap/>
            <w:vAlign w:val="center"/>
          </w:tcPr>
          <w:p w14:paraId="76EB650C"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noProof/>
                <w:color w:val="000000"/>
                <w:sz w:val="10"/>
                <w:szCs w:val="10"/>
                <w:lang w:eastAsia="es-MX"/>
              </w:rPr>
            </w:pPr>
            <w:r w:rsidRPr="00542933">
              <w:rPr>
                <w:rFonts w:ascii="Arial" w:eastAsia="Times New Roman" w:hAnsi="Arial" w:cs="Arial"/>
                <w:b/>
                <w:bCs/>
                <w:noProof/>
                <w:color w:val="000000"/>
                <w:sz w:val="10"/>
                <w:szCs w:val="10"/>
                <w:lang w:eastAsia="es-MX"/>
              </w:rPr>
              <w:t>$1,628,228,028.29</w:t>
            </w:r>
          </w:p>
        </w:tc>
        <w:tc>
          <w:tcPr>
            <w:tcW w:w="708" w:type="dxa"/>
            <w:shd w:val="clear" w:color="auto" w:fill="BFBFBF"/>
            <w:noWrap/>
            <w:vAlign w:val="center"/>
          </w:tcPr>
          <w:p w14:paraId="3F9074DF"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noProof/>
                <w:color w:val="000000"/>
                <w:sz w:val="10"/>
                <w:szCs w:val="10"/>
                <w:lang w:eastAsia="es-MX"/>
              </w:rPr>
            </w:pPr>
            <w:r w:rsidRPr="00542933">
              <w:rPr>
                <w:rFonts w:ascii="Arial" w:eastAsia="Times New Roman" w:hAnsi="Arial" w:cs="Arial"/>
                <w:b/>
                <w:bCs/>
                <w:noProof/>
                <w:color w:val="000000"/>
                <w:sz w:val="10"/>
                <w:szCs w:val="10"/>
                <w:lang w:eastAsia="es-MX"/>
              </w:rPr>
              <w:t>$-</w:t>
            </w:r>
          </w:p>
        </w:tc>
        <w:tc>
          <w:tcPr>
            <w:tcW w:w="851" w:type="dxa"/>
            <w:shd w:val="clear" w:color="auto" w:fill="BFBFBF"/>
            <w:noWrap/>
            <w:vAlign w:val="center"/>
          </w:tcPr>
          <w:p w14:paraId="23E05E10"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noProof/>
                <w:color w:val="000000"/>
                <w:sz w:val="10"/>
                <w:szCs w:val="10"/>
                <w:lang w:eastAsia="es-MX"/>
              </w:rPr>
            </w:pPr>
            <w:r w:rsidRPr="00542933">
              <w:rPr>
                <w:rFonts w:ascii="Arial" w:eastAsia="Times New Roman" w:hAnsi="Arial" w:cs="Arial"/>
                <w:b/>
                <w:bCs/>
                <w:noProof/>
                <w:color w:val="000000"/>
                <w:sz w:val="10"/>
                <w:szCs w:val="10"/>
                <w:lang w:eastAsia="es-MX"/>
              </w:rPr>
              <w:t>$4,046,747.79</w:t>
            </w:r>
          </w:p>
        </w:tc>
        <w:tc>
          <w:tcPr>
            <w:tcW w:w="992" w:type="dxa"/>
            <w:shd w:val="clear" w:color="auto" w:fill="BFBFBF"/>
            <w:noWrap/>
            <w:vAlign w:val="center"/>
          </w:tcPr>
          <w:p w14:paraId="7185577D"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noProof/>
                <w:color w:val="000000"/>
                <w:sz w:val="10"/>
                <w:szCs w:val="10"/>
                <w:lang w:eastAsia="es-MX"/>
              </w:rPr>
            </w:pPr>
            <w:r w:rsidRPr="00542933">
              <w:rPr>
                <w:rFonts w:ascii="Arial" w:eastAsia="Times New Roman" w:hAnsi="Arial" w:cs="Arial"/>
                <w:b/>
                <w:bCs/>
                <w:noProof/>
                <w:color w:val="000000"/>
                <w:sz w:val="10"/>
                <w:szCs w:val="10"/>
                <w:lang w:eastAsia="es-MX"/>
              </w:rPr>
              <w:t>$15,241,745.41</w:t>
            </w:r>
          </w:p>
        </w:tc>
        <w:tc>
          <w:tcPr>
            <w:tcW w:w="1134" w:type="dxa"/>
            <w:shd w:val="clear" w:color="auto" w:fill="BFBFBF"/>
            <w:noWrap/>
            <w:vAlign w:val="center"/>
          </w:tcPr>
          <w:p w14:paraId="237A41C9"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noProof/>
                <w:color w:val="000000"/>
                <w:sz w:val="10"/>
                <w:szCs w:val="10"/>
                <w:lang w:eastAsia="es-MX"/>
              </w:rPr>
            </w:pPr>
            <w:r w:rsidRPr="00542933">
              <w:rPr>
                <w:rFonts w:ascii="Arial" w:eastAsia="Times New Roman" w:hAnsi="Arial" w:cs="Arial"/>
                <w:b/>
                <w:bCs/>
                <w:noProof/>
                <w:color w:val="000000"/>
                <w:sz w:val="10"/>
                <w:szCs w:val="10"/>
                <w:lang w:eastAsia="es-MX"/>
              </w:rPr>
              <w:t>$1,708,203,555.40</w:t>
            </w:r>
          </w:p>
        </w:tc>
        <w:tc>
          <w:tcPr>
            <w:tcW w:w="1134" w:type="dxa"/>
            <w:shd w:val="clear" w:color="auto" w:fill="BFBFBF"/>
            <w:noWrap/>
            <w:vAlign w:val="center"/>
          </w:tcPr>
          <w:p w14:paraId="243A7ABD"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noProof/>
                <w:color w:val="000000"/>
                <w:sz w:val="10"/>
                <w:szCs w:val="10"/>
                <w:lang w:eastAsia="es-MX"/>
              </w:rPr>
            </w:pPr>
            <w:r w:rsidRPr="00542933">
              <w:rPr>
                <w:rFonts w:ascii="Arial" w:eastAsia="Times New Roman" w:hAnsi="Arial" w:cs="Arial"/>
                <w:b/>
                <w:bCs/>
                <w:noProof/>
                <w:color w:val="000000"/>
                <w:sz w:val="10"/>
                <w:szCs w:val="10"/>
                <w:lang w:eastAsia="es-MX"/>
              </w:rPr>
              <w:t>$19,658,989,933.59</w:t>
            </w:r>
          </w:p>
        </w:tc>
      </w:tr>
    </w:tbl>
    <w:p w14:paraId="3409E630" w14:textId="77777777" w:rsidR="00542933" w:rsidRPr="00542933" w:rsidRDefault="00542933" w:rsidP="00542933">
      <w:pPr>
        <w:widowControl w:val="0"/>
        <w:tabs>
          <w:tab w:val="left" w:pos="1574"/>
        </w:tabs>
        <w:autoSpaceDE w:val="0"/>
        <w:autoSpaceDN w:val="0"/>
        <w:spacing w:after="0" w:line="240" w:lineRule="auto"/>
        <w:jc w:val="both"/>
        <w:rPr>
          <w:rFonts w:ascii="Arial" w:eastAsia="Times New Roman" w:hAnsi="Arial" w:cs="Arial"/>
          <w:bCs/>
          <w:color w:val="000000"/>
          <w:sz w:val="14"/>
          <w:szCs w:val="10"/>
          <w:lang w:eastAsia="es-MX"/>
        </w:rPr>
      </w:pPr>
    </w:p>
    <w:p w14:paraId="7AD09F91" w14:textId="77777777" w:rsidR="00542933" w:rsidRPr="00542933" w:rsidRDefault="00542933" w:rsidP="00542933">
      <w:pPr>
        <w:widowControl w:val="0"/>
        <w:tabs>
          <w:tab w:val="left" w:pos="1574"/>
        </w:tabs>
        <w:autoSpaceDE w:val="0"/>
        <w:autoSpaceDN w:val="0"/>
        <w:spacing w:after="0" w:line="240" w:lineRule="auto"/>
        <w:ind w:left="142"/>
        <w:jc w:val="both"/>
        <w:rPr>
          <w:rFonts w:ascii="Arial" w:eastAsia="Times New Roman" w:hAnsi="Arial" w:cs="Arial"/>
          <w:bCs/>
          <w:color w:val="000000"/>
          <w:sz w:val="14"/>
          <w:szCs w:val="10"/>
          <w:lang w:eastAsia="es-MX"/>
        </w:rPr>
      </w:pPr>
      <w:r w:rsidRPr="00542933">
        <w:rPr>
          <w:rFonts w:ascii="Arial" w:eastAsia="Times New Roman" w:hAnsi="Arial" w:cs="Arial"/>
          <w:bCs/>
          <w:color w:val="000000"/>
          <w:sz w:val="14"/>
          <w:szCs w:val="10"/>
          <w:lang w:eastAsia="es-MX"/>
        </w:rPr>
        <w:t xml:space="preserve">Elaboración propia de la ASEQROO. </w:t>
      </w:r>
    </w:p>
    <w:p w14:paraId="30867F9A" w14:textId="77777777" w:rsidR="00542933" w:rsidRPr="00542933" w:rsidRDefault="00542933" w:rsidP="00542933">
      <w:pPr>
        <w:widowControl w:val="0"/>
        <w:tabs>
          <w:tab w:val="left" w:pos="1574"/>
        </w:tabs>
        <w:autoSpaceDE w:val="0"/>
        <w:autoSpaceDN w:val="0"/>
        <w:spacing w:after="0" w:line="240" w:lineRule="auto"/>
        <w:ind w:left="142"/>
        <w:rPr>
          <w:rFonts w:ascii="Times New Roman" w:eastAsia="Arial" w:hAnsi="Arial" w:cs="Arial"/>
          <w:sz w:val="18"/>
          <w:lang w:val="es-ES" w:eastAsia="es-ES" w:bidi="es-ES"/>
        </w:rPr>
      </w:pPr>
      <w:r w:rsidRPr="00542933">
        <w:rPr>
          <w:rFonts w:ascii="Arial" w:eastAsia="Times New Roman" w:hAnsi="Arial" w:cs="Arial"/>
          <w:b/>
          <w:bCs/>
          <w:color w:val="000000"/>
          <w:sz w:val="14"/>
          <w:szCs w:val="10"/>
          <w:lang w:eastAsia="es-MX"/>
        </w:rPr>
        <w:t>Fuente:</w:t>
      </w:r>
      <w:r w:rsidRPr="00542933">
        <w:rPr>
          <w:rFonts w:ascii="Arial" w:eastAsia="Times New Roman" w:hAnsi="Arial" w:cs="Arial"/>
          <w:bCs/>
          <w:color w:val="000000"/>
          <w:sz w:val="14"/>
          <w:szCs w:val="10"/>
          <w:lang w:eastAsia="es-MX"/>
        </w:rPr>
        <w:t xml:space="preserve"> Auxiliar contable del pasivo y gasto emitido por la Secretaría de Finanzas y Planeación.</w:t>
      </w:r>
    </w:p>
    <w:p w14:paraId="32DA0F96" w14:textId="77777777" w:rsidR="00542933" w:rsidRPr="00542933" w:rsidRDefault="00542933" w:rsidP="00542933">
      <w:pPr>
        <w:widowControl w:val="0"/>
        <w:tabs>
          <w:tab w:val="left" w:pos="0"/>
        </w:tabs>
        <w:autoSpaceDE w:val="0"/>
        <w:autoSpaceDN w:val="0"/>
        <w:spacing w:after="0" w:line="240" w:lineRule="auto"/>
        <w:jc w:val="both"/>
        <w:rPr>
          <w:rFonts w:ascii="Times New Roman" w:eastAsia="Arial" w:hAnsi="Arial" w:cs="Arial"/>
          <w:b/>
          <w:sz w:val="24"/>
          <w:szCs w:val="24"/>
          <w:lang w:val="es-ES" w:eastAsia="es-ES" w:bidi="es-ES"/>
        </w:rPr>
      </w:pPr>
      <w:r w:rsidRPr="00542933">
        <w:rPr>
          <w:rFonts w:ascii="Arial" w:eastAsia="Arial" w:hAnsi="Arial" w:cs="Arial"/>
          <w:b/>
          <w:sz w:val="24"/>
          <w:szCs w:val="24"/>
          <w:lang w:val="es-ES" w:eastAsia="es-ES" w:bidi="es-ES"/>
        </w:rPr>
        <w:lastRenderedPageBreak/>
        <w:t>Deuda Pública a Corto plazo:</w:t>
      </w:r>
    </w:p>
    <w:p w14:paraId="7294C2C2" w14:textId="77777777" w:rsidR="00542933" w:rsidRPr="00542933" w:rsidRDefault="00542933" w:rsidP="00542933">
      <w:pPr>
        <w:widowControl w:val="0"/>
        <w:tabs>
          <w:tab w:val="left" w:pos="1555"/>
        </w:tabs>
        <w:autoSpaceDE w:val="0"/>
        <w:autoSpaceDN w:val="0"/>
        <w:spacing w:after="0" w:line="240" w:lineRule="auto"/>
        <w:rPr>
          <w:rFonts w:ascii="Arial" w:eastAsia="Arial" w:hAnsi="Arial" w:cs="Arial"/>
          <w:sz w:val="24"/>
          <w:szCs w:val="24"/>
          <w:lang w:val="es-ES" w:eastAsia="es-ES" w:bidi="es-ES"/>
        </w:rPr>
      </w:pPr>
      <w:r w:rsidRPr="00542933">
        <w:rPr>
          <w:rFonts w:ascii="Times New Roman" w:eastAsia="Arial" w:hAnsi="Arial" w:cs="Arial"/>
          <w:sz w:val="14"/>
          <w:lang w:val="es-ES" w:eastAsia="es-ES" w:bidi="es-ES"/>
        </w:rPr>
        <w:tab/>
      </w:r>
    </w:p>
    <w:tbl>
      <w:tblPr>
        <w:tblW w:w="9069"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843"/>
        <w:gridCol w:w="843"/>
        <w:gridCol w:w="843"/>
        <w:gridCol w:w="3345"/>
        <w:gridCol w:w="975"/>
        <w:gridCol w:w="1170"/>
        <w:gridCol w:w="1134"/>
      </w:tblGrid>
      <w:tr w:rsidR="00542933" w:rsidRPr="00542933" w14:paraId="26D7AB27" w14:textId="77777777" w:rsidTr="00542933">
        <w:trPr>
          <w:trHeight w:val="463"/>
          <w:tblHeader/>
          <w:jc w:val="center"/>
        </w:trPr>
        <w:tc>
          <w:tcPr>
            <w:tcW w:w="843" w:type="dxa"/>
            <w:shd w:val="clear" w:color="000000" w:fill="BFBFBF"/>
            <w:vAlign w:val="center"/>
            <w:hideMark/>
          </w:tcPr>
          <w:p w14:paraId="50008170"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 Registro</w:t>
            </w:r>
          </w:p>
        </w:tc>
        <w:tc>
          <w:tcPr>
            <w:tcW w:w="843" w:type="dxa"/>
            <w:shd w:val="clear" w:color="000000" w:fill="BFBFBF"/>
            <w:vAlign w:val="center"/>
            <w:hideMark/>
          </w:tcPr>
          <w:p w14:paraId="3E72945B"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Acreedor</w:t>
            </w:r>
          </w:p>
        </w:tc>
        <w:tc>
          <w:tcPr>
            <w:tcW w:w="843" w:type="dxa"/>
            <w:shd w:val="clear" w:color="000000" w:fill="BFBFBF"/>
            <w:vAlign w:val="center"/>
            <w:hideMark/>
          </w:tcPr>
          <w:p w14:paraId="4CB24BC3"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Motivo de su Contratación</w:t>
            </w:r>
          </w:p>
        </w:tc>
        <w:tc>
          <w:tcPr>
            <w:tcW w:w="3345" w:type="dxa"/>
            <w:shd w:val="clear" w:color="000000" w:fill="BFBFBF"/>
            <w:vAlign w:val="center"/>
            <w:hideMark/>
          </w:tcPr>
          <w:p w14:paraId="6F115679"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Destino final y aplicación</w:t>
            </w:r>
          </w:p>
        </w:tc>
        <w:tc>
          <w:tcPr>
            <w:tcW w:w="891" w:type="dxa"/>
            <w:shd w:val="clear" w:color="000000" w:fill="BFBFBF"/>
            <w:vAlign w:val="center"/>
            <w:hideMark/>
          </w:tcPr>
          <w:p w14:paraId="072F499C"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Importe Global</w:t>
            </w:r>
          </w:p>
        </w:tc>
        <w:tc>
          <w:tcPr>
            <w:tcW w:w="1170" w:type="dxa"/>
            <w:shd w:val="clear" w:color="000000" w:fill="BFBFBF"/>
            <w:vAlign w:val="center"/>
            <w:hideMark/>
          </w:tcPr>
          <w:p w14:paraId="3C279DA5"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Saldo al 31 de diciembre de 2021</w:t>
            </w:r>
          </w:p>
        </w:tc>
        <w:tc>
          <w:tcPr>
            <w:tcW w:w="1134" w:type="dxa"/>
            <w:shd w:val="clear" w:color="000000" w:fill="BFBFBF"/>
            <w:vAlign w:val="center"/>
            <w:hideMark/>
          </w:tcPr>
          <w:p w14:paraId="56D790B7"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Saldo al 31 de diciembre de 2022</w:t>
            </w:r>
          </w:p>
        </w:tc>
      </w:tr>
      <w:tr w:rsidR="00542933" w:rsidRPr="00542933" w14:paraId="6074F8D0" w14:textId="77777777" w:rsidTr="00542933">
        <w:trPr>
          <w:trHeight w:val="216"/>
          <w:jc w:val="center"/>
        </w:trPr>
        <w:tc>
          <w:tcPr>
            <w:tcW w:w="843" w:type="dxa"/>
            <w:shd w:val="clear" w:color="auto" w:fill="auto"/>
            <w:noWrap/>
            <w:vAlign w:val="center"/>
          </w:tcPr>
          <w:p w14:paraId="3ACDB582"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REOF-002/2021</w:t>
            </w:r>
          </w:p>
        </w:tc>
        <w:tc>
          <w:tcPr>
            <w:tcW w:w="843" w:type="dxa"/>
            <w:shd w:val="clear" w:color="auto" w:fill="auto"/>
            <w:noWrap/>
            <w:vAlign w:val="center"/>
          </w:tcPr>
          <w:p w14:paraId="00B91ADD"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Mercantil del Norte, S.A</w:t>
            </w:r>
          </w:p>
        </w:tc>
        <w:tc>
          <w:tcPr>
            <w:tcW w:w="843" w:type="dxa"/>
            <w:shd w:val="clear" w:color="auto" w:fill="auto"/>
            <w:noWrap/>
            <w:vAlign w:val="center"/>
          </w:tcPr>
          <w:p w14:paraId="58485392"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69BAE639"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421F0A60"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$180,000,000.00</w:t>
            </w:r>
          </w:p>
        </w:tc>
        <w:tc>
          <w:tcPr>
            <w:tcW w:w="1170" w:type="dxa"/>
            <w:shd w:val="clear" w:color="auto" w:fill="auto"/>
            <w:noWrap/>
            <w:vAlign w:val="center"/>
          </w:tcPr>
          <w:p w14:paraId="3BDDCD68"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$90,000,000.00</w:t>
            </w:r>
          </w:p>
        </w:tc>
        <w:tc>
          <w:tcPr>
            <w:tcW w:w="1134" w:type="dxa"/>
            <w:shd w:val="clear" w:color="auto" w:fill="auto"/>
            <w:noWrap/>
            <w:vAlign w:val="center"/>
          </w:tcPr>
          <w:p w14:paraId="471DE20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26404EC3" w14:textId="77777777" w:rsidTr="00542933">
        <w:trPr>
          <w:trHeight w:val="216"/>
          <w:jc w:val="center"/>
        </w:trPr>
        <w:tc>
          <w:tcPr>
            <w:tcW w:w="843" w:type="dxa"/>
            <w:shd w:val="clear" w:color="auto" w:fill="auto"/>
            <w:noWrap/>
            <w:vAlign w:val="center"/>
          </w:tcPr>
          <w:p w14:paraId="027A2E57"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REOF-003/2021</w:t>
            </w:r>
          </w:p>
        </w:tc>
        <w:tc>
          <w:tcPr>
            <w:tcW w:w="843" w:type="dxa"/>
            <w:shd w:val="clear" w:color="auto" w:fill="auto"/>
            <w:noWrap/>
            <w:vAlign w:val="center"/>
          </w:tcPr>
          <w:p w14:paraId="24506CDD"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Bansí, S.A.</w:t>
            </w:r>
          </w:p>
        </w:tc>
        <w:tc>
          <w:tcPr>
            <w:tcW w:w="843" w:type="dxa"/>
            <w:shd w:val="clear" w:color="auto" w:fill="auto"/>
            <w:noWrap/>
            <w:vAlign w:val="center"/>
          </w:tcPr>
          <w:p w14:paraId="3C6D290A"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42CC2B71"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2DAB5A7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200,000,000.00</w:t>
            </w:r>
          </w:p>
        </w:tc>
        <w:tc>
          <w:tcPr>
            <w:tcW w:w="1170" w:type="dxa"/>
            <w:shd w:val="clear" w:color="auto" w:fill="auto"/>
            <w:noWrap/>
            <w:vAlign w:val="center"/>
          </w:tcPr>
          <w:p w14:paraId="21BADEA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111,111,112.00</w:t>
            </w:r>
          </w:p>
        </w:tc>
        <w:tc>
          <w:tcPr>
            <w:tcW w:w="1134" w:type="dxa"/>
            <w:shd w:val="clear" w:color="auto" w:fill="auto"/>
            <w:noWrap/>
            <w:vAlign w:val="center"/>
          </w:tcPr>
          <w:p w14:paraId="18FC687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32A9817A" w14:textId="77777777" w:rsidTr="00542933">
        <w:trPr>
          <w:trHeight w:val="216"/>
          <w:jc w:val="center"/>
        </w:trPr>
        <w:tc>
          <w:tcPr>
            <w:tcW w:w="843" w:type="dxa"/>
            <w:shd w:val="clear" w:color="auto" w:fill="auto"/>
            <w:noWrap/>
            <w:vAlign w:val="center"/>
          </w:tcPr>
          <w:p w14:paraId="0C1A44CB"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REOF-005/2021</w:t>
            </w:r>
          </w:p>
        </w:tc>
        <w:tc>
          <w:tcPr>
            <w:tcW w:w="843" w:type="dxa"/>
            <w:shd w:val="clear" w:color="auto" w:fill="auto"/>
            <w:noWrap/>
            <w:vAlign w:val="center"/>
          </w:tcPr>
          <w:p w14:paraId="66CDCAD4"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Mercantil del Norte, S.A</w:t>
            </w:r>
          </w:p>
        </w:tc>
        <w:tc>
          <w:tcPr>
            <w:tcW w:w="843" w:type="dxa"/>
            <w:shd w:val="clear" w:color="auto" w:fill="auto"/>
            <w:noWrap/>
            <w:vAlign w:val="center"/>
          </w:tcPr>
          <w:p w14:paraId="7FEB11DC"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781925DF"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77CECD1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120,000,000.00</w:t>
            </w:r>
          </w:p>
        </w:tc>
        <w:tc>
          <w:tcPr>
            <w:tcW w:w="1170" w:type="dxa"/>
            <w:shd w:val="clear" w:color="auto" w:fill="auto"/>
            <w:noWrap/>
            <w:vAlign w:val="center"/>
          </w:tcPr>
          <w:p w14:paraId="539E55D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75,000,000.00</w:t>
            </w:r>
          </w:p>
        </w:tc>
        <w:tc>
          <w:tcPr>
            <w:tcW w:w="1134" w:type="dxa"/>
            <w:shd w:val="clear" w:color="auto" w:fill="auto"/>
            <w:noWrap/>
            <w:vAlign w:val="center"/>
          </w:tcPr>
          <w:p w14:paraId="7C50611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37B431BC" w14:textId="77777777" w:rsidTr="00542933">
        <w:trPr>
          <w:trHeight w:val="216"/>
          <w:jc w:val="center"/>
        </w:trPr>
        <w:tc>
          <w:tcPr>
            <w:tcW w:w="843" w:type="dxa"/>
            <w:shd w:val="clear" w:color="auto" w:fill="auto"/>
            <w:noWrap/>
            <w:vAlign w:val="center"/>
          </w:tcPr>
          <w:p w14:paraId="2BD90228"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REOF-006/2021</w:t>
            </w:r>
          </w:p>
        </w:tc>
        <w:tc>
          <w:tcPr>
            <w:tcW w:w="843" w:type="dxa"/>
            <w:shd w:val="clear" w:color="auto" w:fill="auto"/>
            <w:noWrap/>
            <w:vAlign w:val="center"/>
          </w:tcPr>
          <w:p w14:paraId="3F349465"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Bansí, S.A.</w:t>
            </w:r>
          </w:p>
        </w:tc>
        <w:tc>
          <w:tcPr>
            <w:tcW w:w="843" w:type="dxa"/>
            <w:shd w:val="clear" w:color="auto" w:fill="auto"/>
            <w:noWrap/>
            <w:vAlign w:val="center"/>
          </w:tcPr>
          <w:p w14:paraId="5F2DB4B1"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7779C782"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15E7C4EF"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30,000,000.00</w:t>
            </w:r>
          </w:p>
        </w:tc>
        <w:tc>
          <w:tcPr>
            <w:tcW w:w="1170" w:type="dxa"/>
            <w:shd w:val="clear" w:color="auto" w:fill="auto"/>
            <w:noWrap/>
            <w:vAlign w:val="center"/>
          </w:tcPr>
          <w:p w14:paraId="777ABE4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18,750,000.00</w:t>
            </w:r>
          </w:p>
        </w:tc>
        <w:tc>
          <w:tcPr>
            <w:tcW w:w="1134" w:type="dxa"/>
            <w:shd w:val="clear" w:color="auto" w:fill="auto"/>
            <w:noWrap/>
            <w:vAlign w:val="center"/>
          </w:tcPr>
          <w:p w14:paraId="3AE3294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44679581" w14:textId="77777777" w:rsidTr="00542933">
        <w:trPr>
          <w:trHeight w:val="216"/>
          <w:jc w:val="center"/>
        </w:trPr>
        <w:tc>
          <w:tcPr>
            <w:tcW w:w="843" w:type="dxa"/>
            <w:shd w:val="clear" w:color="auto" w:fill="auto"/>
            <w:noWrap/>
            <w:vAlign w:val="center"/>
          </w:tcPr>
          <w:p w14:paraId="16E4CD12"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REOF-009/2021</w:t>
            </w:r>
          </w:p>
        </w:tc>
        <w:tc>
          <w:tcPr>
            <w:tcW w:w="843" w:type="dxa"/>
            <w:shd w:val="clear" w:color="auto" w:fill="auto"/>
            <w:noWrap/>
            <w:vAlign w:val="center"/>
          </w:tcPr>
          <w:p w14:paraId="629BE1DC"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Bansí, S.A.</w:t>
            </w:r>
          </w:p>
        </w:tc>
        <w:tc>
          <w:tcPr>
            <w:tcW w:w="843" w:type="dxa"/>
            <w:shd w:val="clear" w:color="auto" w:fill="auto"/>
            <w:noWrap/>
            <w:vAlign w:val="center"/>
          </w:tcPr>
          <w:p w14:paraId="1134A937"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2C4C52DC"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07139E6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110,000,000.00</w:t>
            </w:r>
          </w:p>
        </w:tc>
        <w:tc>
          <w:tcPr>
            <w:tcW w:w="1170" w:type="dxa"/>
            <w:shd w:val="clear" w:color="auto" w:fill="auto"/>
            <w:noWrap/>
            <w:vAlign w:val="center"/>
          </w:tcPr>
          <w:p w14:paraId="16AFF4F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68,750,000.00</w:t>
            </w:r>
          </w:p>
        </w:tc>
        <w:tc>
          <w:tcPr>
            <w:tcW w:w="1134" w:type="dxa"/>
            <w:shd w:val="clear" w:color="auto" w:fill="auto"/>
            <w:noWrap/>
            <w:vAlign w:val="center"/>
          </w:tcPr>
          <w:p w14:paraId="77564A2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3D142A90" w14:textId="77777777" w:rsidTr="00542933">
        <w:trPr>
          <w:trHeight w:val="216"/>
          <w:jc w:val="center"/>
        </w:trPr>
        <w:tc>
          <w:tcPr>
            <w:tcW w:w="843" w:type="dxa"/>
            <w:shd w:val="clear" w:color="auto" w:fill="auto"/>
            <w:noWrap/>
            <w:vAlign w:val="center"/>
          </w:tcPr>
          <w:p w14:paraId="54DF5FE3"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REOF-010/2021</w:t>
            </w:r>
          </w:p>
        </w:tc>
        <w:tc>
          <w:tcPr>
            <w:tcW w:w="843" w:type="dxa"/>
            <w:shd w:val="clear" w:color="auto" w:fill="auto"/>
            <w:noWrap/>
            <w:vAlign w:val="center"/>
          </w:tcPr>
          <w:p w14:paraId="186E6221"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Bansí, S.A.</w:t>
            </w:r>
          </w:p>
        </w:tc>
        <w:tc>
          <w:tcPr>
            <w:tcW w:w="843" w:type="dxa"/>
            <w:shd w:val="clear" w:color="auto" w:fill="auto"/>
            <w:noWrap/>
            <w:vAlign w:val="center"/>
          </w:tcPr>
          <w:p w14:paraId="5DB75D95"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5E8E15E9"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0BEB845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150,000,000.00</w:t>
            </w:r>
          </w:p>
        </w:tc>
        <w:tc>
          <w:tcPr>
            <w:tcW w:w="1170" w:type="dxa"/>
            <w:shd w:val="clear" w:color="auto" w:fill="auto"/>
            <w:noWrap/>
            <w:vAlign w:val="center"/>
          </w:tcPr>
          <w:p w14:paraId="6541626F"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150,000,000.00</w:t>
            </w:r>
          </w:p>
        </w:tc>
        <w:tc>
          <w:tcPr>
            <w:tcW w:w="1134" w:type="dxa"/>
            <w:shd w:val="clear" w:color="auto" w:fill="auto"/>
            <w:noWrap/>
            <w:vAlign w:val="center"/>
          </w:tcPr>
          <w:p w14:paraId="186A3230"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677ED0FC" w14:textId="77777777" w:rsidTr="00542933">
        <w:trPr>
          <w:trHeight w:val="216"/>
          <w:jc w:val="center"/>
        </w:trPr>
        <w:tc>
          <w:tcPr>
            <w:tcW w:w="843" w:type="dxa"/>
            <w:shd w:val="clear" w:color="auto" w:fill="auto"/>
            <w:noWrap/>
            <w:vAlign w:val="center"/>
          </w:tcPr>
          <w:p w14:paraId="49B1A8F5"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REOF-011/2021</w:t>
            </w:r>
          </w:p>
        </w:tc>
        <w:tc>
          <w:tcPr>
            <w:tcW w:w="843" w:type="dxa"/>
            <w:shd w:val="clear" w:color="auto" w:fill="auto"/>
            <w:noWrap/>
            <w:vAlign w:val="center"/>
          </w:tcPr>
          <w:p w14:paraId="3FABA641"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Bansí, S.A.</w:t>
            </w:r>
          </w:p>
        </w:tc>
        <w:tc>
          <w:tcPr>
            <w:tcW w:w="843" w:type="dxa"/>
            <w:shd w:val="clear" w:color="auto" w:fill="auto"/>
            <w:noWrap/>
            <w:vAlign w:val="center"/>
          </w:tcPr>
          <w:p w14:paraId="3715F0FE"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5FCB10E5"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0C540C1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300,000,000.00</w:t>
            </w:r>
          </w:p>
        </w:tc>
        <w:tc>
          <w:tcPr>
            <w:tcW w:w="1170" w:type="dxa"/>
            <w:shd w:val="clear" w:color="auto" w:fill="auto"/>
            <w:noWrap/>
            <w:vAlign w:val="center"/>
          </w:tcPr>
          <w:p w14:paraId="0F619618"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300,000,000.00</w:t>
            </w:r>
          </w:p>
        </w:tc>
        <w:tc>
          <w:tcPr>
            <w:tcW w:w="1134" w:type="dxa"/>
            <w:shd w:val="clear" w:color="auto" w:fill="auto"/>
            <w:noWrap/>
            <w:vAlign w:val="center"/>
          </w:tcPr>
          <w:p w14:paraId="2DC7DD3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22BDE99C" w14:textId="77777777" w:rsidTr="00542933">
        <w:trPr>
          <w:trHeight w:val="216"/>
          <w:jc w:val="center"/>
        </w:trPr>
        <w:tc>
          <w:tcPr>
            <w:tcW w:w="843" w:type="dxa"/>
            <w:shd w:val="clear" w:color="auto" w:fill="auto"/>
            <w:noWrap/>
            <w:vAlign w:val="center"/>
          </w:tcPr>
          <w:p w14:paraId="0724485D"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REOF-012/2021</w:t>
            </w:r>
          </w:p>
        </w:tc>
        <w:tc>
          <w:tcPr>
            <w:tcW w:w="843" w:type="dxa"/>
            <w:shd w:val="clear" w:color="auto" w:fill="auto"/>
            <w:noWrap/>
            <w:vAlign w:val="center"/>
          </w:tcPr>
          <w:p w14:paraId="15F8D215"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Bancomer BBVA, S.A.</w:t>
            </w:r>
          </w:p>
        </w:tc>
        <w:tc>
          <w:tcPr>
            <w:tcW w:w="843" w:type="dxa"/>
            <w:shd w:val="clear" w:color="auto" w:fill="auto"/>
            <w:noWrap/>
            <w:vAlign w:val="center"/>
          </w:tcPr>
          <w:p w14:paraId="05A02F3F"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6D413F87"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7B2F0E5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200,000,000.00</w:t>
            </w:r>
          </w:p>
        </w:tc>
        <w:tc>
          <w:tcPr>
            <w:tcW w:w="1170" w:type="dxa"/>
            <w:shd w:val="clear" w:color="auto" w:fill="auto"/>
            <w:noWrap/>
            <w:vAlign w:val="center"/>
          </w:tcPr>
          <w:p w14:paraId="5746C40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200,000,000.00</w:t>
            </w:r>
          </w:p>
        </w:tc>
        <w:tc>
          <w:tcPr>
            <w:tcW w:w="1134" w:type="dxa"/>
            <w:shd w:val="clear" w:color="auto" w:fill="auto"/>
            <w:noWrap/>
            <w:vAlign w:val="center"/>
          </w:tcPr>
          <w:p w14:paraId="50DBFE7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6005BDAD" w14:textId="77777777" w:rsidTr="00542933">
        <w:trPr>
          <w:trHeight w:val="216"/>
          <w:jc w:val="center"/>
        </w:trPr>
        <w:tc>
          <w:tcPr>
            <w:tcW w:w="843" w:type="dxa"/>
            <w:shd w:val="clear" w:color="auto" w:fill="auto"/>
            <w:noWrap/>
            <w:vAlign w:val="center"/>
          </w:tcPr>
          <w:p w14:paraId="6AB7B8FF"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REOF-013/2021</w:t>
            </w:r>
          </w:p>
        </w:tc>
        <w:tc>
          <w:tcPr>
            <w:tcW w:w="843" w:type="dxa"/>
            <w:shd w:val="clear" w:color="auto" w:fill="auto"/>
            <w:noWrap/>
            <w:vAlign w:val="center"/>
          </w:tcPr>
          <w:p w14:paraId="2540F8BD"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Mercantil del Norte, S.A</w:t>
            </w:r>
          </w:p>
        </w:tc>
        <w:tc>
          <w:tcPr>
            <w:tcW w:w="843" w:type="dxa"/>
            <w:shd w:val="clear" w:color="auto" w:fill="auto"/>
            <w:noWrap/>
            <w:vAlign w:val="center"/>
          </w:tcPr>
          <w:p w14:paraId="489325EE"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5022E8F0"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664F11F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300,000,000.00</w:t>
            </w:r>
          </w:p>
        </w:tc>
        <w:tc>
          <w:tcPr>
            <w:tcW w:w="1170" w:type="dxa"/>
            <w:shd w:val="clear" w:color="auto" w:fill="auto"/>
            <w:noWrap/>
            <w:vAlign w:val="center"/>
          </w:tcPr>
          <w:p w14:paraId="0271BF60"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300,000,000.00</w:t>
            </w:r>
          </w:p>
        </w:tc>
        <w:tc>
          <w:tcPr>
            <w:tcW w:w="1134" w:type="dxa"/>
            <w:shd w:val="clear" w:color="auto" w:fill="auto"/>
            <w:noWrap/>
            <w:vAlign w:val="center"/>
          </w:tcPr>
          <w:p w14:paraId="60C77CA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518389EE" w14:textId="77777777" w:rsidTr="00542933">
        <w:trPr>
          <w:trHeight w:val="216"/>
          <w:jc w:val="center"/>
        </w:trPr>
        <w:tc>
          <w:tcPr>
            <w:tcW w:w="843" w:type="dxa"/>
            <w:shd w:val="clear" w:color="auto" w:fill="auto"/>
            <w:noWrap/>
            <w:vAlign w:val="center"/>
          </w:tcPr>
          <w:p w14:paraId="574A90BB"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REOF-014/2021</w:t>
            </w:r>
          </w:p>
        </w:tc>
        <w:tc>
          <w:tcPr>
            <w:tcW w:w="843" w:type="dxa"/>
            <w:shd w:val="clear" w:color="auto" w:fill="auto"/>
            <w:noWrap/>
            <w:vAlign w:val="center"/>
          </w:tcPr>
          <w:p w14:paraId="629F2B93"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Bansí, S.A.</w:t>
            </w:r>
          </w:p>
        </w:tc>
        <w:tc>
          <w:tcPr>
            <w:tcW w:w="843" w:type="dxa"/>
            <w:shd w:val="clear" w:color="auto" w:fill="auto"/>
            <w:noWrap/>
            <w:vAlign w:val="center"/>
          </w:tcPr>
          <w:p w14:paraId="0F5797D9"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2E691376"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101C4F1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450,000,000.00</w:t>
            </w:r>
          </w:p>
        </w:tc>
        <w:tc>
          <w:tcPr>
            <w:tcW w:w="1170" w:type="dxa"/>
            <w:shd w:val="clear" w:color="auto" w:fill="auto"/>
            <w:noWrap/>
            <w:vAlign w:val="center"/>
          </w:tcPr>
          <w:p w14:paraId="2913DCAF"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450,000,000.00</w:t>
            </w:r>
          </w:p>
        </w:tc>
        <w:tc>
          <w:tcPr>
            <w:tcW w:w="1134" w:type="dxa"/>
            <w:shd w:val="clear" w:color="auto" w:fill="auto"/>
            <w:noWrap/>
            <w:vAlign w:val="center"/>
          </w:tcPr>
          <w:p w14:paraId="7A05F48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7151D76B" w14:textId="77777777" w:rsidTr="00542933">
        <w:trPr>
          <w:trHeight w:val="216"/>
          <w:jc w:val="center"/>
        </w:trPr>
        <w:tc>
          <w:tcPr>
            <w:tcW w:w="843" w:type="dxa"/>
            <w:shd w:val="clear" w:color="auto" w:fill="auto"/>
            <w:noWrap/>
            <w:vAlign w:val="center"/>
          </w:tcPr>
          <w:p w14:paraId="3E4F5F08"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REOF-001/2022</w:t>
            </w:r>
          </w:p>
        </w:tc>
        <w:tc>
          <w:tcPr>
            <w:tcW w:w="843" w:type="dxa"/>
            <w:shd w:val="clear" w:color="auto" w:fill="auto"/>
            <w:noWrap/>
            <w:vAlign w:val="center"/>
          </w:tcPr>
          <w:p w14:paraId="05FD7B25"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Bansí, S.A.</w:t>
            </w:r>
          </w:p>
        </w:tc>
        <w:tc>
          <w:tcPr>
            <w:tcW w:w="843" w:type="dxa"/>
            <w:shd w:val="clear" w:color="auto" w:fill="auto"/>
            <w:noWrap/>
            <w:vAlign w:val="center"/>
          </w:tcPr>
          <w:p w14:paraId="6869E79F"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41E7ACE8"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6FE11A9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350,000,000.00</w:t>
            </w:r>
          </w:p>
        </w:tc>
        <w:tc>
          <w:tcPr>
            <w:tcW w:w="1170" w:type="dxa"/>
            <w:shd w:val="clear" w:color="auto" w:fill="auto"/>
            <w:noWrap/>
            <w:vAlign w:val="center"/>
          </w:tcPr>
          <w:p w14:paraId="29C5282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0BA26D90"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w:t>
            </w:r>
          </w:p>
        </w:tc>
      </w:tr>
      <w:tr w:rsidR="00542933" w:rsidRPr="00542933" w14:paraId="428C61DF" w14:textId="77777777" w:rsidTr="00542933">
        <w:trPr>
          <w:trHeight w:val="216"/>
          <w:jc w:val="center"/>
        </w:trPr>
        <w:tc>
          <w:tcPr>
            <w:tcW w:w="843" w:type="dxa"/>
            <w:shd w:val="clear" w:color="auto" w:fill="auto"/>
            <w:noWrap/>
            <w:vAlign w:val="center"/>
          </w:tcPr>
          <w:p w14:paraId="6BC22738"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REOF-002/2022</w:t>
            </w:r>
          </w:p>
        </w:tc>
        <w:tc>
          <w:tcPr>
            <w:tcW w:w="843" w:type="dxa"/>
            <w:shd w:val="clear" w:color="auto" w:fill="auto"/>
            <w:noWrap/>
            <w:vAlign w:val="center"/>
          </w:tcPr>
          <w:p w14:paraId="12677938"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Mercantil del Norte, S.A</w:t>
            </w:r>
          </w:p>
        </w:tc>
        <w:tc>
          <w:tcPr>
            <w:tcW w:w="843" w:type="dxa"/>
            <w:shd w:val="clear" w:color="auto" w:fill="auto"/>
            <w:noWrap/>
            <w:vAlign w:val="center"/>
          </w:tcPr>
          <w:p w14:paraId="26A22626"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359E3A40"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122D76C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800,000,000.00</w:t>
            </w:r>
          </w:p>
        </w:tc>
        <w:tc>
          <w:tcPr>
            <w:tcW w:w="1170" w:type="dxa"/>
            <w:shd w:val="clear" w:color="auto" w:fill="auto"/>
            <w:noWrap/>
            <w:vAlign w:val="center"/>
          </w:tcPr>
          <w:p w14:paraId="7533703C"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51659ED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$800,000,000.00</w:t>
            </w:r>
          </w:p>
        </w:tc>
      </w:tr>
      <w:tr w:rsidR="00542933" w:rsidRPr="00542933" w14:paraId="1301D872" w14:textId="77777777" w:rsidTr="00542933">
        <w:trPr>
          <w:trHeight w:val="216"/>
          <w:jc w:val="center"/>
        </w:trPr>
        <w:tc>
          <w:tcPr>
            <w:tcW w:w="843" w:type="dxa"/>
            <w:shd w:val="clear" w:color="auto" w:fill="auto"/>
            <w:noWrap/>
            <w:vAlign w:val="center"/>
          </w:tcPr>
          <w:p w14:paraId="1E937CD5"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REOF-003/2022</w:t>
            </w:r>
          </w:p>
        </w:tc>
        <w:tc>
          <w:tcPr>
            <w:tcW w:w="843" w:type="dxa"/>
            <w:shd w:val="clear" w:color="auto" w:fill="auto"/>
            <w:noWrap/>
            <w:vAlign w:val="center"/>
          </w:tcPr>
          <w:p w14:paraId="1B28C289"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Bansí, S.A.</w:t>
            </w:r>
          </w:p>
        </w:tc>
        <w:tc>
          <w:tcPr>
            <w:tcW w:w="843" w:type="dxa"/>
            <w:shd w:val="clear" w:color="auto" w:fill="auto"/>
            <w:noWrap/>
            <w:vAlign w:val="center"/>
          </w:tcPr>
          <w:p w14:paraId="05BBBC5E"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Necesidades de corto plazo</w:t>
            </w:r>
          </w:p>
        </w:tc>
        <w:tc>
          <w:tcPr>
            <w:tcW w:w="3345" w:type="dxa"/>
            <w:shd w:val="clear" w:color="auto" w:fill="auto"/>
            <w:noWrap/>
            <w:vAlign w:val="center"/>
          </w:tcPr>
          <w:p w14:paraId="0E361747"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Cubrir necesidades de corto plazo, tales como insuficiencias de liquidez de carácter temporal</w:t>
            </w:r>
          </w:p>
        </w:tc>
        <w:tc>
          <w:tcPr>
            <w:tcW w:w="891" w:type="dxa"/>
            <w:shd w:val="clear" w:color="auto" w:fill="auto"/>
            <w:noWrap/>
            <w:vAlign w:val="center"/>
          </w:tcPr>
          <w:p w14:paraId="4C27A9F4"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700,000,000.00</w:t>
            </w:r>
          </w:p>
        </w:tc>
        <w:tc>
          <w:tcPr>
            <w:tcW w:w="1170" w:type="dxa"/>
            <w:shd w:val="clear" w:color="auto" w:fill="auto"/>
            <w:noWrap/>
            <w:vAlign w:val="center"/>
          </w:tcPr>
          <w:p w14:paraId="28AFC118"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val="es-ES" w:eastAsia="es-MX" w:bidi="es-ES"/>
              </w:rPr>
              <w:t>-</w:t>
            </w:r>
          </w:p>
        </w:tc>
        <w:tc>
          <w:tcPr>
            <w:tcW w:w="1134" w:type="dxa"/>
            <w:shd w:val="clear" w:color="auto" w:fill="auto"/>
            <w:noWrap/>
            <w:vAlign w:val="center"/>
          </w:tcPr>
          <w:p w14:paraId="798F8C2F"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700,000,000.00</w:t>
            </w:r>
          </w:p>
        </w:tc>
      </w:tr>
      <w:tr w:rsidR="00542933" w:rsidRPr="00542933" w14:paraId="736DF832" w14:textId="77777777" w:rsidTr="00542933">
        <w:trPr>
          <w:trHeight w:val="216"/>
          <w:jc w:val="center"/>
        </w:trPr>
        <w:tc>
          <w:tcPr>
            <w:tcW w:w="843" w:type="dxa"/>
            <w:shd w:val="clear" w:color="auto" w:fill="BFBFBF"/>
            <w:noWrap/>
            <w:vAlign w:val="center"/>
          </w:tcPr>
          <w:p w14:paraId="48D93A25"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843" w:type="dxa"/>
            <w:shd w:val="clear" w:color="auto" w:fill="BFBFBF"/>
            <w:noWrap/>
            <w:vAlign w:val="center"/>
          </w:tcPr>
          <w:p w14:paraId="50988823"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p>
        </w:tc>
        <w:tc>
          <w:tcPr>
            <w:tcW w:w="843" w:type="dxa"/>
            <w:shd w:val="clear" w:color="auto" w:fill="BFBFBF"/>
            <w:noWrap/>
            <w:vAlign w:val="center"/>
          </w:tcPr>
          <w:p w14:paraId="06AB99BC"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p>
        </w:tc>
        <w:tc>
          <w:tcPr>
            <w:tcW w:w="3345" w:type="dxa"/>
            <w:shd w:val="clear" w:color="auto" w:fill="BFBFBF"/>
            <w:noWrap/>
            <w:vAlign w:val="center"/>
          </w:tcPr>
          <w:p w14:paraId="00356DCF"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b/>
                <w:bCs/>
                <w:color w:val="000000"/>
                <w:sz w:val="10"/>
                <w:szCs w:val="10"/>
                <w:lang w:val="es-ES" w:eastAsia="es-MX" w:bidi="es-ES"/>
              </w:rPr>
              <w:t>Subtotal</w:t>
            </w:r>
          </w:p>
        </w:tc>
        <w:tc>
          <w:tcPr>
            <w:tcW w:w="891" w:type="dxa"/>
            <w:shd w:val="clear" w:color="auto" w:fill="BFBFBF"/>
            <w:noWrap/>
            <w:vAlign w:val="center"/>
          </w:tcPr>
          <w:p w14:paraId="1CC24DA2"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color w:val="000000"/>
                <w:sz w:val="10"/>
                <w:szCs w:val="10"/>
                <w:lang w:eastAsia="es-MX"/>
              </w:rPr>
            </w:pPr>
            <w:r w:rsidRPr="00542933">
              <w:rPr>
                <w:rFonts w:ascii="Arial" w:eastAsia="Arial" w:hAnsi="Arial" w:cs="Arial"/>
                <w:b/>
                <w:color w:val="000000"/>
                <w:sz w:val="10"/>
                <w:szCs w:val="10"/>
                <w:lang w:val="es-ES" w:eastAsia="es-ES" w:bidi="es-ES"/>
              </w:rPr>
              <w:t>$3,890,000,000.00</w:t>
            </w:r>
          </w:p>
        </w:tc>
        <w:tc>
          <w:tcPr>
            <w:tcW w:w="1170" w:type="dxa"/>
            <w:shd w:val="clear" w:color="auto" w:fill="BFBFBF"/>
            <w:noWrap/>
            <w:vAlign w:val="center"/>
          </w:tcPr>
          <w:p w14:paraId="6528F281"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$1,763,611,112.00</w:t>
            </w:r>
          </w:p>
        </w:tc>
        <w:tc>
          <w:tcPr>
            <w:tcW w:w="1134" w:type="dxa"/>
            <w:shd w:val="clear" w:color="auto" w:fill="BFBFBF"/>
            <w:noWrap/>
            <w:vAlign w:val="center"/>
          </w:tcPr>
          <w:p w14:paraId="6EEC1EFE"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$1,500,000,000.00</w:t>
            </w:r>
          </w:p>
        </w:tc>
      </w:tr>
      <w:tr w:rsidR="00542933" w:rsidRPr="00542933" w14:paraId="06207681" w14:textId="77777777" w:rsidTr="00542933">
        <w:trPr>
          <w:trHeight w:val="216"/>
          <w:jc w:val="center"/>
        </w:trPr>
        <w:tc>
          <w:tcPr>
            <w:tcW w:w="843" w:type="dxa"/>
            <w:shd w:val="clear" w:color="auto" w:fill="BFBFBF"/>
            <w:noWrap/>
            <w:vAlign w:val="center"/>
          </w:tcPr>
          <w:p w14:paraId="5CD7952B"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p>
        </w:tc>
        <w:tc>
          <w:tcPr>
            <w:tcW w:w="843" w:type="dxa"/>
            <w:shd w:val="clear" w:color="auto" w:fill="BFBFBF"/>
            <w:noWrap/>
            <w:vAlign w:val="center"/>
          </w:tcPr>
          <w:p w14:paraId="558267F7"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p>
        </w:tc>
        <w:tc>
          <w:tcPr>
            <w:tcW w:w="843" w:type="dxa"/>
            <w:shd w:val="clear" w:color="auto" w:fill="BFBFBF"/>
            <w:noWrap/>
            <w:vAlign w:val="center"/>
          </w:tcPr>
          <w:p w14:paraId="06DB444D"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p>
        </w:tc>
        <w:tc>
          <w:tcPr>
            <w:tcW w:w="3345" w:type="dxa"/>
            <w:shd w:val="clear" w:color="auto" w:fill="BFBFBF"/>
            <w:noWrap/>
            <w:vAlign w:val="center"/>
          </w:tcPr>
          <w:p w14:paraId="24D80216"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b/>
                <w:bCs/>
                <w:color w:val="000000"/>
                <w:sz w:val="10"/>
                <w:szCs w:val="10"/>
                <w:lang w:val="es-ES" w:eastAsia="es-MX" w:bidi="es-ES"/>
              </w:rPr>
              <w:t>Total Deuda a Largo y Corto Plazo</w:t>
            </w:r>
          </w:p>
        </w:tc>
        <w:tc>
          <w:tcPr>
            <w:tcW w:w="891" w:type="dxa"/>
            <w:shd w:val="clear" w:color="auto" w:fill="BFBFBF"/>
            <w:noWrap/>
            <w:vAlign w:val="center"/>
          </w:tcPr>
          <w:p w14:paraId="0DD4BDBE"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color w:val="000000"/>
                <w:sz w:val="10"/>
                <w:szCs w:val="10"/>
                <w:lang w:val="es-ES" w:eastAsia="es-MX" w:bidi="es-ES"/>
              </w:rPr>
            </w:pPr>
          </w:p>
        </w:tc>
        <w:tc>
          <w:tcPr>
            <w:tcW w:w="1170" w:type="dxa"/>
            <w:shd w:val="clear" w:color="auto" w:fill="BFBFBF"/>
            <w:noWrap/>
            <w:vAlign w:val="center"/>
          </w:tcPr>
          <w:p w14:paraId="357FDAE5"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$21,307,591,786.09</w:t>
            </w:r>
          </w:p>
        </w:tc>
        <w:tc>
          <w:tcPr>
            <w:tcW w:w="1134" w:type="dxa"/>
            <w:shd w:val="clear" w:color="auto" w:fill="BFBFBF"/>
            <w:noWrap/>
            <w:vAlign w:val="center"/>
          </w:tcPr>
          <w:p w14:paraId="04FD57DD"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val="es-ES" w:eastAsia="es-MX" w:bidi="es-ES"/>
              </w:rPr>
            </w:pPr>
            <w:r w:rsidRPr="00542933">
              <w:rPr>
                <w:rFonts w:ascii="Arial" w:eastAsia="Times New Roman" w:hAnsi="Arial" w:cs="Arial"/>
                <w:b/>
                <w:bCs/>
                <w:color w:val="000000"/>
                <w:sz w:val="10"/>
                <w:szCs w:val="10"/>
                <w:lang w:val="es-ES" w:eastAsia="es-MX" w:bidi="es-ES"/>
              </w:rPr>
              <w:t>$21,158,989,933.59</w:t>
            </w:r>
          </w:p>
        </w:tc>
      </w:tr>
    </w:tbl>
    <w:p w14:paraId="266EF5B4" w14:textId="77777777" w:rsidR="00542933" w:rsidRPr="00542933" w:rsidRDefault="00542933" w:rsidP="00542933">
      <w:pPr>
        <w:widowControl w:val="0"/>
        <w:tabs>
          <w:tab w:val="left" w:pos="1555"/>
        </w:tabs>
        <w:autoSpaceDE w:val="0"/>
        <w:autoSpaceDN w:val="0"/>
        <w:spacing w:after="0" w:line="240" w:lineRule="auto"/>
        <w:rPr>
          <w:rFonts w:ascii="Times New Roman" w:eastAsia="Arial" w:hAnsi="Arial" w:cs="Arial"/>
          <w:sz w:val="14"/>
          <w:lang w:val="es-ES" w:eastAsia="es-ES" w:bidi="es-ES"/>
        </w:rPr>
      </w:pPr>
    </w:p>
    <w:p w14:paraId="09D4AEC5" w14:textId="77777777" w:rsidR="00542933" w:rsidRPr="00542933" w:rsidRDefault="00542933" w:rsidP="00542933">
      <w:pPr>
        <w:widowControl w:val="0"/>
        <w:tabs>
          <w:tab w:val="left" w:pos="1574"/>
        </w:tabs>
        <w:autoSpaceDE w:val="0"/>
        <w:autoSpaceDN w:val="0"/>
        <w:spacing w:after="0" w:line="240" w:lineRule="auto"/>
        <w:jc w:val="both"/>
        <w:rPr>
          <w:rFonts w:ascii="Arial" w:eastAsia="Times New Roman" w:hAnsi="Arial" w:cs="Arial"/>
          <w:bCs/>
          <w:color w:val="000000"/>
          <w:sz w:val="14"/>
          <w:szCs w:val="10"/>
          <w:lang w:eastAsia="es-MX"/>
        </w:rPr>
      </w:pPr>
      <w:r w:rsidRPr="00542933">
        <w:rPr>
          <w:rFonts w:ascii="Arial" w:eastAsia="Times New Roman" w:hAnsi="Arial" w:cs="Arial"/>
          <w:bCs/>
          <w:color w:val="000000"/>
          <w:sz w:val="14"/>
          <w:szCs w:val="10"/>
          <w:lang w:eastAsia="es-MX"/>
        </w:rPr>
        <w:t xml:space="preserve">Elaboración propia de la ASEQROO. </w:t>
      </w:r>
    </w:p>
    <w:p w14:paraId="3F416DC5" w14:textId="77777777" w:rsidR="00542933" w:rsidRPr="00542933" w:rsidRDefault="00542933" w:rsidP="00542933">
      <w:pPr>
        <w:widowControl w:val="0"/>
        <w:tabs>
          <w:tab w:val="left" w:pos="1574"/>
        </w:tabs>
        <w:autoSpaceDE w:val="0"/>
        <w:autoSpaceDN w:val="0"/>
        <w:spacing w:after="0" w:line="240" w:lineRule="auto"/>
        <w:rPr>
          <w:rFonts w:ascii="Times New Roman" w:eastAsia="Arial" w:hAnsi="Arial" w:cs="Arial"/>
          <w:sz w:val="18"/>
          <w:lang w:val="es-ES" w:eastAsia="es-ES" w:bidi="es-ES"/>
        </w:rPr>
      </w:pPr>
      <w:r w:rsidRPr="00542933">
        <w:rPr>
          <w:rFonts w:ascii="Arial" w:eastAsia="Times New Roman" w:hAnsi="Arial" w:cs="Arial"/>
          <w:b/>
          <w:bCs/>
          <w:color w:val="000000"/>
          <w:sz w:val="14"/>
          <w:szCs w:val="10"/>
          <w:lang w:eastAsia="es-MX"/>
        </w:rPr>
        <w:t>Fuente:</w:t>
      </w:r>
      <w:r w:rsidRPr="00542933">
        <w:rPr>
          <w:rFonts w:ascii="Arial" w:eastAsia="Times New Roman" w:hAnsi="Arial" w:cs="Arial"/>
          <w:bCs/>
          <w:color w:val="000000"/>
          <w:sz w:val="14"/>
          <w:szCs w:val="10"/>
          <w:lang w:eastAsia="es-MX"/>
        </w:rPr>
        <w:t xml:space="preserve"> Auxiliar contable del pasivo y gasto emitido por la Secretaría de Finanzas y Planeación</w:t>
      </w:r>
    </w:p>
    <w:p w14:paraId="4C1CECDE" w14:textId="77777777" w:rsidR="00542933" w:rsidRPr="00542933" w:rsidRDefault="00542933" w:rsidP="00542933">
      <w:pPr>
        <w:widowControl w:val="0"/>
        <w:autoSpaceDE w:val="0"/>
        <w:autoSpaceDN w:val="0"/>
        <w:spacing w:before="225" w:after="0" w:line="240" w:lineRule="auto"/>
        <w:ind w:left="1134" w:right="1177"/>
        <w:jc w:val="both"/>
        <w:rPr>
          <w:rFonts w:ascii="Arial" w:eastAsia="Arial" w:hAnsi="Arial" w:cs="Arial"/>
          <w:b/>
          <w:sz w:val="24"/>
          <w:lang w:val="es-ES" w:eastAsia="es-ES" w:bidi="es-ES"/>
        </w:rPr>
      </w:pPr>
      <w:r w:rsidRPr="00542933">
        <w:rPr>
          <w:rFonts w:ascii="Arial" w:eastAsia="Arial" w:hAnsi="Arial" w:cs="Arial"/>
          <w:b/>
          <w:sz w:val="24"/>
          <w:lang w:val="es-ES" w:eastAsia="es-ES" w:bidi="es-ES"/>
        </w:rPr>
        <w:t>Amortización, Intereses, Costos y Gastos pagados de la Deuda Pública a corto plazo en el ejercicio fiscal 2022:</w:t>
      </w:r>
    </w:p>
    <w:p w14:paraId="0CB7D35F" w14:textId="77777777" w:rsidR="00542933" w:rsidRPr="00542933" w:rsidRDefault="00542933" w:rsidP="00542933">
      <w:pPr>
        <w:widowControl w:val="0"/>
        <w:tabs>
          <w:tab w:val="left" w:pos="1718"/>
        </w:tabs>
        <w:autoSpaceDE w:val="0"/>
        <w:autoSpaceDN w:val="0"/>
        <w:spacing w:after="0" w:line="240" w:lineRule="auto"/>
        <w:rPr>
          <w:rFonts w:ascii="Arial" w:eastAsia="Arial" w:hAnsi="Arial" w:cs="Arial"/>
          <w:sz w:val="24"/>
          <w:szCs w:val="24"/>
          <w:lang w:val="es-ES" w:eastAsia="es-ES" w:bidi="es-ES"/>
        </w:rPr>
      </w:pPr>
    </w:p>
    <w:p w14:paraId="0334AB5F" w14:textId="77777777" w:rsidR="00542933" w:rsidRPr="00542933" w:rsidRDefault="00542933" w:rsidP="00542933">
      <w:pPr>
        <w:widowControl w:val="0"/>
        <w:tabs>
          <w:tab w:val="left" w:pos="1622"/>
        </w:tabs>
        <w:autoSpaceDE w:val="0"/>
        <w:autoSpaceDN w:val="0"/>
        <w:spacing w:after="0" w:line="240" w:lineRule="auto"/>
        <w:rPr>
          <w:rFonts w:ascii="Times New Roman" w:eastAsia="Arial" w:hAnsi="Arial" w:cs="Arial"/>
          <w:sz w:val="14"/>
          <w:lang w:val="es-ES" w:eastAsia="es-ES" w:bidi="es-ES"/>
        </w:rPr>
      </w:pPr>
      <w:r w:rsidRPr="00542933">
        <w:rPr>
          <w:rFonts w:ascii="Times New Roman" w:eastAsia="Arial" w:hAnsi="Arial" w:cs="Arial"/>
          <w:sz w:val="14"/>
          <w:lang w:val="es-ES" w:eastAsia="es-ES" w:bidi="es-ES"/>
        </w:rPr>
        <w:tab/>
      </w:r>
    </w:p>
    <w:tbl>
      <w:tblPr>
        <w:tblW w:w="9249"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1191"/>
        <w:gridCol w:w="624"/>
        <w:gridCol w:w="975"/>
        <w:gridCol w:w="1081"/>
        <w:gridCol w:w="891"/>
        <w:gridCol w:w="907"/>
        <w:gridCol w:w="836"/>
        <w:gridCol w:w="794"/>
        <w:gridCol w:w="975"/>
        <w:gridCol w:w="975"/>
      </w:tblGrid>
      <w:tr w:rsidR="00542933" w:rsidRPr="00542933" w14:paraId="15926BB8" w14:textId="77777777" w:rsidTr="00542933">
        <w:trPr>
          <w:trHeight w:val="253"/>
          <w:tblHeader/>
          <w:jc w:val="center"/>
        </w:trPr>
        <w:tc>
          <w:tcPr>
            <w:tcW w:w="1191" w:type="dxa"/>
            <w:shd w:val="clear" w:color="auto" w:fill="BFBFBF"/>
            <w:vAlign w:val="center"/>
          </w:tcPr>
          <w:p w14:paraId="169F1669"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Banco</w:t>
            </w:r>
          </w:p>
        </w:tc>
        <w:tc>
          <w:tcPr>
            <w:tcW w:w="624" w:type="dxa"/>
            <w:shd w:val="clear" w:color="auto" w:fill="BFBFBF"/>
            <w:vAlign w:val="center"/>
          </w:tcPr>
          <w:p w14:paraId="702B64C7"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Contrato</w:t>
            </w:r>
          </w:p>
        </w:tc>
        <w:tc>
          <w:tcPr>
            <w:tcW w:w="975" w:type="dxa"/>
            <w:shd w:val="clear" w:color="auto" w:fill="BFBFBF"/>
            <w:vAlign w:val="center"/>
          </w:tcPr>
          <w:p w14:paraId="4BC624B2"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Saldo del periodo</w:t>
            </w:r>
          </w:p>
        </w:tc>
        <w:tc>
          <w:tcPr>
            <w:tcW w:w="1081" w:type="dxa"/>
            <w:shd w:val="clear" w:color="auto" w:fill="BFBFBF"/>
            <w:vAlign w:val="center"/>
          </w:tcPr>
          <w:p w14:paraId="0B7AAAFE"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Amortización de la Deuda</w:t>
            </w:r>
          </w:p>
        </w:tc>
        <w:tc>
          <w:tcPr>
            <w:tcW w:w="891" w:type="dxa"/>
            <w:shd w:val="clear" w:color="auto" w:fill="BFBFBF"/>
            <w:vAlign w:val="center"/>
          </w:tcPr>
          <w:p w14:paraId="7BFE7C15"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Interés de la Deuda</w:t>
            </w:r>
          </w:p>
        </w:tc>
        <w:tc>
          <w:tcPr>
            <w:tcW w:w="907" w:type="dxa"/>
            <w:shd w:val="clear" w:color="auto" w:fill="BFBFBF"/>
            <w:vAlign w:val="center"/>
          </w:tcPr>
          <w:p w14:paraId="6CEB191A"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Comisión de la Deuda</w:t>
            </w:r>
          </w:p>
        </w:tc>
        <w:tc>
          <w:tcPr>
            <w:tcW w:w="836" w:type="dxa"/>
            <w:shd w:val="clear" w:color="auto" w:fill="BFBFBF"/>
            <w:vAlign w:val="center"/>
          </w:tcPr>
          <w:p w14:paraId="122EF4CE"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Gasto de la Deuda</w:t>
            </w:r>
          </w:p>
        </w:tc>
        <w:tc>
          <w:tcPr>
            <w:tcW w:w="794" w:type="dxa"/>
            <w:shd w:val="clear" w:color="auto" w:fill="BFBFBF"/>
            <w:vAlign w:val="center"/>
          </w:tcPr>
          <w:p w14:paraId="2E724E24"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Costo por Coberturas de la Deuda</w:t>
            </w:r>
          </w:p>
        </w:tc>
        <w:tc>
          <w:tcPr>
            <w:tcW w:w="975" w:type="dxa"/>
            <w:shd w:val="clear" w:color="auto" w:fill="BFBFBF"/>
            <w:vAlign w:val="center"/>
          </w:tcPr>
          <w:p w14:paraId="722C839B"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Total</w:t>
            </w:r>
          </w:p>
        </w:tc>
        <w:tc>
          <w:tcPr>
            <w:tcW w:w="975" w:type="dxa"/>
            <w:shd w:val="clear" w:color="auto" w:fill="BFBFBF"/>
            <w:vAlign w:val="center"/>
          </w:tcPr>
          <w:p w14:paraId="30C1CAEB"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Saldo Final</w:t>
            </w:r>
          </w:p>
        </w:tc>
      </w:tr>
      <w:tr w:rsidR="00542933" w:rsidRPr="00542933" w14:paraId="2DFE586E" w14:textId="77777777" w:rsidTr="00542933">
        <w:trPr>
          <w:trHeight w:val="303"/>
          <w:jc w:val="center"/>
        </w:trPr>
        <w:tc>
          <w:tcPr>
            <w:tcW w:w="1191" w:type="dxa"/>
            <w:shd w:val="clear" w:color="auto" w:fill="auto"/>
            <w:vAlign w:val="center"/>
          </w:tcPr>
          <w:p w14:paraId="2D3B3D39"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Banco Mercantil del Norte, S.A</w:t>
            </w:r>
          </w:p>
        </w:tc>
        <w:tc>
          <w:tcPr>
            <w:tcW w:w="624" w:type="dxa"/>
            <w:shd w:val="clear" w:color="auto" w:fill="auto"/>
            <w:noWrap/>
            <w:vAlign w:val="center"/>
          </w:tcPr>
          <w:p w14:paraId="54A88334"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REOF-002/2021</w:t>
            </w:r>
          </w:p>
        </w:tc>
        <w:tc>
          <w:tcPr>
            <w:tcW w:w="975" w:type="dxa"/>
            <w:shd w:val="clear" w:color="auto" w:fill="auto"/>
            <w:noWrap/>
            <w:vAlign w:val="center"/>
          </w:tcPr>
          <w:p w14:paraId="5FBE5760"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$90,000,000.00</w:t>
            </w:r>
          </w:p>
        </w:tc>
        <w:tc>
          <w:tcPr>
            <w:tcW w:w="1081" w:type="dxa"/>
            <w:shd w:val="clear" w:color="auto" w:fill="auto"/>
            <w:noWrap/>
            <w:vAlign w:val="center"/>
          </w:tcPr>
          <w:p w14:paraId="242AF6E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$90,000,000.00</w:t>
            </w:r>
          </w:p>
        </w:tc>
        <w:tc>
          <w:tcPr>
            <w:tcW w:w="891" w:type="dxa"/>
            <w:shd w:val="clear" w:color="auto" w:fill="auto"/>
            <w:noWrap/>
            <w:vAlign w:val="center"/>
          </w:tcPr>
          <w:p w14:paraId="1F4E235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$1,757,651.75</w:t>
            </w:r>
          </w:p>
        </w:tc>
        <w:tc>
          <w:tcPr>
            <w:tcW w:w="907" w:type="dxa"/>
            <w:shd w:val="clear" w:color="auto" w:fill="auto"/>
            <w:noWrap/>
            <w:vAlign w:val="center"/>
          </w:tcPr>
          <w:p w14:paraId="13AF1914"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3F61BE87"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23D7059B"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0AFEC681"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Arial" w:hAnsi="Arial" w:cs="Arial"/>
                <w:color w:val="000000"/>
                <w:sz w:val="10"/>
                <w:szCs w:val="10"/>
                <w:lang w:val="es-ES" w:eastAsia="es-ES" w:bidi="es-ES"/>
              </w:rPr>
              <w:t>$91,757,651.75</w:t>
            </w:r>
          </w:p>
        </w:tc>
        <w:tc>
          <w:tcPr>
            <w:tcW w:w="975" w:type="dxa"/>
            <w:shd w:val="clear" w:color="auto" w:fill="auto"/>
            <w:noWrap/>
            <w:vAlign w:val="center"/>
          </w:tcPr>
          <w:p w14:paraId="6B12095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5B22F1FC" w14:textId="77777777" w:rsidTr="00542933">
        <w:trPr>
          <w:trHeight w:val="303"/>
          <w:jc w:val="center"/>
        </w:trPr>
        <w:tc>
          <w:tcPr>
            <w:tcW w:w="1191" w:type="dxa"/>
            <w:shd w:val="clear" w:color="auto" w:fill="auto"/>
            <w:vAlign w:val="center"/>
          </w:tcPr>
          <w:p w14:paraId="1193426A"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Banco Bansí, S.A.</w:t>
            </w:r>
          </w:p>
        </w:tc>
        <w:tc>
          <w:tcPr>
            <w:tcW w:w="624" w:type="dxa"/>
            <w:shd w:val="clear" w:color="auto" w:fill="auto"/>
            <w:noWrap/>
            <w:vAlign w:val="center"/>
          </w:tcPr>
          <w:p w14:paraId="596796CD"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REOF-003/2021</w:t>
            </w:r>
          </w:p>
        </w:tc>
        <w:tc>
          <w:tcPr>
            <w:tcW w:w="975" w:type="dxa"/>
            <w:shd w:val="clear" w:color="auto" w:fill="auto"/>
            <w:noWrap/>
            <w:vAlign w:val="center"/>
          </w:tcPr>
          <w:p w14:paraId="76111C72"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111,111,112.00</w:t>
            </w:r>
          </w:p>
        </w:tc>
        <w:tc>
          <w:tcPr>
            <w:tcW w:w="1081" w:type="dxa"/>
            <w:shd w:val="clear" w:color="auto" w:fill="auto"/>
            <w:noWrap/>
            <w:vAlign w:val="center"/>
          </w:tcPr>
          <w:p w14:paraId="097D49C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111,111,112.00</w:t>
            </w:r>
          </w:p>
        </w:tc>
        <w:tc>
          <w:tcPr>
            <w:tcW w:w="891" w:type="dxa"/>
            <w:shd w:val="clear" w:color="auto" w:fill="auto"/>
            <w:noWrap/>
            <w:vAlign w:val="center"/>
          </w:tcPr>
          <w:p w14:paraId="26846DF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2,507,701.57</w:t>
            </w:r>
          </w:p>
        </w:tc>
        <w:tc>
          <w:tcPr>
            <w:tcW w:w="907" w:type="dxa"/>
            <w:shd w:val="clear" w:color="auto" w:fill="auto"/>
            <w:noWrap/>
            <w:vAlign w:val="center"/>
          </w:tcPr>
          <w:p w14:paraId="417BCE03"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459B19CA"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6A3925E9"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2D703915"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113,618,813.57</w:t>
            </w:r>
          </w:p>
        </w:tc>
        <w:tc>
          <w:tcPr>
            <w:tcW w:w="975" w:type="dxa"/>
            <w:shd w:val="clear" w:color="auto" w:fill="auto"/>
            <w:noWrap/>
            <w:vAlign w:val="center"/>
          </w:tcPr>
          <w:p w14:paraId="454AA18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727F33F6" w14:textId="77777777" w:rsidTr="00542933">
        <w:trPr>
          <w:trHeight w:val="303"/>
          <w:jc w:val="center"/>
        </w:trPr>
        <w:tc>
          <w:tcPr>
            <w:tcW w:w="1191" w:type="dxa"/>
            <w:shd w:val="clear" w:color="auto" w:fill="auto"/>
            <w:vAlign w:val="center"/>
          </w:tcPr>
          <w:p w14:paraId="66AA30C1"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Banco Mercantil del Norte, S.A</w:t>
            </w:r>
          </w:p>
        </w:tc>
        <w:tc>
          <w:tcPr>
            <w:tcW w:w="624" w:type="dxa"/>
            <w:shd w:val="clear" w:color="auto" w:fill="auto"/>
            <w:noWrap/>
            <w:vAlign w:val="center"/>
          </w:tcPr>
          <w:p w14:paraId="2A1D3EA5"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REOF-005/2021</w:t>
            </w:r>
          </w:p>
        </w:tc>
        <w:tc>
          <w:tcPr>
            <w:tcW w:w="975" w:type="dxa"/>
            <w:shd w:val="clear" w:color="auto" w:fill="auto"/>
            <w:noWrap/>
            <w:vAlign w:val="center"/>
          </w:tcPr>
          <w:p w14:paraId="3EF91450"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75,000,000.00</w:t>
            </w:r>
          </w:p>
        </w:tc>
        <w:tc>
          <w:tcPr>
            <w:tcW w:w="1081" w:type="dxa"/>
            <w:shd w:val="clear" w:color="auto" w:fill="auto"/>
            <w:noWrap/>
            <w:vAlign w:val="center"/>
          </w:tcPr>
          <w:p w14:paraId="748D08C4"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75,000,000.00</w:t>
            </w:r>
          </w:p>
        </w:tc>
        <w:tc>
          <w:tcPr>
            <w:tcW w:w="891" w:type="dxa"/>
            <w:shd w:val="clear" w:color="auto" w:fill="auto"/>
            <w:noWrap/>
            <w:vAlign w:val="center"/>
          </w:tcPr>
          <w:p w14:paraId="619640E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1,411,256.66</w:t>
            </w:r>
          </w:p>
        </w:tc>
        <w:tc>
          <w:tcPr>
            <w:tcW w:w="907" w:type="dxa"/>
            <w:shd w:val="clear" w:color="auto" w:fill="auto"/>
            <w:noWrap/>
            <w:vAlign w:val="center"/>
          </w:tcPr>
          <w:p w14:paraId="5C441DB4"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3C34690B"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41AE9EFE"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63164180"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76,411,256.66</w:t>
            </w:r>
          </w:p>
        </w:tc>
        <w:tc>
          <w:tcPr>
            <w:tcW w:w="975" w:type="dxa"/>
            <w:shd w:val="clear" w:color="auto" w:fill="auto"/>
            <w:noWrap/>
            <w:vAlign w:val="center"/>
          </w:tcPr>
          <w:p w14:paraId="67DBB36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2EAD128C" w14:textId="77777777" w:rsidTr="00542933">
        <w:trPr>
          <w:trHeight w:val="303"/>
          <w:jc w:val="center"/>
        </w:trPr>
        <w:tc>
          <w:tcPr>
            <w:tcW w:w="1191" w:type="dxa"/>
            <w:shd w:val="clear" w:color="auto" w:fill="auto"/>
            <w:vAlign w:val="center"/>
          </w:tcPr>
          <w:p w14:paraId="14F95CA1"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Banco Bansí, S.A.</w:t>
            </w:r>
          </w:p>
        </w:tc>
        <w:tc>
          <w:tcPr>
            <w:tcW w:w="624" w:type="dxa"/>
            <w:shd w:val="clear" w:color="auto" w:fill="auto"/>
            <w:noWrap/>
            <w:vAlign w:val="center"/>
          </w:tcPr>
          <w:p w14:paraId="3D63547F"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REOF-006/2021</w:t>
            </w:r>
          </w:p>
        </w:tc>
        <w:tc>
          <w:tcPr>
            <w:tcW w:w="975" w:type="dxa"/>
            <w:shd w:val="clear" w:color="auto" w:fill="auto"/>
            <w:noWrap/>
            <w:vAlign w:val="center"/>
          </w:tcPr>
          <w:p w14:paraId="26AD54F8"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18,750,000.00</w:t>
            </w:r>
          </w:p>
        </w:tc>
        <w:tc>
          <w:tcPr>
            <w:tcW w:w="1081" w:type="dxa"/>
            <w:shd w:val="clear" w:color="auto" w:fill="auto"/>
            <w:noWrap/>
            <w:vAlign w:val="center"/>
          </w:tcPr>
          <w:p w14:paraId="62A176D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18,750,000.00</w:t>
            </w:r>
          </w:p>
        </w:tc>
        <w:tc>
          <w:tcPr>
            <w:tcW w:w="891" w:type="dxa"/>
            <w:shd w:val="clear" w:color="auto" w:fill="auto"/>
            <w:noWrap/>
            <w:vAlign w:val="center"/>
          </w:tcPr>
          <w:p w14:paraId="67594AF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423,174.68</w:t>
            </w:r>
          </w:p>
        </w:tc>
        <w:tc>
          <w:tcPr>
            <w:tcW w:w="907" w:type="dxa"/>
            <w:shd w:val="clear" w:color="auto" w:fill="auto"/>
            <w:noWrap/>
            <w:vAlign w:val="center"/>
          </w:tcPr>
          <w:p w14:paraId="679E6B74"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438D2D0A"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1A05A1B1"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6518BA99"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19,173,174.68</w:t>
            </w:r>
          </w:p>
        </w:tc>
        <w:tc>
          <w:tcPr>
            <w:tcW w:w="975" w:type="dxa"/>
            <w:shd w:val="clear" w:color="auto" w:fill="auto"/>
            <w:noWrap/>
            <w:vAlign w:val="center"/>
          </w:tcPr>
          <w:p w14:paraId="00BB5B60"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49BE8848" w14:textId="77777777" w:rsidTr="00542933">
        <w:trPr>
          <w:trHeight w:val="303"/>
          <w:jc w:val="center"/>
        </w:trPr>
        <w:tc>
          <w:tcPr>
            <w:tcW w:w="1191" w:type="dxa"/>
            <w:shd w:val="clear" w:color="auto" w:fill="auto"/>
            <w:vAlign w:val="center"/>
          </w:tcPr>
          <w:p w14:paraId="40AD3FD4"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Banco Bansí, S.A.</w:t>
            </w:r>
          </w:p>
        </w:tc>
        <w:tc>
          <w:tcPr>
            <w:tcW w:w="624" w:type="dxa"/>
            <w:shd w:val="clear" w:color="auto" w:fill="auto"/>
            <w:noWrap/>
            <w:vAlign w:val="center"/>
          </w:tcPr>
          <w:p w14:paraId="51768B7B"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REOF-009/2021</w:t>
            </w:r>
          </w:p>
        </w:tc>
        <w:tc>
          <w:tcPr>
            <w:tcW w:w="975" w:type="dxa"/>
            <w:shd w:val="clear" w:color="auto" w:fill="auto"/>
            <w:noWrap/>
            <w:vAlign w:val="center"/>
          </w:tcPr>
          <w:p w14:paraId="4BD1DF93"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68,750,000.00</w:t>
            </w:r>
          </w:p>
        </w:tc>
        <w:tc>
          <w:tcPr>
            <w:tcW w:w="1081" w:type="dxa"/>
            <w:shd w:val="clear" w:color="auto" w:fill="auto"/>
            <w:noWrap/>
            <w:vAlign w:val="center"/>
          </w:tcPr>
          <w:p w14:paraId="4D7AE7D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68,750,000.00</w:t>
            </w:r>
          </w:p>
        </w:tc>
        <w:tc>
          <w:tcPr>
            <w:tcW w:w="891" w:type="dxa"/>
            <w:shd w:val="clear" w:color="auto" w:fill="auto"/>
            <w:noWrap/>
            <w:vAlign w:val="center"/>
          </w:tcPr>
          <w:p w14:paraId="7F1CE9F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1,564,440.41</w:t>
            </w:r>
          </w:p>
        </w:tc>
        <w:tc>
          <w:tcPr>
            <w:tcW w:w="907" w:type="dxa"/>
            <w:shd w:val="clear" w:color="auto" w:fill="auto"/>
            <w:noWrap/>
            <w:vAlign w:val="center"/>
          </w:tcPr>
          <w:p w14:paraId="1349624F"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014D2A9F"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0868D8E7"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3955BFCE"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70,314,440.41</w:t>
            </w:r>
          </w:p>
        </w:tc>
        <w:tc>
          <w:tcPr>
            <w:tcW w:w="975" w:type="dxa"/>
            <w:shd w:val="clear" w:color="auto" w:fill="auto"/>
            <w:noWrap/>
            <w:vAlign w:val="center"/>
          </w:tcPr>
          <w:p w14:paraId="29AC156C"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2B714EFF" w14:textId="77777777" w:rsidTr="00542933">
        <w:trPr>
          <w:trHeight w:val="303"/>
          <w:jc w:val="center"/>
        </w:trPr>
        <w:tc>
          <w:tcPr>
            <w:tcW w:w="1191" w:type="dxa"/>
            <w:shd w:val="clear" w:color="auto" w:fill="auto"/>
            <w:vAlign w:val="center"/>
          </w:tcPr>
          <w:p w14:paraId="2D7F06E7"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Banco Bansí, S.A.</w:t>
            </w:r>
          </w:p>
        </w:tc>
        <w:tc>
          <w:tcPr>
            <w:tcW w:w="624" w:type="dxa"/>
            <w:shd w:val="clear" w:color="auto" w:fill="auto"/>
            <w:noWrap/>
            <w:vAlign w:val="center"/>
          </w:tcPr>
          <w:p w14:paraId="7D389019"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REOF-010/2021</w:t>
            </w:r>
          </w:p>
        </w:tc>
        <w:tc>
          <w:tcPr>
            <w:tcW w:w="975" w:type="dxa"/>
            <w:shd w:val="clear" w:color="auto" w:fill="auto"/>
            <w:noWrap/>
            <w:vAlign w:val="center"/>
          </w:tcPr>
          <w:p w14:paraId="7DFD1A85"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150,000,000.00</w:t>
            </w:r>
          </w:p>
        </w:tc>
        <w:tc>
          <w:tcPr>
            <w:tcW w:w="1081" w:type="dxa"/>
            <w:shd w:val="clear" w:color="auto" w:fill="auto"/>
            <w:noWrap/>
            <w:vAlign w:val="center"/>
          </w:tcPr>
          <w:p w14:paraId="71EF61D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150,000,000.00</w:t>
            </w:r>
          </w:p>
        </w:tc>
        <w:tc>
          <w:tcPr>
            <w:tcW w:w="891" w:type="dxa"/>
            <w:shd w:val="clear" w:color="auto" w:fill="auto"/>
            <w:noWrap/>
            <w:vAlign w:val="center"/>
          </w:tcPr>
          <w:p w14:paraId="078A5DB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3,886,300.93</w:t>
            </w:r>
          </w:p>
        </w:tc>
        <w:tc>
          <w:tcPr>
            <w:tcW w:w="907" w:type="dxa"/>
            <w:shd w:val="clear" w:color="auto" w:fill="auto"/>
            <w:noWrap/>
            <w:vAlign w:val="center"/>
          </w:tcPr>
          <w:p w14:paraId="623AD846"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0687F39D"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28997D04"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235DD806"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153,886,300.93</w:t>
            </w:r>
          </w:p>
        </w:tc>
        <w:tc>
          <w:tcPr>
            <w:tcW w:w="975" w:type="dxa"/>
            <w:shd w:val="clear" w:color="auto" w:fill="auto"/>
            <w:noWrap/>
            <w:vAlign w:val="center"/>
          </w:tcPr>
          <w:p w14:paraId="6235224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3FA4CDD1" w14:textId="77777777" w:rsidTr="00542933">
        <w:trPr>
          <w:trHeight w:val="303"/>
          <w:jc w:val="center"/>
        </w:trPr>
        <w:tc>
          <w:tcPr>
            <w:tcW w:w="1191" w:type="dxa"/>
            <w:shd w:val="clear" w:color="auto" w:fill="auto"/>
            <w:vAlign w:val="center"/>
          </w:tcPr>
          <w:p w14:paraId="34F04582"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Banco Bansí, S.A.</w:t>
            </w:r>
          </w:p>
        </w:tc>
        <w:tc>
          <w:tcPr>
            <w:tcW w:w="624" w:type="dxa"/>
            <w:shd w:val="clear" w:color="auto" w:fill="auto"/>
            <w:noWrap/>
            <w:vAlign w:val="center"/>
          </w:tcPr>
          <w:p w14:paraId="00A760E6"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REOF-011/2021</w:t>
            </w:r>
          </w:p>
        </w:tc>
        <w:tc>
          <w:tcPr>
            <w:tcW w:w="975" w:type="dxa"/>
            <w:shd w:val="clear" w:color="auto" w:fill="auto"/>
            <w:noWrap/>
            <w:vAlign w:val="center"/>
          </w:tcPr>
          <w:p w14:paraId="303D14C6"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300,000,000.00</w:t>
            </w:r>
          </w:p>
        </w:tc>
        <w:tc>
          <w:tcPr>
            <w:tcW w:w="1081" w:type="dxa"/>
            <w:shd w:val="clear" w:color="auto" w:fill="auto"/>
            <w:noWrap/>
            <w:vAlign w:val="center"/>
          </w:tcPr>
          <w:p w14:paraId="3252B2C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300,000,000.00</w:t>
            </w:r>
          </w:p>
        </w:tc>
        <w:tc>
          <w:tcPr>
            <w:tcW w:w="891" w:type="dxa"/>
            <w:shd w:val="clear" w:color="auto" w:fill="auto"/>
            <w:noWrap/>
            <w:vAlign w:val="center"/>
          </w:tcPr>
          <w:p w14:paraId="29A0EF7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6,534,248.78</w:t>
            </w:r>
          </w:p>
        </w:tc>
        <w:tc>
          <w:tcPr>
            <w:tcW w:w="907" w:type="dxa"/>
            <w:shd w:val="clear" w:color="auto" w:fill="auto"/>
            <w:noWrap/>
            <w:vAlign w:val="center"/>
          </w:tcPr>
          <w:p w14:paraId="1E0EA944"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3380646B"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5F991C5F"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0FE25340"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306,534,248.78</w:t>
            </w:r>
          </w:p>
        </w:tc>
        <w:tc>
          <w:tcPr>
            <w:tcW w:w="975" w:type="dxa"/>
            <w:shd w:val="clear" w:color="auto" w:fill="auto"/>
            <w:noWrap/>
            <w:vAlign w:val="center"/>
          </w:tcPr>
          <w:p w14:paraId="78A07B3D"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77E51E85" w14:textId="77777777" w:rsidTr="00542933">
        <w:trPr>
          <w:trHeight w:val="303"/>
          <w:jc w:val="center"/>
        </w:trPr>
        <w:tc>
          <w:tcPr>
            <w:tcW w:w="1191" w:type="dxa"/>
            <w:shd w:val="clear" w:color="auto" w:fill="auto"/>
            <w:vAlign w:val="center"/>
          </w:tcPr>
          <w:p w14:paraId="3078B21A"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Banco Bancomer BBVA, S.A.</w:t>
            </w:r>
          </w:p>
        </w:tc>
        <w:tc>
          <w:tcPr>
            <w:tcW w:w="624" w:type="dxa"/>
            <w:shd w:val="clear" w:color="auto" w:fill="auto"/>
            <w:noWrap/>
            <w:vAlign w:val="center"/>
          </w:tcPr>
          <w:p w14:paraId="21556DDB"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REOF-012/2021</w:t>
            </w:r>
          </w:p>
        </w:tc>
        <w:tc>
          <w:tcPr>
            <w:tcW w:w="975" w:type="dxa"/>
            <w:shd w:val="clear" w:color="auto" w:fill="auto"/>
            <w:noWrap/>
            <w:vAlign w:val="center"/>
          </w:tcPr>
          <w:p w14:paraId="65643F4D"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200,000,000.00</w:t>
            </w:r>
          </w:p>
        </w:tc>
        <w:tc>
          <w:tcPr>
            <w:tcW w:w="1081" w:type="dxa"/>
            <w:shd w:val="clear" w:color="auto" w:fill="auto"/>
            <w:noWrap/>
            <w:vAlign w:val="center"/>
          </w:tcPr>
          <w:p w14:paraId="51DD578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200,000,000.00</w:t>
            </w:r>
          </w:p>
        </w:tc>
        <w:tc>
          <w:tcPr>
            <w:tcW w:w="891" w:type="dxa"/>
            <w:shd w:val="clear" w:color="auto" w:fill="auto"/>
            <w:noWrap/>
            <w:vAlign w:val="center"/>
          </w:tcPr>
          <w:p w14:paraId="33736E6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3,658,778.90</w:t>
            </w:r>
          </w:p>
        </w:tc>
        <w:tc>
          <w:tcPr>
            <w:tcW w:w="907" w:type="dxa"/>
            <w:shd w:val="clear" w:color="auto" w:fill="auto"/>
            <w:noWrap/>
            <w:vAlign w:val="center"/>
          </w:tcPr>
          <w:p w14:paraId="6E5EF3CD"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4BBBFAE1"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059469E0"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29AE6B93"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203,658,778.90</w:t>
            </w:r>
          </w:p>
        </w:tc>
        <w:tc>
          <w:tcPr>
            <w:tcW w:w="975" w:type="dxa"/>
            <w:shd w:val="clear" w:color="auto" w:fill="auto"/>
            <w:noWrap/>
            <w:vAlign w:val="center"/>
          </w:tcPr>
          <w:p w14:paraId="2361BEE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54D2989E" w14:textId="77777777" w:rsidTr="00542933">
        <w:trPr>
          <w:trHeight w:val="303"/>
          <w:jc w:val="center"/>
        </w:trPr>
        <w:tc>
          <w:tcPr>
            <w:tcW w:w="1191" w:type="dxa"/>
            <w:shd w:val="clear" w:color="auto" w:fill="auto"/>
            <w:vAlign w:val="center"/>
          </w:tcPr>
          <w:p w14:paraId="2BD0D186"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Banco Mercantil del Norte, S.A</w:t>
            </w:r>
          </w:p>
        </w:tc>
        <w:tc>
          <w:tcPr>
            <w:tcW w:w="624" w:type="dxa"/>
            <w:shd w:val="clear" w:color="auto" w:fill="auto"/>
            <w:noWrap/>
            <w:vAlign w:val="center"/>
          </w:tcPr>
          <w:p w14:paraId="0502C93D"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REOF-013/2021</w:t>
            </w:r>
          </w:p>
        </w:tc>
        <w:tc>
          <w:tcPr>
            <w:tcW w:w="975" w:type="dxa"/>
            <w:shd w:val="clear" w:color="auto" w:fill="auto"/>
            <w:noWrap/>
            <w:vAlign w:val="center"/>
          </w:tcPr>
          <w:p w14:paraId="56EEEE8B"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300,000,000.00</w:t>
            </w:r>
          </w:p>
        </w:tc>
        <w:tc>
          <w:tcPr>
            <w:tcW w:w="1081" w:type="dxa"/>
            <w:shd w:val="clear" w:color="auto" w:fill="auto"/>
            <w:noWrap/>
            <w:vAlign w:val="center"/>
          </w:tcPr>
          <w:p w14:paraId="27422BF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300,000,000.00</w:t>
            </w:r>
          </w:p>
        </w:tc>
        <w:tc>
          <w:tcPr>
            <w:tcW w:w="891" w:type="dxa"/>
            <w:shd w:val="clear" w:color="auto" w:fill="auto"/>
            <w:noWrap/>
            <w:vAlign w:val="center"/>
          </w:tcPr>
          <w:p w14:paraId="309DFBB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6,841,355.83</w:t>
            </w:r>
          </w:p>
        </w:tc>
        <w:tc>
          <w:tcPr>
            <w:tcW w:w="907" w:type="dxa"/>
            <w:shd w:val="clear" w:color="auto" w:fill="auto"/>
            <w:noWrap/>
            <w:vAlign w:val="center"/>
          </w:tcPr>
          <w:p w14:paraId="37CEC33F"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122515F7"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33C8628C"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29796915"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306,841,355.83</w:t>
            </w:r>
          </w:p>
        </w:tc>
        <w:tc>
          <w:tcPr>
            <w:tcW w:w="975" w:type="dxa"/>
            <w:shd w:val="clear" w:color="auto" w:fill="auto"/>
            <w:noWrap/>
            <w:vAlign w:val="center"/>
          </w:tcPr>
          <w:p w14:paraId="31C10466"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7FF9C35D" w14:textId="77777777" w:rsidTr="00542933">
        <w:trPr>
          <w:trHeight w:val="303"/>
          <w:jc w:val="center"/>
        </w:trPr>
        <w:tc>
          <w:tcPr>
            <w:tcW w:w="1191" w:type="dxa"/>
            <w:shd w:val="clear" w:color="auto" w:fill="auto"/>
            <w:vAlign w:val="center"/>
          </w:tcPr>
          <w:p w14:paraId="2E35BDE4"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Banco Bansí, S.A.</w:t>
            </w:r>
          </w:p>
        </w:tc>
        <w:tc>
          <w:tcPr>
            <w:tcW w:w="624" w:type="dxa"/>
            <w:shd w:val="clear" w:color="auto" w:fill="auto"/>
            <w:noWrap/>
            <w:vAlign w:val="center"/>
          </w:tcPr>
          <w:p w14:paraId="5EC29B29"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val="es-ES" w:eastAsia="es-MX" w:bidi="es-ES"/>
              </w:rPr>
              <w:t>REOF-014/2021</w:t>
            </w:r>
          </w:p>
        </w:tc>
        <w:tc>
          <w:tcPr>
            <w:tcW w:w="975" w:type="dxa"/>
            <w:shd w:val="clear" w:color="auto" w:fill="auto"/>
            <w:noWrap/>
            <w:vAlign w:val="center"/>
          </w:tcPr>
          <w:p w14:paraId="6AC74ABC"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450,000,000.00</w:t>
            </w:r>
          </w:p>
        </w:tc>
        <w:tc>
          <w:tcPr>
            <w:tcW w:w="1081" w:type="dxa"/>
            <w:shd w:val="clear" w:color="auto" w:fill="auto"/>
            <w:noWrap/>
            <w:vAlign w:val="center"/>
          </w:tcPr>
          <w:p w14:paraId="7A8AFC2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450,000,000.00</w:t>
            </w:r>
          </w:p>
        </w:tc>
        <w:tc>
          <w:tcPr>
            <w:tcW w:w="891" w:type="dxa"/>
            <w:shd w:val="clear" w:color="auto" w:fill="auto"/>
            <w:noWrap/>
            <w:vAlign w:val="center"/>
          </w:tcPr>
          <w:p w14:paraId="40F7D60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10,005,647.00</w:t>
            </w:r>
          </w:p>
        </w:tc>
        <w:tc>
          <w:tcPr>
            <w:tcW w:w="907" w:type="dxa"/>
            <w:shd w:val="clear" w:color="auto" w:fill="auto"/>
            <w:noWrap/>
            <w:vAlign w:val="center"/>
          </w:tcPr>
          <w:p w14:paraId="7ED9D7F9"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063F7614"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4BA1923D"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1074181D"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460,005,647.00</w:t>
            </w:r>
          </w:p>
        </w:tc>
        <w:tc>
          <w:tcPr>
            <w:tcW w:w="975" w:type="dxa"/>
            <w:shd w:val="clear" w:color="auto" w:fill="auto"/>
            <w:noWrap/>
            <w:vAlign w:val="center"/>
          </w:tcPr>
          <w:p w14:paraId="50CDBDDE"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154549EE" w14:textId="77777777" w:rsidTr="00542933">
        <w:trPr>
          <w:trHeight w:val="306"/>
          <w:jc w:val="center"/>
        </w:trPr>
        <w:tc>
          <w:tcPr>
            <w:tcW w:w="1191" w:type="dxa"/>
            <w:shd w:val="clear" w:color="auto" w:fill="auto"/>
            <w:vAlign w:val="center"/>
          </w:tcPr>
          <w:p w14:paraId="2BC8BF32"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Bansí, S.A.</w:t>
            </w:r>
          </w:p>
        </w:tc>
        <w:tc>
          <w:tcPr>
            <w:tcW w:w="624" w:type="dxa"/>
            <w:shd w:val="clear" w:color="auto" w:fill="auto"/>
            <w:noWrap/>
            <w:vAlign w:val="center"/>
          </w:tcPr>
          <w:p w14:paraId="4F5BB71B"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REOF-001/2022</w:t>
            </w:r>
          </w:p>
        </w:tc>
        <w:tc>
          <w:tcPr>
            <w:tcW w:w="975" w:type="dxa"/>
            <w:shd w:val="clear" w:color="auto" w:fill="auto"/>
            <w:noWrap/>
            <w:vAlign w:val="center"/>
          </w:tcPr>
          <w:p w14:paraId="0C8C6DC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350,000,000.00</w:t>
            </w:r>
          </w:p>
        </w:tc>
        <w:tc>
          <w:tcPr>
            <w:tcW w:w="1081" w:type="dxa"/>
            <w:shd w:val="clear" w:color="auto" w:fill="auto"/>
            <w:noWrap/>
            <w:vAlign w:val="center"/>
          </w:tcPr>
          <w:p w14:paraId="025B9B5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350,000,000.00</w:t>
            </w:r>
          </w:p>
        </w:tc>
        <w:tc>
          <w:tcPr>
            <w:tcW w:w="891" w:type="dxa"/>
            <w:shd w:val="clear" w:color="auto" w:fill="auto"/>
            <w:noWrap/>
            <w:vAlign w:val="center"/>
          </w:tcPr>
          <w:p w14:paraId="0F636014"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6,350,563.34</w:t>
            </w:r>
          </w:p>
        </w:tc>
        <w:tc>
          <w:tcPr>
            <w:tcW w:w="907" w:type="dxa"/>
            <w:shd w:val="clear" w:color="auto" w:fill="auto"/>
            <w:noWrap/>
            <w:vAlign w:val="center"/>
          </w:tcPr>
          <w:p w14:paraId="7269A253"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$11,368,000.00</w:t>
            </w:r>
          </w:p>
        </w:tc>
        <w:tc>
          <w:tcPr>
            <w:tcW w:w="836" w:type="dxa"/>
            <w:shd w:val="clear" w:color="auto" w:fill="auto"/>
            <w:noWrap/>
            <w:vAlign w:val="center"/>
          </w:tcPr>
          <w:p w14:paraId="598550CC"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6A798BAE"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53F08FCA"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367,718,563.34</w:t>
            </w:r>
          </w:p>
        </w:tc>
        <w:tc>
          <w:tcPr>
            <w:tcW w:w="975" w:type="dxa"/>
            <w:shd w:val="clear" w:color="auto" w:fill="auto"/>
            <w:noWrap/>
            <w:vAlign w:val="center"/>
          </w:tcPr>
          <w:p w14:paraId="4EC922B5"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w:t>
            </w:r>
          </w:p>
        </w:tc>
      </w:tr>
      <w:tr w:rsidR="00542933" w:rsidRPr="00542933" w14:paraId="11942351" w14:textId="77777777" w:rsidTr="00542933">
        <w:trPr>
          <w:trHeight w:val="302"/>
          <w:jc w:val="center"/>
        </w:trPr>
        <w:tc>
          <w:tcPr>
            <w:tcW w:w="1191" w:type="dxa"/>
            <w:shd w:val="clear" w:color="auto" w:fill="auto"/>
            <w:vAlign w:val="center"/>
          </w:tcPr>
          <w:p w14:paraId="1E31F093"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Mercantil del Norte, S.A</w:t>
            </w:r>
          </w:p>
        </w:tc>
        <w:tc>
          <w:tcPr>
            <w:tcW w:w="624" w:type="dxa"/>
            <w:shd w:val="clear" w:color="auto" w:fill="auto"/>
            <w:noWrap/>
            <w:vAlign w:val="center"/>
          </w:tcPr>
          <w:p w14:paraId="7CE70B52"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REOF-002/2022</w:t>
            </w:r>
          </w:p>
        </w:tc>
        <w:tc>
          <w:tcPr>
            <w:tcW w:w="975" w:type="dxa"/>
            <w:shd w:val="clear" w:color="auto" w:fill="auto"/>
            <w:noWrap/>
            <w:vAlign w:val="center"/>
          </w:tcPr>
          <w:p w14:paraId="46AA336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800,000,000.00</w:t>
            </w:r>
          </w:p>
        </w:tc>
        <w:tc>
          <w:tcPr>
            <w:tcW w:w="1081" w:type="dxa"/>
            <w:shd w:val="clear" w:color="auto" w:fill="auto"/>
            <w:noWrap/>
            <w:vAlign w:val="center"/>
          </w:tcPr>
          <w:p w14:paraId="0A832F45"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91" w:type="dxa"/>
            <w:shd w:val="clear" w:color="auto" w:fill="auto"/>
            <w:noWrap/>
            <w:vAlign w:val="center"/>
          </w:tcPr>
          <w:p w14:paraId="65B921A9"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21,289,855.55</w:t>
            </w:r>
          </w:p>
        </w:tc>
        <w:tc>
          <w:tcPr>
            <w:tcW w:w="907" w:type="dxa"/>
            <w:shd w:val="clear" w:color="auto" w:fill="auto"/>
            <w:noWrap/>
            <w:vAlign w:val="center"/>
          </w:tcPr>
          <w:p w14:paraId="0A4D480F"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1,392,000.00</w:t>
            </w:r>
          </w:p>
        </w:tc>
        <w:tc>
          <w:tcPr>
            <w:tcW w:w="836" w:type="dxa"/>
            <w:shd w:val="clear" w:color="auto" w:fill="auto"/>
            <w:noWrap/>
            <w:vAlign w:val="center"/>
          </w:tcPr>
          <w:p w14:paraId="51D21DFF"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04D5A279"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12C69F7A"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22,681,855.55</w:t>
            </w:r>
          </w:p>
        </w:tc>
        <w:tc>
          <w:tcPr>
            <w:tcW w:w="975" w:type="dxa"/>
            <w:shd w:val="clear" w:color="auto" w:fill="auto"/>
            <w:noWrap/>
            <w:vAlign w:val="center"/>
          </w:tcPr>
          <w:p w14:paraId="68E0C28A"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$800,000,000.00</w:t>
            </w:r>
          </w:p>
        </w:tc>
      </w:tr>
      <w:tr w:rsidR="00542933" w:rsidRPr="00542933" w14:paraId="43F61A0B" w14:textId="77777777" w:rsidTr="00542933">
        <w:trPr>
          <w:trHeight w:val="386"/>
          <w:jc w:val="center"/>
        </w:trPr>
        <w:tc>
          <w:tcPr>
            <w:tcW w:w="1191" w:type="dxa"/>
            <w:shd w:val="clear" w:color="auto" w:fill="auto"/>
            <w:vAlign w:val="center"/>
          </w:tcPr>
          <w:p w14:paraId="7B1BA593" w14:textId="77777777" w:rsidR="00542933" w:rsidRPr="00542933" w:rsidRDefault="00542933" w:rsidP="00542933">
            <w:pPr>
              <w:widowControl w:val="0"/>
              <w:autoSpaceDE w:val="0"/>
              <w:autoSpaceDN w:val="0"/>
              <w:spacing w:after="0" w:line="240" w:lineRule="auto"/>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Banco Bansí, S.A.</w:t>
            </w:r>
          </w:p>
        </w:tc>
        <w:tc>
          <w:tcPr>
            <w:tcW w:w="624" w:type="dxa"/>
            <w:shd w:val="clear" w:color="auto" w:fill="auto"/>
            <w:noWrap/>
            <w:vAlign w:val="center"/>
          </w:tcPr>
          <w:p w14:paraId="6EABFFB8" w14:textId="77777777" w:rsidR="00542933" w:rsidRPr="00542933" w:rsidRDefault="00542933" w:rsidP="00542933">
            <w:pPr>
              <w:widowControl w:val="0"/>
              <w:autoSpaceDE w:val="0"/>
              <w:autoSpaceDN w:val="0"/>
              <w:spacing w:after="0" w:line="240" w:lineRule="auto"/>
              <w:jc w:val="center"/>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REOF-003/2022</w:t>
            </w:r>
          </w:p>
        </w:tc>
        <w:tc>
          <w:tcPr>
            <w:tcW w:w="975" w:type="dxa"/>
            <w:shd w:val="clear" w:color="auto" w:fill="auto"/>
            <w:noWrap/>
            <w:vAlign w:val="center"/>
          </w:tcPr>
          <w:p w14:paraId="577E37D8"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val="es-ES" w:eastAsia="es-MX" w:bidi="es-ES"/>
              </w:rPr>
            </w:pPr>
            <w:r w:rsidRPr="00542933">
              <w:rPr>
                <w:rFonts w:ascii="Arial" w:eastAsia="Times New Roman" w:hAnsi="Arial" w:cs="Arial"/>
                <w:color w:val="000000"/>
                <w:sz w:val="10"/>
                <w:szCs w:val="10"/>
                <w:lang w:val="es-ES" w:eastAsia="es-MX" w:bidi="es-ES"/>
              </w:rPr>
              <w:t>700,000,000.00</w:t>
            </w:r>
          </w:p>
        </w:tc>
        <w:tc>
          <w:tcPr>
            <w:tcW w:w="1081" w:type="dxa"/>
            <w:shd w:val="clear" w:color="auto" w:fill="auto"/>
            <w:noWrap/>
            <w:vAlign w:val="center"/>
          </w:tcPr>
          <w:p w14:paraId="20313901"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91" w:type="dxa"/>
            <w:shd w:val="clear" w:color="auto" w:fill="auto"/>
            <w:noWrap/>
            <w:vAlign w:val="center"/>
          </w:tcPr>
          <w:p w14:paraId="1B64A58B"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16,169,990.29</w:t>
            </w:r>
          </w:p>
        </w:tc>
        <w:tc>
          <w:tcPr>
            <w:tcW w:w="907" w:type="dxa"/>
            <w:shd w:val="clear" w:color="auto" w:fill="auto"/>
            <w:noWrap/>
            <w:vAlign w:val="center"/>
          </w:tcPr>
          <w:p w14:paraId="7F2F9897"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1,218,000.00</w:t>
            </w:r>
          </w:p>
        </w:tc>
        <w:tc>
          <w:tcPr>
            <w:tcW w:w="836" w:type="dxa"/>
            <w:shd w:val="clear" w:color="auto" w:fill="auto"/>
            <w:noWrap/>
            <w:vAlign w:val="center"/>
          </w:tcPr>
          <w:p w14:paraId="5FFDC38D"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794" w:type="dxa"/>
            <w:shd w:val="clear" w:color="auto" w:fill="auto"/>
            <w:noWrap/>
            <w:vAlign w:val="center"/>
          </w:tcPr>
          <w:p w14:paraId="2543EB3D"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39A45608"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17,387,990.29</w:t>
            </w:r>
          </w:p>
        </w:tc>
        <w:tc>
          <w:tcPr>
            <w:tcW w:w="975" w:type="dxa"/>
            <w:shd w:val="clear" w:color="auto" w:fill="auto"/>
            <w:noWrap/>
            <w:vAlign w:val="center"/>
          </w:tcPr>
          <w:p w14:paraId="708546B2" w14:textId="77777777" w:rsidR="00542933" w:rsidRPr="00542933" w:rsidRDefault="00542933" w:rsidP="00542933">
            <w:pPr>
              <w:widowControl w:val="0"/>
              <w:autoSpaceDE w:val="0"/>
              <w:autoSpaceDN w:val="0"/>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700,000,000.00</w:t>
            </w:r>
          </w:p>
        </w:tc>
      </w:tr>
      <w:tr w:rsidR="00542933" w:rsidRPr="00542933" w14:paraId="219A53DB" w14:textId="77777777" w:rsidTr="00542933">
        <w:trPr>
          <w:trHeight w:val="420"/>
          <w:jc w:val="center"/>
        </w:trPr>
        <w:tc>
          <w:tcPr>
            <w:tcW w:w="1191" w:type="dxa"/>
            <w:shd w:val="clear" w:color="auto" w:fill="auto"/>
            <w:vAlign w:val="center"/>
            <w:hideMark/>
          </w:tcPr>
          <w:p w14:paraId="5351E9BE" w14:textId="77777777" w:rsidR="00542933" w:rsidRPr="00542933" w:rsidRDefault="00542933" w:rsidP="00542933">
            <w:pPr>
              <w:spacing w:after="0" w:line="240" w:lineRule="auto"/>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Gastos diversos de la Deuda Pública</w:t>
            </w:r>
          </w:p>
        </w:tc>
        <w:tc>
          <w:tcPr>
            <w:tcW w:w="624" w:type="dxa"/>
            <w:shd w:val="clear" w:color="auto" w:fill="auto"/>
            <w:noWrap/>
            <w:vAlign w:val="center"/>
            <w:hideMark/>
          </w:tcPr>
          <w:p w14:paraId="0880FE63" w14:textId="77777777" w:rsidR="00542933" w:rsidRPr="00542933" w:rsidRDefault="00542933" w:rsidP="00542933">
            <w:pPr>
              <w:spacing w:after="0" w:line="240" w:lineRule="auto"/>
              <w:jc w:val="center"/>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 </w:t>
            </w:r>
          </w:p>
        </w:tc>
        <w:tc>
          <w:tcPr>
            <w:tcW w:w="975" w:type="dxa"/>
            <w:shd w:val="clear" w:color="auto" w:fill="auto"/>
            <w:noWrap/>
            <w:vAlign w:val="center"/>
            <w:hideMark/>
          </w:tcPr>
          <w:p w14:paraId="57ABBFB4"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1081" w:type="dxa"/>
            <w:shd w:val="clear" w:color="auto" w:fill="auto"/>
            <w:noWrap/>
            <w:vAlign w:val="center"/>
          </w:tcPr>
          <w:p w14:paraId="72E64EE1"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91" w:type="dxa"/>
            <w:shd w:val="clear" w:color="auto" w:fill="auto"/>
            <w:noWrap/>
            <w:vAlign w:val="center"/>
          </w:tcPr>
          <w:p w14:paraId="086CFC90"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07" w:type="dxa"/>
            <w:shd w:val="clear" w:color="auto" w:fill="auto"/>
            <w:noWrap/>
            <w:vAlign w:val="center"/>
          </w:tcPr>
          <w:p w14:paraId="5821C64D"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836" w:type="dxa"/>
            <w:shd w:val="clear" w:color="auto" w:fill="auto"/>
            <w:noWrap/>
            <w:vAlign w:val="center"/>
          </w:tcPr>
          <w:p w14:paraId="22C15556" w14:textId="77777777" w:rsidR="00542933" w:rsidRPr="00542933" w:rsidRDefault="00542933" w:rsidP="00542933">
            <w:pPr>
              <w:spacing w:after="0" w:line="240" w:lineRule="auto"/>
              <w:jc w:val="right"/>
              <w:rPr>
                <w:rFonts w:ascii="Arial" w:eastAsia="Times New Roman" w:hAnsi="Arial" w:cs="Arial"/>
                <w:color w:val="000000"/>
                <w:sz w:val="10"/>
                <w:szCs w:val="10"/>
                <w:lang w:eastAsia="es-MX"/>
              </w:rPr>
            </w:pPr>
            <w:r w:rsidRPr="00542933">
              <w:rPr>
                <w:rFonts w:ascii="Arial" w:eastAsia="Times New Roman" w:hAnsi="Arial" w:cs="Arial"/>
                <w:color w:val="000000"/>
                <w:sz w:val="10"/>
                <w:szCs w:val="10"/>
                <w:lang w:eastAsia="es-MX"/>
              </w:rPr>
              <w:t>$6,622,773.42</w:t>
            </w:r>
          </w:p>
        </w:tc>
        <w:tc>
          <w:tcPr>
            <w:tcW w:w="794" w:type="dxa"/>
            <w:shd w:val="clear" w:color="auto" w:fill="auto"/>
            <w:noWrap/>
            <w:vAlign w:val="center"/>
          </w:tcPr>
          <w:p w14:paraId="6DF38427"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c>
          <w:tcPr>
            <w:tcW w:w="975" w:type="dxa"/>
            <w:shd w:val="clear" w:color="auto" w:fill="auto"/>
            <w:noWrap/>
            <w:vAlign w:val="center"/>
          </w:tcPr>
          <w:p w14:paraId="3221CA0C"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0"/>
                <w:szCs w:val="10"/>
                <w:lang w:val="es-ES" w:eastAsia="es-ES" w:bidi="es-ES"/>
              </w:rPr>
            </w:pPr>
            <w:r w:rsidRPr="00542933">
              <w:rPr>
                <w:rFonts w:ascii="Arial" w:eastAsia="Arial" w:hAnsi="Arial" w:cs="Arial"/>
                <w:color w:val="000000"/>
                <w:sz w:val="10"/>
                <w:szCs w:val="10"/>
                <w:lang w:val="es-ES" w:eastAsia="es-ES" w:bidi="es-ES"/>
              </w:rPr>
              <w:t>-</w:t>
            </w:r>
          </w:p>
        </w:tc>
        <w:tc>
          <w:tcPr>
            <w:tcW w:w="975" w:type="dxa"/>
            <w:shd w:val="clear" w:color="auto" w:fill="auto"/>
            <w:noWrap/>
            <w:vAlign w:val="center"/>
          </w:tcPr>
          <w:p w14:paraId="55510E31" w14:textId="77777777" w:rsidR="00542933" w:rsidRPr="00542933" w:rsidRDefault="00542933" w:rsidP="00542933">
            <w:pPr>
              <w:widowControl w:val="0"/>
              <w:autoSpaceDE w:val="0"/>
              <w:autoSpaceDN w:val="0"/>
              <w:spacing w:after="0" w:line="240" w:lineRule="auto"/>
              <w:jc w:val="right"/>
              <w:rPr>
                <w:rFonts w:ascii="Arial" w:eastAsia="Arial" w:hAnsi="Arial" w:cs="Arial"/>
                <w:lang w:val="es-ES" w:eastAsia="es-ES" w:bidi="es-ES"/>
              </w:rPr>
            </w:pPr>
            <w:r w:rsidRPr="00542933">
              <w:rPr>
                <w:rFonts w:ascii="Arial" w:eastAsia="Times New Roman" w:hAnsi="Arial" w:cs="Arial"/>
                <w:color w:val="000000"/>
                <w:sz w:val="10"/>
                <w:szCs w:val="10"/>
                <w:lang w:eastAsia="es-MX"/>
              </w:rPr>
              <w:t>-</w:t>
            </w:r>
          </w:p>
        </w:tc>
      </w:tr>
      <w:tr w:rsidR="00542933" w:rsidRPr="00542933" w14:paraId="75AB6D3A" w14:textId="77777777" w:rsidTr="00542933">
        <w:trPr>
          <w:trHeight w:val="312"/>
          <w:jc w:val="center"/>
        </w:trPr>
        <w:tc>
          <w:tcPr>
            <w:tcW w:w="1191" w:type="dxa"/>
            <w:shd w:val="clear" w:color="auto" w:fill="BFBFBF"/>
            <w:vAlign w:val="center"/>
          </w:tcPr>
          <w:p w14:paraId="388FBB2C" w14:textId="77777777" w:rsidR="00542933" w:rsidRPr="00542933" w:rsidRDefault="00542933" w:rsidP="00542933">
            <w:pPr>
              <w:spacing w:after="0" w:line="240" w:lineRule="auto"/>
              <w:rPr>
                <w:rFonts w:ascii="Arial" w:eastAsia="Times New Roman" w:hAnsi="Arial" w:cs="Arial"/>
                <w:color w:val="000000"/>
                <w:sz w:val="10"/>
                <w:szCs w:val="10"/>
                <w:lang w:eastAsia="es-MX"/>
              </w:rPr>
            </w:pPr>
          </w:p>
        </w:tc>
        <w:tc>
          <w:tcPr>
            <w:tcW w:w="624" w:type="dxa"/>
            <w:shd w:val="clear" w:color="auto" w:fill="BFBFBF"/>
            <w:noWrap/>
            <w:vAlign w:val="center"/>
          </w:tcPr>
          <w:p w14:paraId="7D0C4CD0"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Total</w:t>
            </w:r>
          </w:p>
        </w:tc>
        <w:tc>
          <w:tcPr>
            <w:tcW w:w="975" w:type="dxa"/>
            <w:shd w:val="clear" w:color="auto" w:fill="BFBFBF"/>
            <w:noWrap/>
            <w:vAlign w:val="center"/>
          </w:tcPr>
          <w:p w14:paraId="5BEBD2DA" w14:textId="77777777" w:rsidR="00542933" w:rsidRPr="00542933" w:rsidRDefault="00542933" w:rsidP="00542933">
            <w:pPr>
              <w:spacing w:after="0" w:line="240" w:lineRule="auto"/>
              <w:jc w:val="center"/>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$3,613,611,112.00</w:t>
            </w:r>
          </w:p>
        </w:tc>
        <w:tc>
          <w:tcPr>
            <w:tcW w:w="1081" w:type="dxa"/>
            <w:shd w:val="clear" w:color="auto" w:fill="BFBFBF"/>
            <w:noWrap/>
            <w:vAlign w:val="center"/>
          </w:tcPr>
          <w:p w14:paraId="0104E8D0"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$2,113,611,112.00</w:t>
            </w:r>
          </w:p>
        </w:tc>
        <w:tc>
          <w:tcPr>
            <w:tcW w:w="891" w:type="dxa"/>
            <w:shd w:val="clear" w:color="auto" w:fill="BFBFBF"/>
            <w:noWrap/>
            <w:vAlign w:val="center"/>
          </w:tcPr>
          <w:p w14:paraId="34643174"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$82,400,965.69</w:t>
            </w:r>
          </w:p>
        </w:tc>
        <w:tc>
          <w:tcPr>
            <w:tcW w:w="907" w:type="dxa"/>
            <w:shd w:val="clear" w:color="auto" w:fill="BFBFBF"/>
            <w:noWrap/>
            <w:vAlign w:val="center"/>
          </w:tcPr>
          <w:p w14:paraId="02CA0A55"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$13,978,000.00</w:t>
            </w:r>
          </w:p>
        </w:tc>
        <w:tc>
          <w:tcPr>
            <w:tcW w:w="836" w:type="dxa"/>
            <w:shd w:val="clear" w:color="auto" w:fill="BFBFBF"/>
            <w:noWrap/>
            <w:vAlign w:val="center"/>
          </w:tcPr>
          <w:p w14:paraId="1BFB2008"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$6,622,773.42</w:t>
            </w:r>
          </w:p>
        </w:tc>
        <w:tc>
          <w:tcPr>
            <w:tcW w:w="794" w:type="dxa"/>
            <w:shd w:val="clear" w:color="auto" w:fill="BFBFBF"/>
            <w:noWrap/>
            <w:vAlign w:val="center"/>
          </w:tcPr>
          <w:p w14:paraId="0C089722"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w:t>
            </w:r>
          </w:p>
        </w:tc>
        <w:tc>
          <w:tcPr>
            <w:tcW w:w="975" w:type="dxa"/>
            <w:shd w:val="clear" w:color="auto" w:fill="BFBFBF"/>
            <w:noWrap/>
            <w:vAlign w:val="center"/>
          </w:tcPr>
          <w:p w14:paraId="409AB95F"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eastAsia="es-MX"/>
              </w:rPr>
            </w:pPr>
            <w:r w:rsidRPr="00542933">
              <w:rPr>
                <w:rFonts w:ascii="Arial" w:eastAsia="Arial" w:hAnsi="Arial" w:cs="Arial"/>
                <w:b/>
                <w:bCs/>
                <w:color w:val="000000"/>
                <w:sz w:val="10"/>
                <w:szCs w:val="10"/>
                <w:lang w:val="es-ES" w:eastAsia="es-ES" w:bidi="es-ES"/>
              </w:rPr>
              <w:t>$2,209,990,077.69</w:t>
            </w:r>
          </w:p>
        </w:tc>
        <w:tc>
          <w:tcPr>
            <w:tcW w:w="975" w:type="dxa"/>
            <w:shd w:val="clear" w:color="auto" w:fill="BFBFBF"/>
            <w:noWrap/>
            <w:vAlign w:val="center"/>
          </w:tcPr>
          <w:p w14:paraId="0AC654AF" w14:textId="77777777" w:rsidR="00542933" w:rsidRPr="00542933" w:rsidRDefault="00542933" w:rsidP="00542933">
            <w:pPr>
              <w:widowControl w:val="0"/>
              <w:autoSpaceDE w:val="0"/>
              <w:autoSpaceDN w:val="0"/>
              <w:spacing w:after="0" w:line="240" w:lineRule="auto"/>
              <w:jc w:val="right"/>
              <w:rPr>
                <w:rFonts w:ascii="Arial" w:eastAsia="Times New Roman" w:hAnsi="Arial" w:cs="Arial"/>
                <w:b/>
                <w:bCs/>
                <w:color w:val="000000"/>
                <w:sz w:val="10"/>
                <w:szCs w:val="10"/>
                <w:lang w:eastAsia="es-MX"/>
              </w:rPr>
            </w:pPr>
            <w:r w:rsidRPr="00542933">
              <w:rPr>
                <w:rFonts w:ascii="Arial" w:eastAsia="Times New Roman" w:hAnsi="Arial" w:cs="Arial"/>
                <w:b/>
                <w:bCs/>
                <w:color w:val="000000"/>
                <w:sz w:val="10"/>
                <w:szCs w:val="10"/>
                <w:lang w:eastAsia="es-MX"/>
              </w:rPr>
              <w:t>$1,500,000,000.00</w:t>
            </w:r>
          </w:p>
        </w:tc>
      </w:tr>
    </w:tbl>
    <w:p w14:paraId="4C8A37FD" w14:textId="77777777" w:rsidR="00542933" w:rsidRPr="00542933" w:rsidRDefault="00542933" w:rsidP="00542933">
      <w:pPr>
        <w:widowControl w:val="0"/>
        <w:autoSpaceDE w:val="0"/>
        <w:autoSpaceDN w:val="0"/>
        <w:spacing w:after="0" w:line="240" w:lineRule="auto"/>
        <w:rPr>
          <w:rFonts w:ascii="Arial" w:eastAsia="Times New Roman" w:hAnsi="Arial" w:cs="Arial"/>
          <w:b/>
          <w:bCs/>
          <w:color w:val="000000"/>
          <w:sz w:val="14"/>
          <w:szCs w:val="10"/>
          <w:lang w:eastAsia="es-MX"/>
        </w:rPr>
      </w:pPr>
    </w:p>
    <w:p w14:paraId="6D92D0BB" w14:textId="77777777" w:rsidR="00542933" w:rsidRPr="00542933" w:rsidRDefault="001376C7" w:rsidP="009C35C4">
      <w:pPr>
        <w:widowControl w:val="0"/>
        <w:tabs>
          <w:tab w:val="left" w:pos="1574"/>
        </w:tabs>
        <w:autoSpaceDE w:val="0"/>
        <w:autoSpaceDN w:val="0"/>
        <w:spacing w:after="0" w:line="240" w:lineRule="auto"/>
        <w:jc w:val="both"/>
        <w:rPr>
          <w:rFonts w:ascii="Arial" w:eastAsia="Times New Roman" w:hAnsi="Arial" w:cs="Arial"/>
          <w:bCs/>
          <w:color w:val="000000"/>
          <w:sz w:val="14"/>
          <w:szCs w:val="10"/>
          <w:lang w:eastAsia="es-MX"/>
        </w:rPr>
      </w:pPr>
      <w:r>
        <w:rPr>
          <w:rFonts w:ascii="Arial" w:eastAsia="Times New Roman" w:hAnsi="Arial" w:cs="Arial"/>
          <w:b/>
          <w:bCs/>
          <w:color w:val="000000"/>
          <w:sz w:val="14"/>
          <w:szCs w:val="10"/>
          <w:lang w:eastAsia="es-MX"/>
        </w:rPr>
        <w:t xml:space="preserve"> </w:t>
      </w:r>
      <w:r w:rsidR="00542933" w:rsidRPr="00542933">
        <w:rPr>
          <w:rFonts w:ascii="Arial" w:eastAsia="Times New Roman" w:hAnsi="Arial" w:cs="Arial"/>
          <w:bCs/>
          <w:color w:val="000000"/>
          <w:sz w:val="14"/>
          <w:szCs w:val="10"/>
          <w:lang w:eastAsia="es-MX"/>
        </w:rPr>
        <w:t xml:space="preserve">Elaboración propia de la ASEQROO. </w:t>
      </w:r>
    </w:p>
    <w:p w14:paraId="345E7E62" w14:textId="77777777" w:rsidR="00542933" w:rsidRPr="00156241" w:rsidRDefault="00542933" w:rsidP="00156241">
      <w:pPr>
        <w:widowControl w:val="0"/>
        <w:autoSpaceDE w:val="0"/>
        <w:autoSpaceDN w:val="0"/>
        <w:spacing w:after="0" w:line="240" w:lineRule="auto"/>
        <w:rPr>
          <w:rFonts w:ascii="Times New Roman" w:eastAsia="Arial" w:hAnsi="Arial" w:cs="Arial"/>
          <w:sz w:val="14"/>
          <w:lang w:val="es-ES" w:eastAsia="es-ES" w:bidi="es-ES"/>
        </w:rPr>
      </w:pPr>
      <w:r w:rsidRPr="00542933">
        <w:rPr>
          <w:rFonts w:ascii="Arial" w:eastAsia="Times New Roman" w:hAnsi="Arial" w:cs="Arial"/>
          <w:b/>
          <w:bCs/>
          <w:color w:val="000000"/>
          <w:sz w:val="14"/>
          <w:szCs w:val="10"/>
          <w:lang w:eastAsia="es-MX"/>
        </w:rPr>
        <w:t xml:space="preserve"> Fuente:</w:t>
      </w:r>
      <w:r w:rsidRPr="00542933">
        <w:rPr>
          <w:rFonts w:ascii="Arial" w:eastAsia="Times New Roman" w:hAnsi="Arial" w:cs="Arial"/>
          <w:bCs/>
          <w:color w:val="000000"/>
          <w:sz w:val="14"/>
          <w:szCs w:val="10"/>
          <w:lang w:eastAsia="es-MX"/>
        </w:rPr>
        <w:t xml:space="preserve"> Auxiliar contable del pasivo y gasto emitido por la Secretaría de Finanzas y Planeación.</w:t>
      </w:r>
    </w:p>
    <w:p w14:paraId="28235789" w14:textId="77777777" w:rsidR="00542933" w:rsidRPr="00542933" w:rsidRDefault="00542933" w:rsidP="00542933">
      <w:pPr>
        <w:widowControl w:val="0"/>
        <w:autoSpaceDE w:val="0"/>
        <w:autoSpaceDN w:val="0"/>
        <w:spacing w:after="0" w:line="240" w:lineRule="auto"/>
        <w:rPr>
          <w:rFonts w:ascii="Arial" w:eastAsia="Arial" w:hAnsi="Arial" w:cs="Arial"/>
          <w:b/>
          <w:sz w:val="24"/>
          <w:lang w:val="es-ES" w:eastAsia="es-ES" w:bidi="es-ES"/>
        </w:rPr>
      </w:pPr>
      <w:r w:rsidRPr="00542933">
        <w:rPr>
          <w:rFonts w:ascii="Arial" w:eastAsia="Arial" w:hAnsi="Arial" w:cs="Arial"/>
          <w:b/>
          <w:sz w:val="24"/>
          <w:lang w:val="es-ES" w:eastAsia="es-ES" w:bidi="es-ES"/>
        </w:rPr>
        <w:lastRenderedPageBreak/>
        <w:t>I.III. - Análisis de Indicadores</w:t>
      </w:r>
    </w:p>
    <w:p w14:paraId="6EE1E5C1" w14:textId="77777777" w:rsidR="00542933" w:rsidRPr="00542933" w:rsidRDefault="00542933" w:rsidP="00542933">
      <w:pPr>
        <w:widowControl w:val="0"/>
        <w:autoSpaceDE w:val="0"/>
        <w:autoSpaceDN w:val="0"/>
        <w:spacing w:before="7" w:after="0" w:line="240" w:lineRule="auto"/>
        <w:rPr>
          <w:rFonts w:ascii="Arial" w:eastAsia="Arial" w:hAnsi="Arial" w:cs="Arial"/>
          <w:b/>
          <w:sz w:val="24"/>
          <w:szCs w:val="24"/>
          <w:lang w:val="es-ES" w:eastAsia="es-ES" w:bidi="es-ES"/>
        </w:rPr>
      </w:pPr>
    </w:p>
    <w:p w14:paraId="6B3805C9" w14:textId="77777777" w:rsidR="00542933" w:rsidRPr="00542933" w:rsidRDefault="00542933" w:rsidP="00542933">
      <w:pPr>
        <w:widowControl w:val="0"/>
        <w:autoSpaceDE w:val="0"/>
        <w:autoSpaceDN w:val="0"/>
        <w:spacing w:after="0" w:line="276" w:lineRule="auto"/>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A continuación, se presentan los resultados obtenidos por el Estado de Quintana Roo, con base a las estadísticas trimestrales 2022 (4to. Trimestre) reportadas por la Secretaría de Hacienda y Crédito Público sobre la situación que guardan sus obligaciones financieras inscritas en el Registro de Obligaciones y Empréstitos de Entidades Federativas y Municipios y algunas otras obligaciones reportadas.</w:t>
      </w:r>
    </w:p>
    <w:p w14:paraId="5F42E6C7" w14:textId="77777777" w:rsidR="00542933" w:rsidRPr="00542933" w:rsidRDefault="00542933" w:rsidP="00542933">
      <w:pPr>
        <w:widowControl w:val="0"/>
        <w:autoSpaceDE w:val="0"/>
        <w:autoSpaceDN w:val="0"/>
        <w:spacing w:after="0" w:line="240" w:lineRule="auto"/>
        <w:ind w:right="2092"/>
        <w:rPr>
          <w:rFonts w:ascii="Arial" w:eastAsia="Arial" w:hAnsi="Arial" w:cs="Arial"/>
          <w:lang w:val="es-ES" w:eastAsia="es-ES" w:bidi="es-ES"/>
        </w:rPr>
      </w:pPr>
    </w:p>
    <w:p w14:paraId="249C5CC0" w14:textId="77777777" w:rsidR="00542933" w:rsidRPr="00542933" w:rsidRDefault="00542933" w:rsidP="00542933">
      <w:pPr>
        <w:widowControl w:val="0"/>
        <w:autoSpaceDE w:val="0"/>
        <w:autoSpaceDN w:val="0"/>
        <w:spacing w:before="203" w:after="0" w:line="238" w:lineRule="auto"/>
        <w:ind w:left="2483" w:right="2092"/>
        <w:contextualSpacing/>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FINANCIAMIENTOS DE ENTIDADES FEDERATIVAS Y SUS ENTES PÚBLICOS POR FUENTE DE PAGO</w:t>
      </w:r>
    </w:p>
    <w:p w14:paraId="1D9F0047" w14:textId="77777777" w:rsidR="00542933" w:rsidRPr="00542933" w:rsidRDefault="00542933" w:rsidP="00542933">
      <w:pPr>
        <w:widowControl w:val="0"/>
        <w:autoSpaceDE w:val="0"/>
        <w:autoSpaceDN w:val="0"/>
        <w:spacing w:before="203" w:after="0" w:line="238" w:lineRule="auto"/>
        <w:ind w:left="2483" w:right="2092"/>
        <w:contextualSpacing/>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Saldos al cierre de 2022</w:t>
      </w:r>
    </w:p>
    <w:p w14:paraId="77DA650D" w14:textId="77777777" w:rsidR="00542933" w:rsidRPr="00542933" w:rsidRDefault="00542933" w:rsidP="00542933">
      <w:pPr>
        <w:widowControl w:val="0"/>
        <w:autoSpaceDE w:val="0"/>
        <w:autoSpaceDN w:val="0"/>
        <w:spacing w:before="203" w:after="0" w:line="238" w:lineRule="auto"/>
        <w:ind w:left="2483" w:right="2092"/>
        <w:contextualSpacing/>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(Millones de pesos)</w:t>
      </w:r>
    </w:p>
    <w:p w14:paraId="1063ABF2" w14:textId="77777777" w:rsidR="00542933" w:rsidRPr="00542933" w:rsidRDefault="00542933" w:rsidP="00542933">
      <w:pPr>
        <w:widowControl w:val="0"/>
        <w:autoSpaceDE w:val="0"/>
        <w:autoSpaceDN w:val="0"/>
        <w:spacing w:before="75" w:after="0" w:line="276" w:lineRule="auto"/>
        <w:ind w:left="4875" w:right="4485"/>
        <w:jc w:val="center"/>
        <w:rPr>
          <w:rFonts w:ascii="Arial" w:eastAsia="Arial" w:hAnsi="Arial" w:cs="Arial"/>
          <w:lang w:val="es-ES" w:eastAsia="es-ES" w:bidi="es-ES"/>
        </w:rPr>
      </w:pPr>
    </w:p>
    <w:tbl>
      <w:tblPr>
        <w:tblpPr w:leftFromText="141" w:rightFromText="141" w:vertAnchor="text" w:horzAnchor="page" w:tblpXSpec="center" w:tblpY="201"/>
        <w:tblW w:w="4011" w:type="pct"/>
        <w:tblCellMar>
          <w:left w:w="70" w:type="dxa"/>
          <w:right w:w="70" w:type="dxa"/>
        </w:tblCellMar>
        <w:tblLook w:val="04A0" w:firstRow="1" w:lastRow="0" w:firstColumn="1" w:lastColumn="0" w:noHBand="0" w:noVBand="1"/>
      </w:tblPr>
      <w:tblGrid>
        <w:gridCol w:w="1058"/>
        <w:gridCol w:w="763"/>
        <w:gridCol w:w="763"/>
        <w:gridCol w:w="1028"/>
        <w:gridCol w:w="907"/>
        <w:gridCol w:w="641"/>
        <w:gridCol w:w="907"/>
        <w:gridCol w:w="620"/>
        <w:gridCol w:w="1028"/>
        <w:gridCol w:w="641"/>
      </w:tblGrid>
      <w:tr w:rsidR="00542933" w:rsidRPr="00542933" w14:paraId="1E126925" w14:textId="77777777" w:rsidTr="00650B95">
        <w:trPr>
          <w:trHeight w:val="210"/>
        </w:trPr>
        <w:tc>
          <w:tcPr>
            <w:tcW w:w="746" w:type="pct"/>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5AC81F15"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8"/>
                <w:szCs w:val="18"/>
                <w:lang w:val="es-ES" w:eastAsia="es-MX" w:bidi="es-ES"/>
              </w:rPr>
            </w:pPr>
            <w:r w:rsidRPr="00542933">
              <w:rPr>
                <w:rFonts w:ascii="Arial" w:eastAsia="Times New Roman" w:hAnsi="Arial" w:cs="Arial"/>
                <w:b/>
                <w:bCs/>
                <w:color w:val="000000"/>
                <w:sz w:val="18"/>
                <w:szCs w:val="18"/>
                <w:lang w:val="es-ES" w:eastAsia="es-MX" w:bidi="es-ES"/>
              </w:rPr>
              <w:t> </w:t>
            </w:r>
          </w:p>
        </w:tc>
        <w:tc>
          <w:tcPr>
            <w:tcW w:w="462" w:type="pct"/>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4A5D3CFF"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8"/>
                <w:szCs w:val="18"/>
                <w:lang w:val="es-ES" w:eastAsia="es-MX" w:bidi="es-ES"/>
              </w:rPr>
            </w:pPr>
            <w:r w:rsidRPr="00542933">
              <w:rPr>
                <w:rFonts w:ascii="Arial" w:eastAsia="Times New Roman" w:hAnsi="Arial" w:cs="Arial"/>
                <w:b/>
                <w:bCs/>
                <w:color w:val="000000"/>
                <w:sz w:val="18"/>
                <w:szCs w:val="18"/>
                <w:lang w:val="es-ES" w:eastAsia="es-MX" w:bidi="es-ES"/>
              </w:rPr>
              <w:t> </w:t>
            </w:r>
          </w:p>
        </w:tc>
        <w:tc>
          <w:tcPr>
            <w:tcW w:w="2459" w:type="pct"/>
            <w:gridSpan w:val="5"/>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75F9F0B4"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8"/>
                <w:szCs w:val="18"/>
                <w:lang w:val="es-ES" w:eastAsia="es-MX" w:bidi="es-ES"/>
              </w:rPr>
            </w:pPr>
            <w:r w:rsidRPr="00542933">
              <w:rPr>
                <w:rFonts w:ascii="Arial" w:eastAsia="Times New Roman" w:hAnsi="Arial" w:cs="Arial"/>
                <w:b/>
                <w:bCs/>
                <w:color w:val="000000"/>
                <w:sz w:val="18"/>
                <w:szCs w:val="18"/>
                <w:lang w:val="es-ES" w:eastAsia="es-MX" w:bidi="es-ES"/>
              </w:rPr>
              <w:t>Gobierno de la Entidad Federativa</w:t>
            </w:r>
          </w:p>
        </w:tc>
        <w:tc>
          <w:tcPr>
            <w:tcW w:w="1333" w:type="pct"/>
            <w:gridSpan w:val="3"/>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10942314"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8"/>
                <w:szCs w:val="18"/>
                <w:lang w:val="es-ES" w:eastAsia="es-MX" w:bidi="es-ES"/>
              </w:rPr>
            </w:pPr>
            <w:r w:rsidRPr="00542933">
              <w:rPr>
                <w:rFonts w:ascii="Arial" w:eastAsia="Times New Roman" w:hAnsi="Arial" w:cs="Arial"/>
                <w:b/>
                <w:bCs/>
                <w:color w:val="000000"/>
                <w:sz w:val="18"/>
                <w:szCs w:val="18"/>
                <w:lang w:val="es-ES" w:eastAsia="es-MX" w:bidi="es-ES"/>
              </w:rPr>
              <w:t>Entes Públicos Estatales</w:t>
            </w:r>
          </w:p>
        </w:tc>
      </w:tr>
      <w:tr w:rsidR="00542933" w:rsidRPr="00542933" w14:paraId="50D7352A" w14:textId="77777777" w:rsidTr="00650B95">
        <w:trPr>
          <w:trHeight w:val="409"/>
        </w:trPr>
        <w:tc>
          <w:tcPr>
            <w:tcW w:w="746" w:type="pct"/>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435870BB"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8"/>
                <w:szCs w:val="18"/>
                <w:lang w:val="es-ES" w:eastAsia="es-MX" w:bidi="es-ES"/>
              </w:rPr>
            </w:pPr>
            <w:r w:rsidRPr="00542933">
              <w:rPr>
                <w:rFonts w:ascii="Arial" w:eastAsia="Times New Roman" w:hAnsi="Arial" w:cs="Arial"/>
                <w:b/>
                <w:bCs/>
                <w:color w:val="000000"/>
                <w:sz w:val="12"/>
                <w:szCs w:val="18"/>
                <w:lang w:val="es-ES" w:eastAsia="es-MX" w:bidi="es-ES"/>
              </w:rPr>
              <w:t>Entidad </w:t>
            </w:r>
          </w:p>
        </w:tc>
        <w:tc>
          <w:tcPr>
            <w:tcW w:w="462" w:type="pct"/>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32E989EE"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Total</w:t>
            </w:r>
          </w:p>
        </w:tc>
        <w:tc>
          <w:tcPr>
            <w:tcW w:w="462" w:type="pct"/>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445D3AB0"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Subtotal</w:t>
            </w:r>
          </w:p>
        </w:tc>
        <w:tc>
          <w:tcPr>
            <w:tcW w:w="564" w:type="pct"/>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47A159DD"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Participaciones</w:t>
            </w:r>
          </w:p>
        </w:tc>
        <w:tc>
          <w:tcPr>
            <w:tcW w:w="496" w:type="pct"/>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14014AA8"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Aportaciones</w:t>
            </w:r>
          </w:p>
        </w:tc>
        <w:tc>
          <w:tcPr>
            <w:tcW w:w="441" w:type="pct"/>
            <w:tcBorders>
              <w:top w:val="single" w:sz="4" w:space="0" w:color="D9D9D9"/>
              <w:left w:val="single" w:sz="4" w:space="0" w:color="D9D9D9"/>
              <w:bottom w:val="single" w:sz="4" w:space="0" w:color="D9D9D9"/>
              <w:right w:val="single" w:sz="4" w:space="0" w:color="D9D9D9"/>
            </w:tcBorders>
            <w:shd w:val="clear" w:color="000000" w:fill="BFBFBF"/>
            <w:vAlign w:val="center"/>
            <w:hideMark/>
          </w:tcPr>
          <w:p w14:paraId="1099BA91"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Ingresos Locales</w:t>
            </w:r>
          </w:p>
        </w:tc>
        <w:tc>
          <w:tcPr>
            <w:tcW w:w="496" w:type="pct"/>
            <w:tcBorders>
              <w:top w:val="single" w:sz="4" w:space="0" w:color="D9D9D9"/>
              <w:left w:val="single" w:sz="4" w:space="0" w:color="D9D9D9"/>
              <w:bottom w:val="single" w:sz="4" w:space="0" w:color="D9D9D9"/>
              <w:right w:val="single" w:sz="4" w:space="0" w:color="D9D9D9"/>
            </w:tcBorders>
            <w:shd w:val="clear" w:color="000000" w:fill="BFBFBF"/>
            <w:vAlign w:val="center"/>
            <w:hideMark/>
          </w:tcPr>
          <w:p w14:paraId="7497149B"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Corto Plazo Quirografario</w:t>
            </w:r>
          </w:p>
        </w:tc>
        <w:tc>
          <w:tcPr>
            <w:tcW w:w="345" w:type="pct"/>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62FE6688"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Subtotal</w:t>
            </w:r>
          </w:p>
        </w:tc>
        <w:tc>
          <w:tcPr>
            <w:tcW w:w="564" w:type="pct"/>
            <w:tcBorders>
              <w:top w:val="single" w:sz="4" w:space="0" w:color="D9D9D9"/>
              <w:left w:val="single" w:sz="4" w:space="0" w:color="D9D9D9"/>
              <w:bottom w:val="single" w:sz="4" w:space="0" w:color="D9D9D9"/>
              <w:right w:val="single" w:sz="4" w:space="0" w:color="D9D9D9"/>
            </w:tcBorders>
            <w:shd w:val="clear" w:color="000000" w:fill="BFBFBF"/>
            <w:noWrap/>
            <w:vAlign w:val="center"/>
            <w:hideMark/>
          </w:tcPr>
          <w:p w14:paraId="54B062B8"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Participaciones</w:t>
            </w:r>
          </w:p>
        </w:tc>
        <w:tc>
          <w:tcPr>
            <w:tcW w:w="424" w:type="pct"/>
            <w:tcBorders>
              <w:top w:val="single" w:sz="4" w:space="0" w:color="D9D9D9"/>
              <w:left w:val="single" w:sz="4" w:space="0" w:color="D9D9D9"/>
              <w:bottom w:val="single" w:sz="4" w:space="0" w:color="D9D9D9"/>
              <w:right w:val="single" w:sz="4" w:space="0" w:color="D9D9D9"/>
            </w:tcBorders>
            <w:shd w:val="clear" w:color="000000" w:fill="BFBFBF"/>
            <w:vAlign w:val="center"/>
            <w:hideMark/>
          </w:tcPr>
          <w:p w14:paraId="0DC81B97" w14:textId="77777777" w:rsidR="00542933" w:rsidRPr="00542933" w:rsidRDefault="00542933" w:rsidP="00542933">
            <w:pPr>
              <w:widowControl w:val="0"/>
              <w:autoSpaceDE w:val="0"/>
              <w:autoSpaceDN w:val="0"/>
              <w:spacing w:after="0" w:line="240" w:lineRule="auto"/>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Ingresos Locales</w:t>
            </w:r>
          </w:p>
        </w:tc>
      </w:tr>
      <w:tr w:rsidR="00542933" w:rsidRPr="00542933" w14:paraId="6DFDC0B9" w14:textId="77777777" w:rsidTr="00650B95">
        <w:trPr>
          <w:trHeight w:val="193"/>
        </w:trPr>
        <w:tc>
          <w:tcPr>
            <w:tcW w:w="746" w:type="pct"/>
            <w:tcBorders>
              <w:top w:val="single" w:sz="4" w:space="0" w:color="D9D9D9"/>
              <w:left w:val="single" w:sz="4" w:space="0" w:color="D9D9D9"/>
              <w:bottom w:val="single" w:sz="4" w:space="0" w:color="D9D9D9"/>
              <w:right w:val="single" w:sz="4" w:space="0" w:color="D9D9D9"/>
            </w:tcBorders>
            <w:shd w:val="clear" w:color="000000" w:fill="FFFFFF"/>
            <w:noWrap/>
            <w:vAlign w:val="center"/>
            <w:hideMark/>
          </w:tcPr>
          <w:p w14:paraId="6B1F66C5" w14:textId="77777777" w:rsidR="00542933" w:rsidRPr="00542933" w:rsidRDefault="00542933" w:rsidP="00542933">
            <w:pPr>
              <w:widowControl w:val="0"/>
              <w:autoSpaceDE w:val="0"/>
              <w:autoSpaceDN w:val="0"/>
              <w:spacing w:after="0" w:line="240" w:lineRule="auto"/>
              <w:rPr>
                <w:rFonts w:ascii="Arial" w:eastAsia="Times New Roman" w:hAnsi="Arial" w:cs="Arial"/>
                <w:b/>
                <w:color w:val="000000"/>
                <w:sz w:val="14"/>
                <w:szCs w:val="14"/>
                <w:lang w:eastAsia="es-MX"/>
              </w:rPr>
            </w:pPr>
            <w:r w:rsidRPr="00542933">
              <w:rPr>
                <w:rFonts w:ascii="Arial" w:eastAsia="Arial" w:hAnsi="Arial" w:cs="Arial"/>
                <w:b/>
                <w:color w:val="000000"/>
                <w:sz w:val="14"/>
                <w:szCs w:val="14"/>
                <w:lang w:val="es-ES" w:eastAsia="es-ES" w:bidi="es-ES"/>
              </w:rPr>
              <w:t>Quintana Roo</w:t>
            </w:r>
          </w:p>
        </w:tc>
        <w:tc>
          <w:tcPr>
            <w:tcW w:w="462" w:type="pct"/>
            <w:tcBorders>
              <w:top w:val="single" w:sz="4" w:space="0" w:color="D9D9D9"/>
              <w:left w:val="single" w:sz="4" w:space="0" w:color="D9D9D9"/>
              <w:bottom w:val="single" w:sz="4" w:space="0" w:color="D9D9D9"/>
              <w:right w:val="single" w:sz="4" w:space="0" w:color="D9D9D9"/>
            </w:tcBorders>
            <w:shd w:val="clear" w:color="000000" w:fill="FFFFFF"/>
            <w:noWrap/>
            <w:vAlign w:val="center"/>
          </w:tcPr>
          <w:p w14:paraId="2EB67D97"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21,274.39</w:t>
            </w:r>
          </w:p>
        </w:tc>
        <w:tc>
          <w:tcPr>
            <w:tcW w:w="462" w:type="pct"/>
            <w:tcBorders>
              <w:top w:val="single" w:sz="4" w:space="0" w:color="D9D9D9"/>
              <w:left w:val="single" w:sz="4" w:space="0" w:color="D9D9D9"/>
              <w:bottom w:val="single" w:sz="4" w:space="0" w:color="D9D9D9"/>
              <w:right w:val="single" w:sz="4" w:space="0" w:color="D9D9D9"/>
            </w:tcBorders>
            <w:shd w:val="clear" w:color="000000" w:fill="FFFFFF"/>
            <w:noWrap/>
            <w:vAlign w:val="center"/>
          </w:tcPr>
          <w:p w14:paraId="29FCE498"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20,896.13</w:t>
            </w:r>
          </w:p>
        </w:tc>
        <w:tc>
          <w:tcPr>
            <w:tcW w:w="564" w:type="pct"/>
            <w:tcBorders>
              <w:top w:val="single" w:sz="4" w:space="0" w:color="D9D9D9"/>
              <w:left w:val="single" w:sz="4" w:space="0" w:color="D9D9D9"/>
              <w:bottom w:val="single" w:sz="4" w:space="0" w:color="D9D9D9"/>
              <w:right w:val="single" w:sz="4" w:space="0" w:color="D9D9D9"/>
            </w:tcBorders>
            <w:shd w:val="clear" w:color="000000" w:fill="FFFFFF"/>
            <w:noWrap/>
            <w:vAlign w:val="center"/>
          </w:tcPr>
          <w:p w14:paraId="65DA73C8"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18,593.90</w:t>
            </w:r>
          </w:p>
        </w:tc>
        <w:tc>
          <w:tcPr>
            <w:tcW w:w="496" w:type="pct"/>
            <w:tcBorders>
              <w:top w:val="single" w:sz="4" w:space="0" w:color="D9D9D9"/>
              <w:left w:val="single" w:sz="4" w:space="0" w:color="D9D9D9"/>
              <w:bottom w:val="single" w:sz="4" w:space="0" w:color="D9D9D9"/>
              <w:right w:val="single" w:sz="4" w:space="0" w:color="D9D9D9"/>
            </w:tcBorders>
            <w:shd w:val="clear" w:color="000000" w:fill="FFFFFF"/>
            <w:noWrap/>
            <w:vAlign w:val="center"/>
          </w:tcPr>
          <w:p w14:paraId="0898B453"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802.23</w:t>
            </w:r>
          </w:p>
        </w:tc>
        <w:tc>
          <w:tcPr>
            <w:tcW w:w="441" w:type="pct"/>
            <w:tcBorders>
              <w:top w:val="single" w:sz="4" w:space="0" w:color="D9D9D9"/>
              <w:left w:val="single" w:sz="4" w:space="0" w:color="D9D9D9"/>
              <w:bottom w:val="single" w:sz="4" w:space="0" w:color="D9D9D9"/>
              <w:right w:val="single" w:sz="4" w:space="0" w:color="D9D9D9"/>
            </w:tcBorders>
            <w:shd w:val="clear" w:color="000000" w:fill="FFFFFF"/>
            <w:noWrap/>
            <w:vAlign w:val="center"/>
          </w:tcPr>
          <w:p w14:paraId="654A8082"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0.00</w:t>
            </w:r>
          </w:p>
        </w:tc>
        <w:tc>
          <w:tcPr>
            <w:tcW w:w="496" w:type="pct"/>
            <w:tcBorders>
              <w:top w:val="single" w:sz="4" w:space="0" w:color="D9D9D9"/>
              <w:left w:val="single" w:sz="4" w:space="0" w:color="D9D9D9"/>
              <w:bottom w:val="single" w:sz="4" w:space="0" w:color="D9D9D9"/>
              <w:right w:val="single" w:sz="4" w:space="0" w:color="D9D9D9"/>
            </w:tcBorders>
            <w:shd w:val="clear" w:color="000000" w:fill="FFFFFF"/>
            <w:noWrap/>
            <w:vAlign w:val="center"/>
          </w:tcPr>
          <w:p w14:paraId="7630E971"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1,500.00</w:t>
            </w:r>
          </w:p>
        </w:tc>
        <w:tc>
          <w:tcPr>
            <w:tcW w:w="345" w:type="pct"/>
            <w:tcBorders>
              <w:top w:val="single" w:sz="4" w:space="0" w:color="D9D9D9"/>
              <w:left w:val="single" w:sz="4" w:space="0" w:color="D9D9D9"/>
              <w:bottom w:val="single" w:sz="4" w:space="0" w:color="D9D9D9"/>
              <w:right w:val="single" w:sz="4" w:space="0" w:color="D9D9D9"/>
            </w:tcBorders>
            <w:shd w:val="clear" w:color="000000" w:fill="FFFFFF"/>
            <w:noWrap/>
            <w:vAlign w:val="center"/>
          </w:tcPr>
          <w:p w14:paraId="4D789BAC"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378.26</w:t>
            </w:r>
          </w:p>
        </w:tc>
        <w:tc>
          <w:tcPr>
            <w:tcW w:w="564" w:type="pct"/>
            <w:tcBorders>
              <w:top w:val="single" w:sz="4" w:space="0" w:color="D9D9D9"/>
              <w:left w:val="single" w:sz="4" w:space="0" w:color="D9D9D9"/>
              <w:bottom w:val="single" w:sz="4" w:space="0" w:color="D9D9D9"/>
              <w:right w:val="single" w:sz="4" w:space="0" w:color="D9D9D9"/>
            </w:tcBorders>
            <w:shd w:val="clear" w:color="000000" w:fill="FFFFFF"/>
            <w:noWrap/>
            <w:vAlign w:val="center"/>
          </w:tcPr>
          <w:p w14:paraId="26F8E6A2"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378.26</w:t>
            </w:r>
          </w:p>
        </w:tc>
        <w:tc>
          <w:tcPr>
            <w:tcW w:w="424" w:type="pct"/>
            <w:tcBorders>
              <w:top w:val="single" w:sz="4" w:space="0" w:color="D9D9D9"/>
              <w:left w:val="single" w:sz="4" w:space="0" w:color="D9D9D9"/>
              <w:bottom w:val="single" w:sz="4" w:space="0" w:color="D9D9D9"/>
              <w:right w:val="single" w:sz="4" w:space="0" w:color="D9D9D9"/>
            </w:tcBorders>
            <w:shd w:val="clear" w:color="000000" w:fill="FFFFFF"/>
            <w:noWrap/>
            <w:vAlign w:val="center"/>
          </w:tcPr>
          <w:p w14:paraId="35B4A3D4" w14:textId="77777777" w:rsidR="00542933" w:rsidRPr="00542933" w:rsidRDefault="00542933" w:rsidP="00542933">
            <w:pPr>
              <w:widowControl w:val="0"/>
              <w:autoSpaceDE w:val="0"/>
              <w:autoSpaceDN w:val="0"/>
              <w:spacing w:after="0" w:line="240" w:lineRule="auto"/>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0.00</w:t>
            </w:r>
          </w:p>
        </w:tc>
      </w:tr>
    </w:tbl>
    <w:p w14:paraId="3AD768B3" w14:textId="77777777" w:rsidR="00542933" w:rsidRPr="00542933" w:rsidRDefault="00542933" w:rsidP="00542933">
      <w:pPr>
        <w:widowControl w:val="0"/>
        <w:tabs>
          <w:tab w:val="left" w:pos="2420"/>
        </w:tabs>
        <w:autoSpaceDE w:val="0"/>
        <w:autoSpaceDN w:val="0"/>
        <w:spacing w:after="0" w:line="240" w:lineRule="auto"/>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ab/>
      </w:r>
    </w:p>
    <w:p w14:paraId="74D87FA7" w14:textId="77777777" w:rsidR="00542933" w:rsidRPr="00542933" w:rsidRDefault="00542933" w:rsidP="00542933">
      <w:pPr>
        <w:widowControl w:val="0"/>
        <w:tabs>
          <w:tab w:val="left" w:pos="2420"/>
        </w:tabs>
        <w:autoSpaceDE w:val="0"/>
        <w:autoSpaceDN w:val="0"/>
        <w:spacing w:after="0" w:line="240" w:lineRule="auto"/>
        <w:rPr>
          <w:rFonts w:ascii="Arial" w:eastAsia="Arial" w:hAnsi="Arial" w:cs="Arial"/>
          <w:sz w:val="14"/>
          <w:szCs w:val="14"/>
          <w:lang w:val="es-ES" w:eastAsia="es-ES" w:bidi="es-ES"/>
        </w:rPr>
      </w:pPr>
    </w:p>
    <w:p w14:paraId="30A627B3" w14:textId="77777777" w:rsidR="00542933" w:rsidRPr="00542933" w:rsidRDefault="00542933" w:rsidP="00650B95">
      <w:pPr>
        <w:widowControl w:val="0"/>
        <w:autoSpaceDE w:val="0"/>
        <w:autoSpaceDN w:val="0"/>
        <w:spacing w:after="0" w:line="240" w:lineRule="auto"/>
        <w:ind w:left="284"/>
        <w:jc w:val="both"/>
        <w:rPr>
          <w:rFonts w:ascii="Arial" w:eastAsia="Arial" w:hAnsi="Arial" w:cs="Arial"/>
          <w:sz w:val="14"/>
          <w:szCs w:val="14"/>
          <w:lang w:val="es-ES" w:eastAsia="es-ES" w:bidi="es-ES"/>
        </w:rPr>
      </w:pPr>
      <w:r w:rsidRPr="00542933">
        <w:rPr>
          <w:rFonts w:ascii="Arial" w:eastAsia="Arial" w:hAnsi="Arial" w:cs="Arial"/>
          <w:b/>
          <w:sz w:val="14"/>
          <w:szCs w:val="14"/>
          <w:lang w:val="es-ES" w:eastAsia="es-ES" w:bidi="es-ES"/>
        </w:rPr>
        <w:t>Fuente:</w:t>
      </w:r>
      <w:r w:rsidRPr="00542933">
        <w:rPr>
          <w:rFonts w:ascii="Arial" w:eastAsia="Arial" w:hAnsi="Arial" w:cs="Arial"/>
          <w:sz w:val="14"/>
          <w:szCs w:val="14"/>
          <w:lang w:val="es-ES" w:eastAsia="es-ES" w:bidi="es-ES"/>
        </w:rPr>
        <w:t xml:space="preserve"> Secretaría de Hacienda y Crédito Público</w:t>
      </w:r>
    </w:p>
    <w:p w14:paraId="714DC595" w14:textId="77777777" w:rsidR="00542933" w:rsidRPr="00542933" w:rsidRDefault="00542933" w:rsidP="00650B95">
      <w:pPr>
        <w:widowControl w:val="0"/>
        <w:autoSpaceDE w:val="0"/>
        <w:autoSpaceDN w:val="0"/>
        <w:spacing w:after="0" w:line="240" w:lineRule="auto"/>
        <w:ind w:left="284"/>
        <w:jc w:val="both"/>
        <w:rPr>
          <w:rFonts w:ascii="Arial" w:eastAsia="Arial" w:hAnsi="Arial" w:cs="Arial"/>
          <w:sz w:val="20"/>
          <w:szCs w:val="20"/>
          <w:lang w:val="es-ES" w:eastAsia="es-ES" w:bidi="es-ES"/>
        </w:rPr>
      </w:pPr>
      <w:r w:rsidRPr="00542933">
        <w:rPr>
          <w:rFonts w:ascii="Arial" w:eastAsia="Arial" w:hAnsi="Arial" w:cs="Arial"/>
          <w:sz w:val="14"/>
          <w:szCs w:val="14"/>
          <w:lang w:val="es-ES" w:eastAsia="es-ES" w:bidi="es-ES"/>
        </w:rPr>
        <w:t>https://www.disciplinafinanciera.hacienda.gob.mx/es/DISCIPLINA_FINANCIERA/2022</w:t>
      </w:r>
    </w:p>
    <w:p w14:paraId="4FA1D0E0" w14:textId="77777777" w:rsidR="00542933" w:rsidRPr="00542933" w:rsidRDefault="00542933" w:rsidP="00542933">
      <w:pPr>
        <w:widowControl w:val="0"/>
        <w:tabs>
          <w:tab w:val="left" w:pos="1854"/>
        </w:tabs>
        <w:autoSpaceDE w:val="0"/>
        <w:autoSpaceDN w:val="0"/>
        <w:spacing w:after="0" w:line="240" w:lineRule="auto"/>
        <w:rPr>
          <w:rFonts w:ascii="Arial" w:eastAsia="Arial" w:hAnsi="Arial" w:cs="Arial"/>
          <w:lang w:val="es-ES" w:eastAsia="es-ES" w:bidi="es-ES"/>
        </w:rPr>
      </w:pPr>
    </w:p>
    <w:p w14:paraId="0DD70303" w14:textId="77777777" w:rsidR="00542933" w:rsidRPr="00542933" w:rsidRDefault="00542933" w:rsidP="00542933">
      <w:pPr>
        <w:widowControl w:val="0"/>
        <w:tabs>
          <w:tab w:val="left" w:pos="1854"/>
        </w:tabs>
        <w:autoSpaceDE w:val="0"/>
        <w:autoSpaceDN w:val="0"/>
        <w:spacing w:after="0" w:line="240" w:lineRule="auto"/>
        <w:rPr>
          <w:rFonts w:ascii="Arial" w:eastAsia="Arial" w:hAnsi="Arial" w:cs="Arial"/>
          <w:lang w:val="es-ES" w:eastAsia="es-ES" w:bidi="es-ES"/>
        </w:rPr>
      </w:pPr>
    </w:p>
    <w:p w14:paraId="0C9B3135" w14:textId="77777777" w:rsidR="00542933" w:rsidRPr="00542933" w:rsidRDefault="00542933" w:rsidP="00542933">
      <w:pPr>
        <w:widowControl w:val="0"/>
        <w:autoSpaceDE w:val="0"/>
        <w:autoSpaceDN w:val="0"/>
        <w:spacing w:before="93" w:after="0" w:line="309" w:lineRule="auto"/>
        <w:ind w:left="2484" w:right="2109"/>
        <w:contextualSpacing/>
        <w:jc w:val="center"/>
        <w:rPr>
          <w:rFonts w:ascii="Arial" w:eastAsia="Arial" w:hAnsi="Arial" w:cs="Arial"/>
          <w:b/>
          <w:sz w:val="20"/>
          <w:lang w:val="es-ES" w:eastAsia="es-ES" w:bidi="es-ES"/>
        </w:rPr>
      </w:pPr>
      <w:r w:rsidRPr="00542933">
        <w:rPr>
          <w:rFonts w:ascii="Arial" w:eastAsia="Arial" w:hAnsi="Arial" w:cs="Arial"/>
          <w:lang w:val="es-ES" w:eastAsia="es-ES" w:bidi="es-ES"/>
        </w:rPr>
        <w:tab/>
      </w:r>
      <w:r w:rsidRPr="00542933">
        <w:rPr>
          <w:rFonts w:ascii="Arial" w:eastAsia="Arial" w:hAnsi="Arial" w:cs="Arial"/>
          <w:b/>
          <w:sz w:val="20"/>
          <w:lang w:val="es-ES" w:eastAsia="es-ES" w:bidi="es-ES"/>
        </w:rPr>
        <w:t>FINANCIAMIENTOS DE ENTIDADES FEDERATIVAS Y SUS ENTES PÚBLICOS POR TIPO DE ACREEDOR</w:t>
      </w:r>
    </w:p>
    <w:p w14:paraId="38BB6AB0" w14:textId="77777777" w:rsidR="00542933" w:rsidRPr="00542933" w:rsidRDefault="00542933" w:rsidP="00542933">
      <w:pPr>
        <w:widowControl w:val="0"/>
        <w:autoSpaceDE w:val="0"/>
        <w:autoSpaceDN w:val="0"/>
        <w:spacing w:after="0" w:line="229" w:lineRule="exact"/>
        <w:ind w:left="1306" w:right="936"/>
        <w:contextualSpacing/>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Y FUENTE DE PAGO</w:t>
      </w:r>
    </w:p>
    <w:p w14:paraId="08F8B0C4" w14:textId="77777777" w:rsidR="00542933" w:rsidRPr="00542933" w:rsidRDefault="00542933" w:rsidP="00542933">
      <w:pPr>
        <w:widowControl w:val="0"/>
        <w:autoSpaceDE w:val="0"/>
        <w:autoSpaceDN w:val="0"/>
        <w:spacing w:after="0" w:line="229" w:lineRule="exact"/>
        <w:ind w:left="1306" w:right="936"/>
        <w:contextualSpacing/>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 xml:space="preserve">Saldos al cierre de 2022 </w:t>
      </w:r>
    </w:p>
    <w:p w14:paraId="47A205FA" w14:textId="77777777" w:rsidR="00542933" w:rsidRPr="00542933" w:rsidRDefault="00542933" w:rsidP="00542933">
      <w:pPr>
        <w:widowControl w:val="0"/>
        <w:autoSpaceDE w:val="0"/>
        <w:autoSpaceDN w:val="0"/>
        <w:spacing w:after="0" w:line="229" w:lineRule="exact"/>
        <w:ind w:left="1306" w:right="936"/>
        <w:contextualSpacing/>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(Millones de pesos)</w:t>
      </w:r>
    </w:p>
    <w:p w14:paraId="2DCC1932" w14:textId="77777777" w:rsidR="00542933" w:rsidRPr="00542933" w:rsidRDefault="00542933" w:rsidP="00542933">
      <w:pPr>
        <w:widowControl w:val="0"/>
        <w:autoSpaceDE w:val="0"/>
        <w:autoSpaceDN w:val="0"/>
        <w:spacing w:before="62" w:after="0" w:line="376" w:lineRule="auto"/>
        <w:ind w:right="4485"/>
        <w:rPr>
          <w:rFonts w:ascii="Arial" w:eastAsia="Arial" w:hAnsi="Arial" w:cs="Arial"/>
          <w:b/>
          <w:sz w:val="20"/>
          <w:lang w:val="es-ES" w:eastAsia="es-ES" w:bidi="es-ES"/>
        </w:rPr>
      </w:pPr>
    </w:p>
    <w:tbl>
      <w:tblPr>
        <w:tblStyle w:val="TableNormal2"/>
        <w:tblW w:w="821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firstRow="1" w:lastRow="1" w:firstColumn="1" w:lastColumn="1" w:noHBand="0" w:noVBand="0"/>
      </w:tblPr>
      <w:tblGrid>
        <w:gridCol w:w="1183"/>
        <w:gridCol w:w="734"/>
        <w:gridCol w:w="1052"/>
        <w:gridCol w:w="1134"/>
        <w:gridCol w:w="1037"/>
        <w:gridCol w:w="951"/>
        <w:gridCol w:w="1134"/>
        <w:gridCol w:w="992"/>
      </w:tblGrid>
      <w:tr w:rsidR="00542933" w:rsidRPr="00542933" w14:paraId="3A3396BE" w14:textId="77777777" w:rsidTr="00542933">
        <w:trPr>
          <w:trHeight w:val="360"/>
          <w:jc w:val="center"/>
        </w:trPr>
        <w:tc>
          <w:tcPr>
            <w:tcW w:w="1183" w:type="dxa"/>
            <w:vMerge w:val="restart"/>
            <w:shd w:val="clear" w:color="auto" w:fill="BEBEBE"/>
            <w:vAlign w:val="center"/>
          </w:tcPr>
          <w:p w14:paraId="09EF50AF" w14:textId="77777777" w:rsidR="00542933" w:rsidRPr="00542933" w:rsidRDefault="00542933" w:rsidP="00542933">
            <w:pPr>
              <w:spacing w:before="102"/>
              <w:ind w:left="248" w:right="239"/>
              <w:jc w:val="center"/>
              <w:rPr>
                <w:rFonts w:ascii="Arial" w:eastAsia="Arial" w:hAnsi="Arial" w:cs="Arial"/>
                <w:b/>
                <w:sz w:val="12"/>
                <w:szCs w:val="12"/>
                <w:lang w:val="es-ES" w:eastAsia="es-ES" w:bidi="es-ES"/>
              </w:rPr>
            </w:pPr>
            <w:r w:rsidRPr="00542933">
              <w:rPr>
                <w:rFonts w:ascii="Arial" w:eastAsia="Arial" w:hAnsi="Arial" w:cs="Arial"/>
                <w:b/>
                <w:sz w:val="12"/>
                <w:szCs w:val="12"/>
                <w:lang w:val="es-ES" w:eastAsia="es-ES" w:bidi="es-ES"/>
              </w:rPr>
              <w:t>Entidad Federativa</w:t>
            </w:r>
          </w:p>
        </w:tc>
        <w:tc>
          <w:tcPr>
            <w:tcW w:w="734" w:type="dxa"/>
            <w:vMerge w:val="restart"/>
            <w:shd w:val="clear" w:color="auto" w:fill="BEBEBE"/>
            <w:vAlign w:val="center"/>
          </w:tcPr>
          <w:p w14:paraId="3CF701EC" w14:textId="77777777" w:rsidR="00542933" w:rsidRPr="00542933" w:rsidRDefault="00542933" w:rsidP="00542933">
            <w:pPr>
              <w:spacing w:before="102"/>
              <w:ind w:right="244"/>
              <w:jc w:val="right"/>
              <w:rPr>
                <w:rFonts w:ascii="Arial" w:eastAsia="Arial" w:hAnsi="Arial" w:cs="Arial"/>
                <w:b/>
                <w:sz w:val="12"/>
                <w:szCs w:val="12"/>
                <w:lang w:val="es-ES" w:eastAsia="es-ES" w:bidi="es-ES"/>
              </w:rPr>
            </w:pPr>
            <w:r w:rsidRPr="00542933">
              <w:rPr>
                <w:rFonts w:ascii="Arial" w:eastAsia="Arial" w:hAnsi="Arial" w:cs="Arial"/>
                <w:b/>
                <w:sz w:val="12"/>
                <w:szCs w:val="12"/>
                <w:lang w:val="es-ES" w:eastAsia="es-ES" w:bidi="es-ES"/>
              </w:rPr>
              <w:t>Total</w:t>
            </w:r>
          </w:p>
        </w:tc>
        <w:tc>
          <w:tcPr>
            <w:tcW w:w="2186" w:type="dxa"/>
            <w:gridSpan w:val="2"/>
            <w:shd w:val="clear" w:color="auto" w:fill="BEBEBE"/>
            <w:vAlign w:val="center"/>
          </w:tcPr>
          <w:p w14:paraId="6B1184FC" w14:textId="77777777" w:rsidR="00542933" w:rsidRPr="00542933" w:rsidRDefault="00542933" w:rsidP="00542933">
            <w:pPr>
              <w:spacing w:line="208" w:lineRule="exact"/>
              <w:ind w:left="621" w:right="603" w:firstLine="68"/>
              <w:jc w:val="center"/>
              <w:rPr>
                <w:rFonts w:ascii="Arial" w:eastAsia="Arial" w:hAnsi="Arial" w:cs="Arial"/>
                <w:b/>
                <w:sz w:val="12"/>
                <w:szCs w:val="12"/>
                <w:lang w:val="es-ES" w:eastAsia="es-ES" w:bidi="es-ES"/>
              </w:rPr>
            </w:pPr>
            <w:r w:rsidRPr="00542933">
              <w:rPr>
                <w:rFonts w:ascii="Arial" w:eastAsia="Arial" w:hAnsi="Arial" w:cs="Arial"/>
                <w:b/>
                <w:sz w:val="12"/>
                <w:szCs w:val="12"/>
                <w:lang w:val="es-ES" w:eastAsia="es-ES" w:bidi="es-ES"/>
              </w:rPr>
              <w:t>Banca Múltiple</w:t>
            </w:r>
          </w:p>
        </w:tc>
        <w:tc>
          <w:tcPr>
            <w:tcW w:w="1988" w:type="dxa"/>
            <w:gridSpan w:val="2"/>
            <w:shd w:val="clear" w:color="auto" w:fill="BEBEBE"/>
            <w:vAlign w:val="center"/>
          </w:tcPr>
          <w:p w14:paraId="1A27B7FA" w14:textId="77777777" w:rsidR="00542933" w:rsidRPr="00542933" w:rsidRDefault="00542933" w:rsidP="00542933">
            <w:pPr>
              <w:spacing w:line="205" w:lineRule="exact"/>
              <w:ind w:left="369" w:right="360"/>
              <w:jc w:val="center"/>
              <w:rPr>
                <w:rFonts w:ascii="Arial" w:eastAsia="Arial" w:hAnsi="Arial" w:cs="Arial"/>
                <w:b/>
                <w:sz w:val="12"/>
                <w:szCs w:val="12"/>
                <w:lang w:val="es-ES" w:eastAsia="es-ES" w:bidi="es-ES"/>
              </w:rPr>
            </w:pPr>
            <w:r w:rsidRPr="00542933">
              <w:rPr>
                <w:rFonts w:ascii="Arial" w:eastAsia="Arial" w:hAnsi="Arial" w:cs="Arial"/>
                <w:b/>
                <w:sz w:val="12"/>
                <w:szCs w:val="12"/>
                <w:lang w:val="es-ES" w:eastAsia="es-ES" w:bidi="es-ES"/>
              </w:rPr>
              <w:t>Banca de Desarrollo</w:t>
            </w:r>
          </w:p>
        </w:tc>
        <w:tc>
          <w:tcPr>
            <w:tcW w:w="1134" w:type="dxa"/>
            <w:shd w:val="clear" w:color="auto" w:fill="BEBEBE"/>
            <w:vAlign w:val="center"/>
          </w:tcPr>
          <w:p w14:paraId="00C9B230" w14:textId="77777777" w:rsidR="00542933" w:rsidRPr="00542933" w:rsidRDefault="00542933" w:rsidP="00542933">
            <w:pPr>
              <w:spacing w:line="208" w:lineRule="exact"/>
              <w:ind w:left="247" w:right="212" w:hanging="16"/>
              <w:jc w:val="center"/>
              <w:rPr>
                <w:rFonts w:ascii="Arial" w:eastAsia="Arial" w:hAnsi="Arial" w:cs="Arial"/>
                <w:b/>
                <w:sz w:val="12"/>
                <w:szCs w:val="12"/>
                <w:lang w:val="es-ES" w:eastAsia="es-ES" w:bidi="es-ES"/>
              </w:rPr>
            </w:pPr>
            <w:r w:rsidRPr="00542933">
              <w:rPr>
                <w:rFonts w:ascii="Arial" w:eastAsia="Arial" w:hAnsi="Arial" w:cs="Arial"/>
                <w:b/>
                <w:sz w:val="12"/>
                <w:szCs w:val="12"/>
                <w:lang w:val="es-ES" w:eastAsia="es-ES" w:bidi="es-ES"/>
              </w:rPr>
              <w:t>Emisiones Bursátiles</w:t>
            </w:r>
          </w:p>
        </w:tc>
        <w:tc>
          <w:tcPr>
            <w:tcW w:w="992" w:type="dxa"/>
            <w:shd w:val="clear" w:color="auto" w:fill="BEBEBE"/>
            <w:vAlign w:val="center"/>
          </w:tcPr>
          <w:p w14:paraId="54C59009" w14:textId="77777777" w:rsidR="00542933" w:rsidRPr="00542933" w:rsidRDefault="00542933" w:rsidP="00542933">
            <w:pPr>
              <w:spacing w:before="102"/>
              <w:ind w:left="146" w:right="277"/>
              <w:jc w:val="center"/>
              <w:rPr>
                <w:rFonts w:ascii="Arial" w:eastAsia="Arial" w:hAnsi="Arial" w:cs="Arial"/>
                <w:b/>
                <w:sz w:val="12"/>
                <w:szCs w:val="12"/>
                <w:lang w:val="es-ES" w:eastAsia="es-ES" w:bidi="es-ES"/>
              </w:rPr>
            </w:pPr>
            <w:r w:rsidRPr="00542933">
              <w:rPr>
                <w:rFonts w:ascii="Arial" w:eastAsia="Arial" w:hAnsi="Arial" w:cs="Arial"/>
                <w:b/>
                <w:sz w:val="12"/>
                <w:szCs w:val="12"/>
                <w:lang w:val="es-ES" w:eastAsia="es-ES" w:bidi="es-ES"/>
              </w:rPr>
              <w:t>Otros</w:t>
            </w:r>
          </w:p>
        </w:tc>
      </w:tr>
      <w:tr w:rsidR="00542933" w:rsidRPr="00542933" w14:paraId="24CA9520" w14:textId="77777777" w:rsidTr="00542933">
        <w:trPr>
          <w:trHeight w:val="136"/>
          <w:jc w:val="center"/>
        </w:trPr>
        <w:tc>
          <w:tcPr>
            <w:tcW w:w="1183" w:type="dxa"/>
            <w:vMerge/>
            <w:shd w:val="clear" w:color="auto" w:fill="BEBEBE"/>
          </w:tcPr>
          <w:p w14:paraId="682AC46C" w14:textId="77777777" w:rsidR="00542933" w:rsidRPr="00542933" w:rsidRDefault="00542933" w:rsidP="00542933">
            <w:pPr>
              <w:rPr>
                <w:rFonts w:ascii="Times New Roman" w:eastAsia="Arial" w:hAnsi="Arial" w:cs="Arial"/>
                <w:sz w:val="12"/>
                <w:szCs w:val="12"/>
                <w:lang w:val="es-ES" w:eastAsia="es-ES" w:bidi="es-ES"/>
              </w:rPr>
            </w:pPr>
          </w:p>
        </w:tc>
        <w:tc>
          <w:tcPr>
            <w:tcW w:w="734" w:type="dxa"/>
            <w:vMerge/>
            <w:shd w:val="clear" w:color="auto" w:fill="BEBEBE"/>
          </w:tcPr>
          <w:p w14:paraId="4BBE556D" w14:textId="77777777" w:rsidR="00542933" w:rsidRPr="00542933" w:rsidRDefault="00542933" w:rsidP="00542933">
            <w:pPr>
              <w:rPr>
                <w:rFonts w:ascii="Times New Roman" w:eastAsia="Arial" w:hAnsi="Arial" w:cs="Arial"/>
                <w:sz w:val="12"/>
                <w:szCs w:val="12"/>
                <w:lang w:val="es-ES" w:eastAsia="es-ES" w:bidi="es-ES"/>
              </w:rPr>
            </w:pPr>
          </w:p>
        </w:tc>
        <w:tc>
          <w:tcPr>
            <w:tcW w:w="1052" w:type="dxa"/>
            <w:shd w:val="clear" w:color="auto" w:fill="BEBEBE"/>
            <w:vAlign w:val="center"/>
          </w:tcPr>
          <w:p w14:paraId="5FE0098B" w14:textId="77777777" w:rsidR="00542933" w:rsidRPr="00542933" w:rsidRDefault="00542933" w:rsidP="00542933">
            <w:pPr>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Participaciones</w:t>
            </w:r>
          </w:p>
        </w:tc>
        <w:tc>
          <w:tcPr>
            <w:tcW w:w="1134" w:type="dxa"/>
            <w:shd w:val="clear" w:color="auto" w:fill="BEBEBE"/>
            <w:vAlign w:val="center"/>
          </w:tcPr>
          <w:p w14:paraId="30DAF642" w14:textId="77777777" w:rsidR="00542933" w:rsidRPr="00542933" w:rsidRDefault="00542933" w:rsidP="00542933">
            <w:pPr>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Corto Plazo Quirografario</w:t>
            </w:r>
          </w:p>
        </w:tc>
        <w:tc>
          <w:tcPr>
            <w:tcW w:w="1037" w:type="dxa"/>
            <w:shd w:val="clear" w:color="auto" w:fill="BEBEBE"/>
            <w:vAlign w:val="center"/>
          </w:tcPr>
          <w:p w14:paraId="5B2616DE" w14:textId="77777777" w:rsidR="00542933" w:rsidRPr="00542933" w:rsidRDefault="00542933" w:rsidP="00542933">
            <w:pPr>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Participaciones</w:t>
            </w:r>
          </w:p>
        </w:tc>
        <w:tc>
          <w:tcPr>
            <w:tcW w:w="951" w:type="dxa"/>
            <w:shd w:val="clear" w:color="auto" w:fill="BEBEBE"/>
            <w:vAlign w:val="center"/>
          </w:tcPr>
          <w:p w14:paraId="5F483B22" w14:textId="77777777" w:rsidR="00542933" w:rsidRPr="00542933" w:rsidRDefault="00542933" w:rsidP="00542933">
            <w:pPr>
              <w:jc w:val="center"/>
              <w:rPr>
                <w:rFonts w:ascii="Arial" w:eastAsia="Times New Roman" w:hAnsi="Arial" w:cs="Arial"/>
                <w:b/>
                <w:bCs/>
                <w:color w:val="000000"/>
                <w:sz w:val="12"/>
                <w:szCs w:val="18"/>
                <w:lang w:val="es-ES" w:eastAsia="es-MX" w:bidi="es-ES"/>
              </w:rPr>
            </w:pPr>
            <w:r w:rsidRPr="00542933">
              <w:rPr>
                <w:rFonts w:ascii="Arial" w:eastAsia="Times New Roman" w:hAnsi="Arial" w:cs="Arial"/>
                <w:b/>
                <w:bCs/>
                <w:color w:val="000000"/>
                <w:sz w:val="12"/>
                <w:szCs w:val="18"/>
                <w:lang w:val="es-ES" w:eastAsia="es-MX" w:bidi="es-ES"/>
              </w:rPr>
              <w:t>Aportaciones</w:t>
            </w:r>
          </w:p>
        </w:tc>
        <w:tc>
          <w:tcPr>
            <w:tcW w:w="1134" w:type="dxa"/>
            <w:shd w:val="clear" w:color="auto" w:fill="BEBEBE"/>
            <w:vAlign w:val="center"/>
          </w:tcPr>
          <w:p w14:paraId="7111642F" w14:textId="77777777" w:rsidR="00542933" w:rsidRPr="00542933" w:rsidRDefault="00542933" w:rsidP="00542933">
            <w:pPr>
              <w:jc w:val="center"/>
              <w:rPr>
                <w:rFonts w:ascii="Arial" w:eastAsia="Times New Roman" w:hAnsi="Arial" w:cs="Arial"/>
                <w:b/>
                <w:bCs/>
                <w:color w:val="000000"/>
                <w:sz w:val="12"/>
                <w:szCs w:val="18"/>
                <w:lang w:val="es-ES" w:eastAsia="es-MX" w:bidi="es-ES"/>
              </w:rPr>
            </w:pPr>
          </w:p>
        </w:tc>
        <w:tc>
          <w:tcPr>
            <w:tcW w:w="992" w:type="dxa"/>
            <w:shd w:val="clear" w:color="auto" w:fill="BEBEBE"/>
            <w:vAlign w:val="center"/>
          </w:tcPr>
          <w:p w14:paraId="433D614D" w14:textId="77777777" w:rsidR="00542933" w:rsidRPr="00542933" w:rsidRDefault="00542933" w:rsidP="00542933">
            <w:pPr>
              <w:jc w:val="center"/>
              <w:rPr>
                <w:rFonts w:ascii="Arial" w:eastAsia="Times New Roman" w:hAnsi="Arial" w:cs="Arial"/>
                <w:b/>
                <w:bCs/>
                <w:color w:val="000000"/>
                <w:sz w:val="12"/>
                <w:szCs w:val="18"/>
                <w:lang w:val="es-ES" w:eastAsia="es-MX" w:bidi="es-ES"/>
              </w:rPr>
            </w:pPr>
          </w:p>
        </w:tc>
      </w:tr>
      <w:tr w:rsidR="00542933" w:rsidRPr="00542933" w14:paraId="6F89C012" w14:textId="77777777" w:rsidTr="00542933">
        <w:trPr>
          <w:trHeight w:val="144"/>
          <w:jc w:val="center"/>
        </w:trPr>
        <w:tc>
          <w:tcPr>
            <w:tcW w:w="1183" w:type="dxa"/>
            <w:vAlign w:val="center"/>
          </w:tcPr>
          <w:p w14:paraId="0AC7B16A" w14:textId="77777777" w:rsidR="00542933" w:rsidRPr="00542933" w:rsidRDefault="00542933" w:rsidP="00542933">
            <w:pPr>
              <w:jc w:val="center"/>
              <w:rPr>
                <w:rFonts w:ascii="Arial" w:eastAsia="Times New Roman" w:hAnsi="Arial" w:cs="Arial"/>
                <w:b/>
                <w:bCs/>
                <w:color w:val="000000"/>
                <w:sz w:val="14"/>
                <w:szCs w:val="14"/>
                <w:lang w:eastAsia="es-MX"/>
              </w:rPr>
            </w:pPr>
            <w:r w:rsidRPr="00542933">
              <w:rPr>
                <w:rFonts w:ascii="Arial" w:eastAsia="Arial" w:hAnsi="Arial" w:cs="Arial"/>
                <w:b/>
                <w:bCs/>
                <w:color w:val="000000"/>
                <w:sz w:val="14"/>
                <w:szCs w:val="14"/>
                <w:lang w:val="es-ES" w:eastAsia="es-ES" w:bidi="es-ES"/>
              </w:rPr>
              <w:t>Quintana Roo</w:t>
            </w:r>
          </w:p>
        </w:tc>
        <w:tc>
          <w:tcPr>
            <w:tcW w:w="734" w:type="dxa"/>
            <w:vAlign w:val="center"/>
          </w:tcPr>
          <w:p w14:paraId="29EDD93F" w14:textId="77777777" w:rsidR="00542933" w:rsidRPr="00542933" w:rsidRDefault="00542933" w:rsidP="00542933">
            <w:pPr>
              <w:jc w:val="right"/>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21,274.39</w:t>
            </w:r>
          </w:p>
        </w:tc>
        <w:tc>
          <w:tcPr>
            <w:tcW w:w="1052" w:type="dxa"/>
            <w:vAlign w:val="center"/>
          </w:tcPr>
          <w:p w14:paraId="24B40008" w14:textId="77777777" w:rsidR="00542933" w:rsidRPr="00542933" w:rsidRDefault="00542933" w:rsidP="00542933">
            <w:pPr>
              <w:jc w:val="right"/>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7,789.38</w:t>
            </w:r>
          </w:p>
        </w:tc>
        <w:tc>
          <w:tcPr>
            <w:tcW w:w="1134" w:type="dxa"/>
            <w:vAlign w:val="center"/>
          </w:tcPr>
          <w:p w14:paraId="28720AF3" w14:textId="77777777" w:rsidR="00542933" w:rsidRPr="00542933" w:rsidRDefault="00542933" w:rsidP="00542933">
            <w:pPr>
              <w:jc w:val="right"/>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1,500.00</w:t>
            </w:r>
          </w:p>
        </w:tc>
        <w:tc>
          <w:tcPr>
            <w:tcW w:w="1037" w:type="dxa"/>
            <w:vAlign w:val="center"/>
          </w:tcPr>
          <w:p w14:paraId="3A1AD02A" w14:textId="77777777" w:rsidR="00542933" w:rsidRPr="00542933" w:rsidRDefault="00542933" w:rsidP="00542933">
            <w:pPr>
              <w:jc w:val="right"/>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11,182.79</w:t>
            </w:r>
          </w:p>
        </w:tc>
        <w:tc>
          <w:tcPr>
            <w:tcW w:w="951" w:type="dxa"/>
            <w:vAlign w:val="center"/>
          </w:tcPr>
          <w:p w14:paraId="31B0A477" w14:textId="77777777" w:rsidR="00542933" w:rsidRPr="00542933" w:rsidRDefault="00542933" w:rsidP="00542933">
            <w:pPr>
              <w:ind w:right="56"/>
              <w:jc w:val="right"/>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802.23</w:t>
            </w:r>
          </w:p>
        </w:tc>
        <w:tc>
          <w:tcPr>
            <w:tcW w:w="1134" w:type="dxa"/>
            <w:vAlign w:val="center"/>
          </w:tcPr>
          <w:p w14:paraId="60A22E76" w14:textId="77777777" w:rsidR="00542933" w:rsidRPr="00542933" w:rsidRDefault="00542933" w:rsidP="00542933">
            <w:pPr>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0.00</w:t>
            </w:r>
          </w:p>
        </w:tc>
        <w:tc>
          <w:tcPr>
            <w:tcW w:w="992" w:type="dxa"/>
            <w:vAlign w:val="center"/>
          </w:tcPr>
          <w:p w14:paraId="48DD5EC6" w14:textId="77777777" w:rsidR="00542933" w:rsidRPr="00542933" w:rsidRDefault="00542933" w:rsidP="00542933">
            <w:pPr>
              <w:jc w:val="right"/>
              <w:rPr>
                <w:rFonts w:ascii="Arial" w:eastAsia="Arial" w:hAnsi="Arial" w:cs="Arial"/>
                <w:color w:val="000000"/>
                <w:sz w:val="14"/>
                <w:szCs w:val="14"/>
                <w:lang w:val="es-ES" w:eastAsia="es-ES" w:bidi="es-ES"/>
              </w:rPr>
            </w:pPr>
            <w:r w:rsidRPr="00542933">
              <w:rPr>
                <w:rFonts w:ascii="Arial" w:eastAsia="Arial" w:hAnsi="Arial" w:cs="Arial"/>
                <w:color w:val="000000"/>
                <w:sz w:val="14"/>
                <w:szCs w:val="14"/>
                <w:lang w:val="es-ES" w:eastAsia="es-ES" w:bidi="es-ES"/>
              </w:rPr>
              <w:t>0.00</w:t>
            </w:r>
          </w:p>
        </w:tc>
      </w:tr>
    </w:tbl>
    <w:p w14:paraId="129A7332" w14:textId="77777777" w:rsidR="00542933" w:rsidRPr="00542933" w:rsidRDefault="00542933" w:rsidP="00542933">
      <w:pPr>
        <w:widowControl w:val="0"/>
        <w:autoSpaceDE w:val="0"/>
        <w:autoSpaceDN w:val="0"/>
        <w:spacing w:after="0" w:line="240" w:lineRule="auto"/>
        <w:ind w:left="1276"/>
        <w:jc w:val="both"/>
        <w:rPr>
          <w:rFonts w:ascii="Arial" w:eastAsia="Arial" w:hAnsi="Arial" w:cs="Arial"/>
          <w:b/>
          <w:sz w:val="14"/>
          <w:szCs w:val="14"/>
          <w:lang w:val="es-ES" w:eastAsia="es-ES" w:bidi="es-ES"/>
        </w:rPr>
      </w:pPr>
    </w:p>
    <w:p w14:paraId="4A41F3FE" w14:textId="77777777" w:rsidR="00542933" w:rsidRPr="00542933" w:rsidRDefault="00542933" w:rsidP="00650B95">
      <w:pPr>
        <w:widowControl w:val="0"/>
        <w:autoSpaceDE w:val="0"/>
        <w:autoSpaceDN w:val="0"/>
        <w:spacing w:after="0" w:line="240" w:lineRule="auto"/>
        <w:ind w:left="426"/>
        <w:jc w:val="both"/>
        <w:rPr>
          <w:rFonts w:ascii="Arial" w:eastAsia="Arial" w:hAnsi="Arial" w:cs="Arial"/>
          <w:b/>
          <w:sz w:val="14"/>
          <w:szCs w:val="14"/>
          <w:lang w:val="es-ES" w:eastAsia="es-ES" w:bidi="es-ES"/>
        </w:rPr>
      </w:pPr>
      <w:r w:rsidRPr="00542933">
        <w:rPr>
          <w:rFonts w:ascii="Arial" w:eastAsia="Arial" w:hAnsi="Arial" w:cs="Arial"/>
          <w:b/>
          <w:sz w:val="14"/>
          <w:szCs w:val="14"/>
          <w:lang w:val="es-ES" w:eastAsia="es-ES" w:bidi="es-ES"/>
        </w:rPr>
        <w:t xml:space="preserve">Fuente: </w:t>
      </w:r>
      <w:r w:rsidRPr="00542933">
        <w:rPr>
          <w:rFonts w:ascii="Arial" w:eastAsia="Arial" w:hAnsi="Arial" w:cs="Arial"/>
          <w:sz w:val="14"/>
          <w:szCs w:val="14"/>
          <w:lang w:val="es-ES" w:eastAsia="es-ES" w:bidi="es-ES"/>
        </w:rPr>
        <w:t>Secretaría de Hacienda y Crédito Público</w:t>
      </w:r>
    </w:p>
    <w:p w14:paraId="5F3A4544" w14:textId="77777777" w:rsidR="00542933" w:rsidRPr="00542933" w:rsidRDefault="00542933" w:rsidP="00650B95">
      <w:pPr>
        <w:widowControl w:val="0"/>
        <w:autoSpaceDE w:val="0"/>
        <w:autoSpaceDN w:val="0"/>
        <w:spacing w:after="0" w:line="240" w:lineRule="auto"/>
        <w:ind w:left="426"/>
        <w:jc w:val="both"/>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https://www.disciplinafinanciera.hacienda.gob.mx/es/DISCIPLINA_FINANCIERA/2022</w:t>
      </w:r>
    </w:p>
    <w:p w14:paraId="5980346B" w14:textId="77777777" w:rsidR="00542933" w:rsidRPr="00542933" w:rsidRDefault="00542933" w:rsidP="00650B95">
      <w:pPr>
        <w:widowControl w:val="0"/>
        <w:autoSpaceDE w:val="0"/>
        <w:autoSpaceDN w:val="0"/>
        <w:spacing w:after="0" w:line="240" w:lineRule="auto"/>
        <w:ind w:left="426"/>
        <w:jc w:val="both"/>
        <w:rPr>
          <w:rFonts w:ascii="Arial" w:eastAsia="Arial" w:hAnsi="Arial" w:cs="Arial"/>
          <w:sz w:val="14"/>
          <w:szCs w:val="14"/>
          <w:lang w:val="es-ES" w:eastAsia="es-ES" w:bidi="es-ES"/>
        </w:rPr>
      </w:pPr>
    </w:p>
    <w:p w14:paraId="2667CA3C" w14:textId="77777777" w:rsidR="00542933" w:rsidRPr="00542933" w:rsidRDefault="00542933" w:rsidP="00542933">
      <w:pPr>
        <w:widowControl w:val="0"/>
        <w:autoSpaceDE w:val="0"/>
        <w:autoSpaceDN w:val="0"/>
        <w:spacing w:after="0" w:line="240" w:lineRule="auto"/>
        <w:rPr>
          <w:rFonts w:ascii="Arial" w:eastAsia="Arial" w:hAnsi="Arial" w:cs="Arial"/>
          <w:sz w:val="20"/>
          <w:szCs w:val="24"/>
          <w:lang w:val="es-ES" w:eastAsia="es-ES" w:bidi="es-ES"/>
        </w:rPr>
      </w:pPr>
      <w:r w:rsidRPr="00542933">
        <w:rPr>
          <w:rFonts w:ascii="Arial" w:eastAsia="Arial" w:hAnsi="Arial" w:cs="Arial"/>
          <w:sz w:val="20"/>
          <w:szCs w:val="24"/>
          <w:lang w:val="es-ES" w:eastAsia="es-ES" w:bidi="es-ES"/>
        </w:rPr>
        <w:t xml:space="preserve"> </w:t>
      </w:r>
    </w:p>
    <w:p w14:paraId="76C61FB5" w14:textId="77777777" w:rsidR="00542933" w:rsidRPr="00542933" w:rsidRDefault="00542933" w:rsidP="00542933">
      <w:pPr>
        <w:widowControl w:val="0"/>
        <w:autoSpaceDE w:val="0"/>
        <w:autoSpaceDN w:val="0"/>
        <w:spacing w:before="93" w:after="0" w:line="240" w:lineRule="auto"/>
        <w:ind w:left="1321" w:right="936"/>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FINANCIAMIENTOS DE ENTIDADES FEDERATIVAS Y SUS ENTES PÚBLICOS</w:t>
      </w:r>
    </w:p>
    <w:p w14:paraId="29BB60A3" w14:textId="77777777" w:rsidR="00542933" w:rsidRPr="00542933" w:rsidRDefault="00542933" w:rsidP="00542933">
      <w:pPr>
        <w:widowControl w:val="0"/>
        <w:autoSpaceDE w:val="0"/>
        <w:autoSpaceDN w:val="0"/>
        <w:spacing w:before="34" w:after="0" w:line="240" w:lineRule="auto"/>
        <w:ind w:left="1468" w:right="1090"/>
        <w:jc w:val="center"/>
        <w:rPr>
          <w:rFonts w:ascii="Arial" w:eastAsia="Arial" w:hAnsi="Arial" w:cs="Arial"/>
          <w:b/>
          <w:sz w:val="20"/>
          <w:lang w:val="es-ES" w:eastAsia="es-ES" w:bidi="es-ES"/>
        </w:rPr>
      </w:pPr>
      <w:r w:rsidRPr="00542933">
        <w:rPr>
          <w:rFonts w:ascii="Arial" w:eastAsia="Times New Roman" w:hAnsi="Arial" w:cs="Arial"/>
          <w:b/>
          <w:bCs/>
          <w:sz w:val="20"/>
          <w:szCs w:val="20"/>
          <w:lang w:val="es-ES" w:eastAsia="es-MX" w:bidi="es-ES"/>
        </w:rPr>
        <w:t>Porcentaje de participaciones afectado de 2022</w:t>
      </w:r>
    </w:p>
    <w:p w14:paraId="147706B0" w14:textId="77777777" w:rsidR="00542933" w:rsidRPr="00542933" w:rsidRDefault="00542933" w:rsidP="00542933">
      <w:pPr>
        <w:widowControl w:val="0"/>
        <w:tabs>
          <w:tab w:val="left" w:pos="1425"/>
        </w:tabs>
        <w:autoSpaceDE w:val="0"/>
        <w:autoSpaceDN w:val="0"/>
        <w:spacing w:after="0" w:line="240" w:lineRule="auto"/>
        <w:jc w:val="center"/>
        <w:rPr>
          <w:rFonts w:ascii="Arial" w:eastAsia="Arial" w:hAnsi="Arial" w:cs="Arial"/>
          <w:lang w:val="es-ES" w:eastAsia="es-ES" w:bidi="es-ES"/>
        </w:rPr>
      </w:pPr>
      <w:r w:rsidRPr="00542933">
        <w:rPr>
          <w:rFonts w:ascii="Arial" w:eastAsia="Arial" w:hAnsi="Arial" w:cs="Arial"/>
          <w:b/>
          <w:sz w:val="20"/>
          <w:lang w:val="es-ES" w:eastAsia="es-ES" w:bidi="es-ES"/>
        </w:rPr>
        <w:t>(Relación %)</w:t>
      </w:r>
    </w:p>
    <w:p w14:paraId="35484DA1" w14:textId="77777777" w:rsidR="00542933" w:rsidRPr="00542933" w:rsidRDefault="00542933" w:rsidP="00542933">
      <w:pPr>
        <w:widowControl w:val="0"/>
        <w:autoSpaceDE w:val="0"/>
        <w:autoSpaceDN w:val="0"/>
        <w:spacing w:after="0" w:line="240" w:lineRule="auto"/>
        <w:rPr>
          <w:rFonts w:ascii="Arial" w:eastAsia="Arial" w:hAnsi="Arial" w:cs="Arial"/>
          <w:lang w:val="es-ES" w:eastAsia="es-ES" w:bidi="es-ES"/>
        </w:rPr>
      </w:pPr>
    </w:p>
    <w:tbl>
      <w:tblPr>
        <w:tblStyle w:val="TableNormal2"/>
        <w:tblW w:w="8080" w:type="dxa"/>
        <w:tblInd w:w="27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firstRow="1" w:lastRow="1" w:firstColumn="1" w:lastColumn="1" w:noHBand="0" w:noVBand="0"/>
      </w:tblPr>
      <w:tblGrid>
        <w:gridCol w:w="5529"/>
        <w:gridCol w:w="2551"/>
      </w:tblGrid>
      <w:tr w:rsidR="00542933" w:rsidRPr="00542933" w14:paraId="4FA663B9" w14:textId="77777777" w:rsidTr="00650B95">
        <w:trPr>
          <w:trHeight w:val="577"/>
        </w:trPr>
        <w:tc>
          <w:tcPr>
            <w:tcW w:w="5529" w:type="dxa"/>
            <w:shd w:val="clear" w:color="auto" w:fill="BEBEBE"/>
            <w:vAlign w:val="center"/>
          </w:tcPr>
          <w:p w14:paraId="31D6DC1A" w14:textId="77777777" w:rsidR="00542933" w:rsidRPr="00542933" w:rsidRDefault="00542933" w:rsidP="00650B95">
            <w:pPr>
              <w:spacing w:before="54"/>
              <w:ind w:left="1701" w:right="1842"/>
              <w:jc w:val="center"/>
              <w:rPr>
                <w:rFonts w:ascii="Times New Roman" w:eastAsia="Arial" w:hAnsi="Arial" w:cs="Arial"/>
                <w:sz w:val="18"/>
                <w:lang w:val="es-ES" w:eastAsia="es-ES" w:bidi="es-ES"/>
              </w:rPr>
            </w:pPr>
            <w:r w:rsidRPr="00542933">
              <w:rPr>
                <w:rFonts w:ascii="Arial" w:eastAsia="Arial" w:hAnsi="Arial" w:cs="Arial"/>
                <w:b/>
                <w:sz w:val="18"/>
                <w:lang w:val="es-ES" w:eastAsia="es-ES" w:bidi="es-ES"/>
              </w:rPr>
              <w:t>Entidad</w:t>
            </w:r>
          </w:p>
        </w:tc>
        <w:tc>
          <w:tcPr>
            <w:tcW w:w="2551" w:type="dxa"/>
            <w:shd w:val="clear" w:color="auto" w:fill="BEBEBE"/>
            <w:vAlign w:val="center"/>
          </w:tcPr>
          <w:p w14:paraId="1AC69748" w14:textId="77777777" w:rsidR="00542933" w:rsidRPr="00542933" w:rsidRDefault="00542933" w:rsidP="00542933">
            <w:pPr>
              <w:spacing w:before="62"/>
              <w:ind w:left="460" w:right="455"/>
              <w:jc w:val="center"/>
              <w:rPr>
                <w:rFonts w:ascii="Arial" w:eastAsia="Arial" w:hAnsi="Arial" w:cs="Arial"/>
                <w:b/>
                <w:sz w:val="18"/>
                <w:lang w:val="es-ES" w:eastAsia="es-ES" w:bidi="es-ES"/>
              </w:rPr>
            </w:pPr>
            <w:r w:rsidRPr="00542933">
              <w:rPr>
                <w:rFonts w:ascii="Arial" w:eastAsia="Arial" w:hAnsi="Arial" w:cs="Arial"/>
                <w:b/>
                <w:sz w:val="18"/>
                <w:lang w:val="es-ES" w:eastAsia="es-ES" w:bidi="es-ES"/>
              </w:rPr>
              <w:t>Porcentaje de Participaciones 2022</w:t>
            </w:r>
          </w:p>
        </w:tc>
      </w:tr>
      <w:tr w:rsidR="00542933" w:rsidRPr="00542933" w14:paraId="674FE4C6" w14:textId="77777777" w:rsidTr="00650B95">
        <w:trPr>
          <w:trHeight w:val="298"/>
        </w:trPr>
        <w:tc>
          <w:tcPr>
            <w:tcW w:w="5529" w:type="dxa"/>
            <w:shd w:val="clear" w:color="auto" w:fill="auto"/>
          </w:tcPr>
          <w:p w14:paraId="3D4C7D62" w14:textId="77777777" w:rsidR="00542933" w:rsidRPr="00542933" w:rsidRDefault="00542933" w:rsidP="00542933">
            <w:pPr>
              <w:spacing w:before="35"/>
              <w:ind w:left="66"/>
              <w:rPr>
                <w:rFonts w:ascii="Arial" w:eastAsia="Arial" w:hAnsi="Arial" w:cs="Arial"/>
                <w:b/>
                <w:sz w:val="18"/>
                <w:lang w:val="es-ES" w:eastAsia="es-ES" w:bidi="es-ES"/>
              </w:rPr>
            </w:pPr>
            <w:r w:rsidRPr="00542933">
              <w:rPr>
                <w:rFonts w:ascii="Arial" w:eastAsia="Arial" w:hAnsi="Arial" w:cs="Arial"/>
                <w:b/>
                <w:sz w:val="18"/>
                <w:lang w:val="es-ES" w:eastAsia="es-ES" w:bidi="es-ES"/>
              </w:rPr>
              <w:t>Quintana Roo</w:t>
            </w:r>
          </w:p>
        </w:tc>
        <w:tc>
          <w:tcPr>
            <w:tcW w:w="2551" w:type="dxa"/>
            <w:shd w:val="clear" w:color="auto" w:fill="auto"/>
          </w:tcPr>
          <w:p w14:paraId="3A72F5E3" w14:textId="77777777" w:rsidR="00542933" w:rsidRPr="00542933" w:rsidRDefault="00542933" w:rsidP="00542933">
            <w:pPr>
              <w:spacing w:before="35"/>
              <w:ind w:left="457" w:right="455"/>
              <w:jc w:val="center"/>
              <w:rPr>
                <w:rFonts w:ascii="Arial" w:eastAsia="Arial" w:hAnsi="Arial" w:cs="Arial"/>
                <w:sz w:val="18"/>
                <w:lang w:val="es-ES" w:eastAsia="es-ES" w:bidi="es-ES"/>
              </w:rPr>
            </w:pPr>
            <w:r w:rsidRPr="00542933">
              <w:rPr>
                <w:rFonts w:ascii="Arial" w:eastAsia="Arial" w:hAnsi="Arial" w:cs="Arial"/>
                <w:sz w:val="18"/>
                <w:lang w:val="es-ES" w:eastAsia="es-ES" w:bidi="es-ES"/>
              </w:rPr>
              <w:t>72.6%</w:t>
            </w:r>
          </w:p>
        </w:tc>
      </w:tr>
    </w:tbl>
    <w:p w14:paraId="7F085B90" w14:textId="77777777" w:rsidR="00542933" w:rsidRPr="00542933" w:rsidRDefault="00542933" w:rsidP="00542933">
      <w:pPr>
        <w:widowControl w:val="0"/>
        <w:tabs>
          <w:tab w:val="center" w:pos="5990"/>
        </w:tabs>
        <w:autoSpaceDE w:val="0"/>
        <w:autoSpaceDN w:val="0"/>
        <w:spacing w:after="0" w:line="240" w:lineRule="auto"/>
        <w:rPr>
          <w:rFonts w:ascii="Arial" w:eastAsia="Arial" w:hAnsi="Arial" w:cs="Arial"/>
          <w:sz w:val="14"/>
          <w:szCs w:val="14"/>
          <w:lang w:val="es-ES" w:eastAsia="es-ES" w:bidi="es-ES"/>
        </w:rPr>
      </w:pPr>
    </w:p>
    <w:p w14:paraId="7EADA922" w14:textId="77777777" w:rsidR="00542933" w:rsidRPr="00542933" w:rsidRDefault="00542933" w:rsidP="00650B95">
      <w:pPr>
        <w:widowControl w:val="0"/>
        <w:autoSpaceDE w:val="0"/>
        <w:autoSpaceDN w:val="0"/>
        <w:spacing w:after="0" w:line="240" w:lineRule="auto"/>
        <w:ind w:left="284"/>
        <w:jc w:val="both"/>
        <w:rPr>
          <w:rFonts w:ascii="Arial" w:eastAsia="Arial" w:hAnsi="Arial" w:cs="Arial"/>
          <w:sz w:val="14"/>
          <w:szCs w:val="14"/>
          <w:lang w:val="es-ES" w:eastAsia="es-ES" w:bidi="es-ES"/>
        </w:rPr>
      </w:pPr>
      <w:r w:rsidRPr="00542933">
        <w:rPr>
          <w:rFonts w:ascii="Arial" w:eastAsia="Arial" w:hAnsi="Arial" w:cs="Arial"/>
          <w:b/>
          <w:sz w:val="14"/>
          <w:szCs w:val="14"/>
          <w:lang w:val="es-ES" w:eastAsia="es-ES" w:bidi="es-ES"/>
        </w:rPr>
        <w:t xml:space="preserve">Fuente: </w:t>
      </w:r>
      <w:r w:rsidRPr="00542933">
        <w:rPr>
          <w:rFonts w:ascii="Arial" w:eastAsia="Arial" w:hAnsi="Arial" w:cs="Arial"/>
          <w:sz w:val="14"/>
          <w:szCs w:val="14"/>
          <w:lang w:val="es-ES" w:eastAsia="es-ES" w:bidi="es-ES"/>
        </w:rPr>
        <w:t xml:space="preserve">Secretaría de Hacienda y Crédito Público </w:t>
      </w:r>
    </w:p>
    <w:p w14:paraId="673E6713" w14:textId="77777777" w:rsidR="00542933" w:rsidRPr="00156241" w:rsidRDefault="00542933" w:rsidP="00156241">
      <w:pPr>
        <w:widowControl w:val="0"/>
        <w:autoSpaceDE w:val="0"/>
        <w:autoSpaceDN w:val="0"/>
        <w:spacing w:after="0" w:line="240" w:lineRule="auto"/>
        <w:ind w:left="426"/>
        <w:jc w:val="both"/>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https://www.disciplinafinanciera.hacienda.gob.mx/es/DISCIPLINA_FINANCIERA/2022</w:t>
      </w:r>
    </w:p>
    <w:p w14:paraId="60052921" w14:textId="77777777" w:rsidR="00542933" w:rsidRPr="00542933" w:rsidRDefault="00542933" w:rsidP="00542933">
      <w:pPr>
        <w:widowControl w:val="0"/>
        <w:autoSpaceDE w:val="0"/>
        <w:autoSpaceDN w:val="0"/>
        <w:spacing w:before="94" w:after="0" w:line="240" w:lineRule="auto"/>
        <w:ind w:left="1324" w:right="936"/>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lastRenderedPageBreak/>
        <w:t>FINANCIAMIENTOS DE ENTIDADES FEDERATIVAS Y SUS ENTES PÚBLICOS</w:t>
      </w:r>
    </w:p>
    <w:p w14:paraId="4107C00A" w14:textId="77777777" w:rsidR="00542933" w:rsidRPr="00542933" w:rsidRDefault="00542933" w:rsidP="00542933">
      <w:pPr>
        <w:widowControl w:val="0"/>
        <w:autoSpaceDE w:val="0"/>
        <w:autoSpaceDN w:val="0"/>
        <w:spacing w:before="34" w:after="0" w:line="240" w:lineRule="auto"/>
        <w:ind w:left="1468" w:right="1083"/>
        <w:jc w:val="center"/>
        <w:rPr>
          <w:rFonts w:ascii="Arial" w:eastAsia="Arial" w:hAnsi="Arial" w:cs="Arial"/>
          <w:b/>
          <w:sz w:val="20"/>
          <w:lang w:val="es-ES" w:eastAsia="es-ES" w:bidi="es-ES"/>
        </w:rPr>
      </w:pPr>
      <w:r w:rsidRPr="00542933">
        <w:rPr>
          <w:rFonts w:ascii="Arial" w:eastAsia="Times New Roman" w:hAnsi="Arial" w:cs="Arial"/>
          <w:b/>
          <w:bCs/>
          <w:sz w:val="20"/>
          <w:szCs w:val="20"/>
          <w:lang w:val="es-ES" w:eastAsia="es-MX" w:bidi="es-ES"/>
        </w:rPr>
        <w:t>Plazo promedio de vencimiento ponderado por el monto de los financiamientos por Entidad Federativa y sus entes públicos</w:t>
      </w:r>
    </w:p>
    <w:p w14:paraId="615F0C6F" w14:textId="77777777" w:rsidR="00542933" w:rsidRPr="00542933" w:rsidRDefault="00542933" w:rsidP="00542933">
      <w:pPr>
        <w:widowControl w:val="0"/>
        <w:autoSpaceDE w:val="0"/>
        <w:autoSpaceDN w:val="0"/>
        <w:spacing w:before="44" w:after="42" w:line="240" w:lineRule="auto"/>
        <w:ind w:left="1326" w:right="936"/>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Al cierre de 2022</w:t>
      </w:r>
    </w:p>
    <w:tbl>
      <w:tblPr>
        <w:tblStyle w:val="TableNormal2"/>
        <w:tblW w:w="8789"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1E0" w:firstRow="1" w:lastRow="1" w:firstColumn="1" w:lastColumn="1" w:noHBand="0" w:noVBand="0"/>
      </w:tblPr>
      <w:tblGrid>
        <w:gridCol w:w="5039"/>
        <w:gridCol w:w="3750"/>
      </w:tblGrid>
      <w:tr w:rsidR="00542933" w:rsidRPr="00542933" w14:paraId="75CBBFAE" w14:textId="77777777" w:rsidTr="00542933">
        <w:trPr>
          <w:trHeight w:val="449"/>
        </w:trPr>
        <w:tc>
          <w:tcPr>
            <w:tcW w:w="5039" w:type="dxa"/>
            <w:shd w:val="clear" w:color="auto" w:fill="BEBEBE"/>
            <w:vAlign w:val="center"/>
          </w:tcPr>
          <w:p w14:paraId="166CDF22" w14:textId="77777777" w:rsidR="00542933" w:rsidRPr="00542933" w:rsidRDefault="00542933" w:rsidP="00542933">
            <w:pPr>
              <w:spacing w:before="54"/>
              <w:ind w:left="1984" w:right="1984"/>
              <w:jc w:val="center"/>
              <w:rPr>
                <w:rFonts w:ascii="Times New Roman" w:eastAsia="Arial" w:hAnsi="Arial" w:cs="Arial"/>
                <w:sz w:val="18"/>
                <w:lang w:val="es-ES" w:eastAsia="es-ES" w:bidi="es-ES"/>
              </w:rPr>
            </w:pPr>
            <w:r w:rsidRPr="00542933">
              <w:rPr>
                <w:rFonts w:ascii="Arial" w:eastAsia="Arial" w:hAnsi="Arial" w:cs="Arial"/>
                <w:b/>
                <w:sz w:val="18"/>
                <w:lang w:val="es-ES" w:eastAsia="es-ES" w:bidi="es-ES"/>
              </w:rPr>
              <w:t>Entidad</w:t>
            </w:r>
          </w:p>
        </w:tc>
        <w:tc>
          <w:tcPr>
            <w:tcW w:w="3750" w:type="dxa"/>
            <w:shd w:val="clear" w:color="auto" w:fill="BEBEBE"/>
            <w:vAlign w:val="center"/>
          </w:tcPr>
          <w:p w14:paraId="69B8E8E6" w14:textId="77777777" w:rsidR="00542933" w:rsidRPr="00542933" w:rsidRDefault="00542933" w:rsidP="00542933">
            <w:pPr>
              <w:spacing w:before="46"/>
              <w:ind w:left="242" w:right="247"/>
              <w:jc w:val="center"/>
              <w:rPr>
                <w:rFonts w:ascii="Arial" w:eastAsia="Arial" w:hAnsi="Arial" w:cs="Arial"/>
                <w:b/>
                <w:sz w:val="18"/>
                <w:lang w:val="es-ES" w:eastAsia="es-ES" w:bidi="es-ES"/>
              </w:rPr>
            </w:pPr>
            <w:r w:rsidRPr="00542933">
              <w:rPr>
                <w:rFonts w:ascii="Arial" w:eastAsia="Arial" w:hAnsi="Arial" w:cs="Arial"/>
                <w:b/>
                <w:sz w:val="18"/>
                <w:lang w:val="es-ES" w:eastAsia="es-ES" w:bidi="es-ES"/>
              </w:rPr>
              <w:t>Plazo promedio ponderado por el monto en años 2022</w:t>
            </w:r>
          </w:p>
        </w:tc>
      </w:tr>
      <w:tr w:rsidR="00542933" w:rsidRPr="00542933" w14:paraId="72941A0E" w14:textId="77777777" w:rsidTr="00542933">
        <w:trPr>
          <w:trHeight w:val="302"/>
        </w:trPr>
        <w:tc>
          <w:tcPr>
            <w:tcW w:w="5039" w:type="dxa"/>
            <w:shd w:val="clear" w:color="auto" w:fill="auto"/>
          </w:tcPr>
          <w:p w14:paraId="24856748" w14:textId="77777777" w:rsidR="00542933" w:rsidRPr="00542933" w:rsidRDefault="00542933" w:rsidP="00542933">
            <w:pPr>
              <w:spacing w:before="71" w:line="211" w:lineRule="exact"/>
              <w:ind w:left="66"/>
              <w:rPr>
                <w:rFonts w:ascii="Arial" w:eastAsia="Arial" w:hAnsi="Arial" w:cs="Arial"/>
                <w:b/>
                <w:sz w:val="20"/>
                <w:lang w:val="es-ES" w:eastAsia="es-ES" w:bidi="es-ES"/>
              </w:rPr>
            </w:pPr>
            <w:r w:rsidRPr="00542933">
              <w:rPr>
                <w:rFonts w:ascii="Arial" w:eastAsia="Arial" w:hAnsi="Arial" w:cs="Arial"/>
                <w:b/>
                <w:sz w:val="20"/>
                <w:lang w:val="es-ES" w:eastAsia="es-ES" w:bidi="es-ES"/>
              </w:rPr>
              <w:t>Quintana Roo</w:t>
            </w:r>
          </w:p>
        </w:tc>
        <w:tc>
          <w:tcPr>
            <w:tcW w:w="3750" w:type="dxa"/>
            <w:shd w:val="clear" w:color="auto" w:fill="auto"/>
          </w:tcPr>
          <w:p w14:paraId="2CD7EC61" w14:textId="77777777" w:rsidR="00542933" w:rsidRPr="00542933" w:rsidRDefault="00D83712" w:rsidP="00542933">
            <w:pPr>
              <w:spacing w:before="71" w:line="211" w:lineRule="exact"/>
              <w:ind w:left="242" w:right="238"/>
              <w:jc w:val="center"/>
              <w:rPr>
                <w:rFonts w:ascii="Arial" w:eastAsia="Arial" w:hAnsi="Arial" w:cs="Arial"/>
                <w:sz w:val="20"/>
                <w:lang w:val="es-ES" w:eastAsia="es-ES" w:bidi="es-ES"/>
              </w:rPr>
            </w:pPr>
            <w:r>
              <w:rPr>
                <w:rFonts w:ascii="Arial" w:eastAsia="Arial" w:hAnsi="Arial" w:cs="Arial"/>
                <w:sz w:val="20"/>
                <w:lang w:val="es-ES" w:eastAsia="es-ES" w:bidi="es-ES"/>
              </w:rPr>
              <w:t>17.7</w:t>
            </w:r>
          </w:p>
        </w:tc>
      </w:tr>
    </w:tbl>
    <w:p w14:paraId="36B87C9A" w14:textId="77777777" w:rsidR="00542933" w:rsidRPr="00542933" w:rsidRDefault="00542933" w:rsidP="00542933">
      <w:pPr>
        <w:widowControl w:val="0"/>
        <w:autoSpaceDE w:val="0"/>
        <w:autoSpaceDN w:val="0"/>
        <w:spacing w:after="0" w:line="240" w:lineRule="auto"/>
        <w:rPr>
          <w:rFonts w:ascii="Arial" w:eastAsia="Arial" w:hAnsi="Arial" w:cs="Arial"/>
          <w:b/>
          <w:sz w:val="14"/>
          <w:szCs w:val="14"/>
          <w:lang w:val="es-ES" w:eastAsia="es-ES" w:bidi="es-ES"/>
        </w:rPr>
      </w:pPr>
    </w:p>
    <w:p w14:paraId="5E9100FA" w14:textId="77777777" w:rsidR="00542933" w:rsidRPr="00542933" w:rsidRDefault="00542933" w:rsidP="00542933">
      <w:pPr>
        <w:widowControl w:val="0"/>
        <w:autoSpaceDE w:val="0"/>
        <w:autoSpaceDN w:val="0"/>
        <w:spacing w:after="0" w:line="240" w:lineRule="auto"/>
        <w:jc w:val="both"/>
        <w:rPr>
          <w:rFonts w:ascii="Arial" w:eastAsia="Arial" w:hAnsi="Arial" w:cs="Arial"/>
          <w:sz w:val="14"/>
          <w:szCs w:val="14"/>
          <w:lang w:val="es-ES" w:eastAsia="es-ES" w:bidi="es-ES"/>
        </w:rPr>
      </w:pPr>
      <w:r w:rsidRPr="00542933">
        <w:rPr>
          <w:rFonts w:ascii="Arial" w:eastAsia="Arial" w:hAnsi="Arial" w:cs="Arial"/>
          <w:b/>
          <w:sz w:val="14"/>
          <w:szCs w:val="14"/>
          <w:lang w:val="es-ES" w:eastAsia="es-ES" w:bidi="es-ES"/>
        </w:rPr>
        <w:t>Fuente</w:t>
      </w:r>
      <w:r w:rsidRPr="00542933">
        <w:rPr>
          <w:rFonts w:ascii="Arial" w:eastAsia="Arial" w:hAnsi="Arial" w:cs="Arial"/>
          <w:sz w:val="14"/>
          <w:szCs w:val="14"/>
          <w:lang w:val="es-ES" w:eastAsia="es-ES" w:bidi="es-ES"/>
        </w:rPr>
        <w:t>: Secretaría de Hacienda y Crédito Público</w:t>
      </w:r>
    </w:p>
    <w:p w14:paraId="7BDF5946" w14:textId="77777777" w:rsidR="00542933" w:rsidRPr="00542933" w:rsidRDefault="00542933" w:rsidP="00542933">
      <w:pPr>
        <w:widowControl w:val="0"/>
        <w:autoSpaceDE w:val="0"/>
        <w:autoSpaceDN w:val="0"/>
        <w:spacing w:after="0" w:line="240" w:lineRule="auto"/>
        <w:jc w:val="both"/>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https://www.disciplinafinanciera.hacienda.gob.mx/es/DISCIPLINA_FINANCIERA/2022</w:t>
      </w:r>
    </w:p>
    <w:p w14:paraId="4270C632" w14:textId="77777777" w:rsidR="00542933" w:rsidRPr="00542933" w:rsidRDefault="00542933" w:rsidP="00542933">
      <w:pPr>
        <w:widowControl w:val="0"/>
        <w:autoSpaceDE w:val="0"/>
        <w:autoSpaceDN w:val="0"/>
        <w:spacing w:after="0" w:line="240" w:lineRule="auto"/>
        <w:jc w:val="both"/>
        <w:rPr>
          <w:rFonts w:ascii="Arial" w:eastAsia="Arial" w:hAnsi="Arial" w:cs="Arial"/>
          <w:sz w:val="14"/>
          <w:szCs w:val="14"/>
          <w:lang w:val="es-ES" w:eastAsia="es-ES" w:bidi="es-ES"/>
        </w:rPr>
      </w:pPr>
    </w:p>
    <w:p w14:paraId="7B703810" w14:textId="77777777" w:rsidR="00542933" w:rsidRPr="00542933" w:rsidRDefault="00542933" w:rsidP="00542933">
      <w:pPr>
        <w:widowControl w:val="0"/>
        <w:autoSpaceDE w:val="0"/>
        <w:autoSpaceDN w:val="0"/>
        <w:spacing w:before="1" w:after="0" w:line="240" w:lineRule="auto"/>
        <w:ind w:left="1347" w:right="936"/>
        <w:jc w:val="center"/>
        <w:rPr>
          <w:rFonts w:ascii="Arial" w:eastAsia="Arial" w:hAnsi="Arial" w:cs="Arial"/>
          <w:b/>
          <w:sz w:val="14"/>
          <w:szCs w:val="14"/>
          <w:lang w:val="es-ES" w:eastAsia="es-ES" w:bidi="es-ES"/>
        </w:rPr>
      </w:pPr>
    </w:p>
    <w:p w14:paraId="1B23BE18" w14:textId="77777777" w:rsidR="00542933" w:rsidRPr="00542933" w:rsidRDefault="00542933" w:rsidP="00542933">
      <w:pPr>
        <w:widowControl w:val="0"/>
        <w:autoSpaceDE w:val="0"/>
        <w:autoSpaceDN w:val="0"/>
        <w:spacing w:before="1" w:after="0" w:line="240" w:lineRule="auto"/>
        <w:ind w:left="1347" w:right="936"/>
        <w:jc w:val="center"/>
        <w:rPr>
          <w:rFonts w:ascii="Arial" w:eastAsia="Arial" w:hAnsi="Arial" w:cs="Arial"/>
          <w:b/>
          <w:sz w:val="14"/>
          <w:szCs w:val="14"/>
          <w:lang w:val="es-ES" w:eastAsia="es-ES" w:bidi="es-ES"/>
        </w:rPr>
      </w:pPr>
    </w:p>
    <w:p w14:paraId="454050FF" w14:textId="77777777" w:rsidR="00542933" w:rsidRPr="00542933" w:rsidRDefault="00542933" w:rsidP="00542933">
      <w:pPr>
        <w:widowControl w:val="0"/>
        <w:autoSpaceDE w:val="0"/>
        <w:autoSpaceDN w:val="0"/>
        <w:spacing w:after="0" w:line="240" w:lineRule="auto"/>
        <w:ind w:left="1324" w:right="936"/>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FINANCIAMIENTOS DE ENTIDADES FEDERATIVAS Y SUS ENTES PÚBLICOS</w:t>
      </w:r>
    </w:p>
    <w:p w14:paraId="4F701BE8" w14:textId="77777777" w:rsidR="00542933" w:rsidRPr="00542933" w:rsidRDefault="00542933" w:rsidP="00542933">
      <w:pPr>
        <w:widowControl w:val="0"/>
        <w:autoSpaceDE w:val="0"/>
        <w:autoSpaceDN w:val="0"/>
        <w:spacing w:after="0" w:line="240" w:lineRule="auto"/>
        <w:ind w:left="1324" w:right="936"/>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 xml:space="preserve"> Tasa de interés promedio ponderada por Entidad Federativa y sus entes públicos </w:t>
      </w:r>
    </w:p>
    <w:p w14:paraId="1AEB61E2" w14:textId="77777777" w:rsidR="00542933" w:rsidRPr="00542933" w:rsidRDefault="00542933" w:rsidP="00542933">
      <w:pPr>
        <w:widowControl w:val="0"/>
        <w:autoSpaceDE w:val="0"/>
        <w:autoSpaceDN w:val="0"/>
        <w:spacing w:after="0" w:line="240" w:lineRule="auto"/>
        <w:ind w:left="1646" w:right="1229"/>
        <w:jc w:val="center"/>
        <w:rPr>
          <w:rFonts w:ascii="Arial" w:eastAsia="Arial" w:hAnsi="Arial" w:cs="Arial"/>
          <w:b/>
          <w:sz w:val="20"/>
          <w:lang w:val="es-ES" w:eastAsia="es-ES" w:bidi="es-ES"/>
        </w:rPr>
      </w:pPr>
      <w:r w:rsidRPr="00542933">
        <w:rPr>
          <w:rFonts w:ascii="Arial" w:eastAsia="Arial" w:hAnsi="Arial" w:cs="Arial"/>
          <w:b/>
          <w:sz w:val="20"/>
          <w:lang w:val="es-ES" w:eastAsia="es-ES" w:bidi="es-ES"/>
        </w:rPr>
        <w:t>(Relación %)</w:t>
      </w:r>
    </w:p>
    <w:p w14:paraId="5316E355" w14:textId="77777777" w:rsidR="00542933" w:rsidRPr="00542933" w:rsidRDefault="00542933" w:rsidP="00542933">
      <w:pPr>
        <w:widowControl w:val="0"/>
        <w:autoSpaceDE w:val="0"/>
        <w:autoSpaceDN w:val="0"/>
        <w:spacing w:after="0" w:line="240" w:lineRule="auto"/>
        <w:rPr>
          <w:rFonts w:ascii="Arial" w:eastAsia="Arial" w:hAnsi="Arial" w:cs="Arial"/>
          <w:b/>
          <w:sz w:val="14"/>
          <w:szCs w:val="14"/>
          <w:lang w:val="es-ES" w:eastAsia="es-ES" w:bidi="es-ES"/>
        </w:rPr>
      </w:pPr>
    </w:p>
    <w:tbl>
      <w:tblPr>
        <w:tblW w:w="8789" w:type="dxa"/>
        <w:tblInd w:w="-10" w:type="dxa"/>
        <w:tblCellMar>
          <w:left w:w="70" w:type="dxa"/>
          <w:right w:w="70" w:type="dxa"/>
        </w:tblCellMar>
        <w:tblLook w:val="04A0" w:firstRow="1" w:lastRow="0" w:firstColumn="1" w:lastColumn="0" w:noHBand="0" w:noVBand="1"/>
      </w:tblPr>
      <w:tblGrid>
        <w:gridCol w:w="4962"/>
        <w:gridCol w:w="3827"/>
      </w:tblGrid>
      <w:tr w:rsidR="00542933" w:rsidRPr="00542933" w14:paraId="0C91ACA9" w14:textId="77777777" w:rsidTr="00542933">
        <w:trPr>
          <w:trHeight w:val="300"/>
        </w:trPr>
        <w:tc>
          <w:tcPr>
            <w:tcW w:w="4962" w:type="dxa"/>
            <w:tcBorders>
              <w:top w:val="single" w:sz="8" w:space="0" w:color="D9D9D9"/>
              <w:left w:val="single" w:sz="8" w:space="0" w:color="D9D9D9"/>
              <w:bottom w:val="single" w:sz="8" w:space="0" w:color="D9D9D9"/>
              <w:right w:val="single" w:sz="8" w:space="0" w:color="D9D9D9"/>
            </w:tcBorders>
            <w:shd w:val="clear" w:color="000000" w:fill="BEBEBE"/>
            <w:vAlign w:val="center"/>
            <w:hideMark/>
          </w:tcPr>
          <w:p w14:paraId="301C119E" w14:textId="77777777" w:rsidR="00542933" w:rsidRPr="00542933" w:rsidRDefault="00542933" w:rsidP="00542933">
            <w:pPr>
              <w:spacing w:after="0" w:line="240" w:lineRule="auto"/>
              <w:jc w:val="center"/>
              <w:rPr>
                <w:rFonts w:ascii="Arial" w:eastAsia="Times New Roman" w:hAnsi="Arial" w:cs="Arial"/>
                <w:b/>
                <w:bCs/>
                <w:color w:val="000000"/>
                <w:sz w:val="20"/>
                <w:szCs w:val="20"/>
                <w:lang w:eastAsia="es-MX"/>
              </w:rPr>
            </w:pPr>
            <w:r w:rsidRPr="00542933">
              <w:rPr>
                <w:rFonts w:ascii="Arial" w:eastAsia="Times New Roman" w:hAnsi="Arial" w:cs="Arial"/>
                <w:b/>
                <w:bCs/>
                <w:color w:val="000000"/>
                <w:sz w:val="20"/>
                <w:lang w:val="es-ES" w:eastAsia="es-MX"/>
              </w:rPr>
              <w:t>Entidad</w:t>
            </w:r>
          </w:p>
        </w:tc>
        <w:tc>
          <w:tcPr>
            <w:tcW w:w="3827" w:type="dxa"/>
            <w:tcBorders>
              <w:top w:val="single" w:sz="8" w:space="0" w:color="D9D9D9"/>
              <w:left w:val="nil"/>
              <w:bottom w:val="single" w:sz="8" w:space="0" w:color="D9D9D9"/>
              <w:right w:val="single" w:sz="8" w:space="0" w:color="D9D9D9"/>
            </w:tcBorders>
            <w:shd w:val="clear" w:color="000000" w:fill="BEBEBE"/>
            <w:vAlign w:val="center"/>
            <w:hideMark/>
          </w:tcPr>
          <w:p w14:paraId="3FDC96CA" w14:textId="77777777" w:rsidR="00542933" w:rsidRPr="00542933" w:rsidRDefault="00542933" w:rsidP="00542933">
            <w:pPr>
              <w:spacing w:after="0" w:line="240" w:lineRule="auto"/>
              <w:jc w:val="center"/>
              <w:rPr>
                <w:rFonts w:ascii="Arial" w:eastAsia="Times New Roman" w:hAnsi="Arial" w:cs="Arial"/>
                <w:b/>
                <w:bCs/>
                <w:color w:val="000000"/>
                <w:sz w:val="20"/>
                <w:szCs w:val="20"/>
                <w:lang w:eastAsia="es-MX"/>
              </w:rPr>
            </w:pPr>
            <w:r w:rsidRPr="00542933">
              <w:rPr>
                <w:rFonts w:ascii="Arial" w:eastAsia="Times New Roman" w:hAnsi="Arial" w:cs="Arial"/>
                <w:b/>
                <w:bCs/>
                <w:color w:val="000000"/>
                <w:sz w:val="20"/>
                <w:lang w:val="es-ES" w:eastAsia="es-MX"/>
              </w:rPr>
              <w:t>2022</w:t>
            </w:r>
          </w:p>
        </w:tc>
      </w:tr>
      <w:tr w:rsidR="00542933" w:rsidRPr="00542933" w14:paraId="413D5F7C" w14:textId="77777777" w:rsidTr="00542933">
        <w:trPr>
          <w:trHeight w:val="300"/>
        </w:trPr>
        <w:tc>
          <w:tcPr>
            <w:tcW w:w="4962" w:type="dxa"/>
            <w:tcBorders>
              <w:top w:val="nil"/>
              <w:left w:val="single" w:sz="8" w:space="0" w:color="D9D9D9"/>
              <w:bottom w:val="single" w:sz="8" w:space="0" w:color="D9D9D9"/>
              <w:right w:val="single" w:sz="8" w:space="0" w:color="D9D9D9"/>
            </w:tcBorders>
            <w:shd w:val="clear" w:color="auto" w:fill="auto"/>
            <w:vAlign w:val="center"/>
            <w:hideMark/>
          </w:tcPr>
          <w:p w14:paraId="4B998ABD" w14:textId="77777777" w:rsidR="00542933" w:rsidRPr="00542933" w:rsidRDefault="00542933" w:rsidP="00542933">
            <w:pPr>
              <w:spacing w:after="0" w:line="240" w:lineRule="auto"/>
              <w:rPr>
                <w:rFonts w:ascii="Arial" w:eastAsia="Times New Roman" w:hAnsi="Arial" w:cs="Arial"/>
                <w:color w:val="000000"/>
                <w:sz w:val="20"/>
                <w:szCs w:val="20"/>
                <w:lang w:eastAsia="es-MX"/>
              </w:rPr>
            </w:pPr>
            <w:r w:rsidRPr="00542933">
              <w:rPr>
                <w:rFonts w:ascii="Arial" w:eastAsia="Times New Roman" w:hAnsi="Arial" w:cs="Arial"/>
                <w:color w:val="000000"/>
                <w:sz w:val="20"/>
                <w:lang w:val="es-ES" w:eastAsia="es-MX"/>
              </w:rPr>
              <w:t>Quintana Roo</w:t>
            </w:r>
          </w:p>
        </w:tc>
        <w:tc>
          <w:tcPr>
            <w:tcW w:w="3827" w:type="dxa"/>
            <w:tcBorders>
              <w:top w:val="nil"/>
              <w:left w:val="nil"/>
              <w:bottom w:val="single" w:sz="8" w:space="0" w:color="D9D9D9"/>
              <w:right w:val="single" w:sz="8" w:space="0" w:color="D9D9D9"/>
            </w:tcBorders>
            <w:shd w:val="clear" w:color="auto" w:fill="auto"/>
            <w:vAlign w:val="center"/>
            <w:hideMark/>
          </w:tcPr>
          <w:p w14:paraId="5C6C491A" w14:textId="77777777" w:rsidR="00542933" w:rsidRPr="00542933" w:rsidRDefault="00542933" w:rsidP="00542933">
            <w:pPr>
              <w:spacing w:after="0" w:line="240" w:lineRule="auto"/>
              <w:jc w:val="center"/>
              <w:rPr>
                <w:rFonts w:ascii="Arial" w:eastAsia="Times New Roman" w:hAnsi="Arial" w:cs="Arial"/>
                <w:color w:val="000000"/>
                <w:sz w:val="20"/>
                <w:szCs w:val="20"/>
                <w:lang w:eastAsia="es-MX"/>
              </w:rPr>
            </w:pPr>
            <w:r w:rsidRPr="00542933">
              <w:rPr>
                <w:rFonts w:ascii="Arial" w:eastAsia="Times New Roman" w:hAnsi="Arial" w:cs="Arial"/>
                <w:color w:val="000000"/>
                <w:sz w:val="20"/>
                <w:lang w:val="es-ES" w:eastAsia="es-MX"/>
              </w:rPr>
              <w:t>11.5%</w:t>
            </w:r>
          </w:p>
        </w:tc>
      </w:tr>
    </w:tbl>
    <w:p w14:paraId="6A84E73E" w14:textId="77777777" w:rsidR="00542933" w:rsidRPr="00542933" w:rsidRDefault="00542933" w:rsidP="00542933">
      <w:pPr>
        <w:widowControl w:val="0"/>
        <w:autoSpaceDE w:val="0"/>
        <w:autoSpaceDN w:val="0"/>
        <w:spacing w:after="0" w:line="240" w:lineRule="auto"/>
        <w:ind w:left="1276"/>
        <w:jc w:val="both"/>
        <w:rPr>
          <w:rFonts w:ascii="Arial" w:eastAsia="Arial" w:hAnsi="Arial" w:cs="Arial"/>
          <w:b/>
          <w:sz w:val="14"/>
          <w:szCs w:val="14"/>
          <w:lang w:val="es-ES" w:eastAsia="es-ES" w:bidi="es-ES"/>
        </w:rPr>
      </w:pPr>
    </w:p>
    <w:p w14:paraId="07A83581" w14:textId="77777777" w:rsidR="00542933" w:rsidRPr="00542933" w:rsidRDefault="00542933" w:rsidP="00542933">
      <w:pPr>
        <w:widowControl w:val="0"/>
        <w:autoSpaceDE w:val="0"/>
        <w:autoSpaceDN w:val="0"/>
        <w:spacing w:after="0" w:line="240" w:lineRule="auto"/>
        <w:jc w:val="both"/>
        <w:rPr>
          <w:rFonts w:ascii="Arial" w:eastAsia="Arial" w:hAnsi="Arial" w:cs="Arial"/>
          <w:sz w:val="14"/>
          <w:szCs w:val="14"/>
          <w:lang w:val="es-ES" w:eastAsia="es-ES" w:bidi="es-ES"/>
        </w:rPr>
      </w:pPr>
      <w:r w:rsidRPr="00542933">
        <w:rPr>
          <w:rFonts w:ascii="Arial" w:eastAsia="Arial" w:hAnsi="Arial" w:cs="Arial"/>
          <w:b/>
          <w:sz w:val="14"/>
          <w:szCs w:val="14"/>
          <w:lang w:val="es-ES" w:eastAsia="es-ES" w:bidi="es-ES"/>
        </w:rPr>
        <w:t xml:space="preserve">Fuente: </w:t>
      </w:r>
      <w:r w:rsidRPr="00542933">
        <w:rPr>
          <w:rFonts w:ascii="Arial" w:eastAsia="Arial" w:hAnsi="Arial" w:cs="Arial"/>
          <w:sz w:val="14"/>
          <w:szCs w:val="14"/>
          <w:lang w:val="es-ES" w:eastAsia="es-ES" w:bidi="es-ES"/>
        </w:rPr>
        <w:t>Secretaría de Hacienda y Crédito Público</w:t>
      </w:r>
    </w:p>
    <w:p w14:paraId="5B1952A1" w14:textId="77777777" w:rsidR="00542933" w:rsidRPr="00542933" w:rsidRDefault="00542933" w:rsidP="00542933">
      <w:pPr>
        <w:widowControl w:val="0"/>
        <w:autoSpaceDE w:val="0"/>
        <w:autoSpaceDN w:val="0"/>
        <w:spacing w:after="0" w:line="240" w:lineRule="auto"/>
        <w:jc w:val="both"/>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https://www.disciplinafinanciera.hacienda.gob.mx/es/DISCIPLINA_FINANCIERA/2022</w:t>
      </w:r>
    </w:p>
    <w:p w14:paraId="7583D03D" w14:textId="77777777" w:rsidR="00542933" w:rsidRPr="00542933" w:rsidRDefault="00542933" w:rsidP="00542933">
      <w:pPr>
        <w:widowControl w:val="0"/>
        <w:autoSpaceDE w:val="0"/>
        <w:autoSpaceDN w:val="0"/>
        <w:spacing w:before="93" w:after="0" w:line="240" w:lineRule="auto"/>
        <w:ind w:left="1484"/>
        <w:jc w:val="both"/>
        <w:rPr>
          <w:rFonts w:ascii="Arial" w:eastAsia="Arial" w:hAnsi="Arial" w:cs="Arial"/>
          <w:sz w:val="24"/>
          <w:lang w:val="es-ES" w:eastAsia="es-ES" w:bidi="es-ES"/>
        </w:rPr>
      </w:pPr>
    </w:p>
    <w:p w14:paraId="5CD8A7A0" w14:textId="77777777" w:rsidR="00542933" w:rsidRPr="00542933" w:rsidRDefault="00542933" w:rsidP="00542933">
      <w:pPr>
        <w:widowControl w:val="0"/>
        <w:autoSpaceDE w:val="0"/>
        <w:autoSpaceDN w:val="0"/>
        <w:spacing w:before="93" w:after="0" w:line="240" w:lineRule="auto"/>
        <w:jc w:val="both"/>
        <w:rPr>
          <w:rFonts w:ascii="Arial" w:eastAsia="Arial" w:hAnsi="Arial" w:cs="Arial"/>
          <w:b/>
          <w:sz w:val="24"/>
          <w:lang w:val="es-ES" w:eastAsia="es-ES" w:bidi="es-ES"/>
        </w:rPr>
      </w:pPr>
      <w:r w:rsidRPr="00542933">
        <w:rPr>
          <w:rFonts w:ascii="Arial" w:eastAsia="Arial" w:hAnsi="Arial" w:cs="Arial"/>
          <w:b/>
          <w:sz w:val="24"/>
          <w:lang w:val="es-ES" w:eastAsia="es-ES" w:bidi="es-ES"/>
        </w:rPr>
        <w:t>I.IV.- Sistema de Alertas</w:t>
      </w:r>
    </w:p>
    <w:p w14:paraId="7EA37B84" w14:textId="77777777" w:rsidR="00542933" w:rsidRPr="00542933" w:rsidRDefault="00542933" w:rsidP="00542933">
      <w:pPr>
        <w:widowControl w:val="0"/>
        <w:autoSpaceDE w:val="0"/>
        <w:autoSpaceDN w:val="0"/>
        <w:spacing w:after="0" w:line="240" w:lineRule="auto"/>
        <w:rPr>
          <w:rFonts w:ascii="Arial" w:eastAsia="Arial" w:hAnsi="Arial" w:cs="Arial"/>
          <w:b/>
          <w:sz w:val="24"/>
          <w:szCs w:val="24"/>
          <w:lang w:val="es-ES" w:eastAsia="es-ES" w:bidi="es-ES"/>
        </w:rPr>
      </w:pPr>
    </w:p>
    <w:p w14:paraId="60C6615A" w14:textId="77777777" w:rsidR="00542933" w:rsidRPr="00542933" w:rsidRDefault="00542933" w:rsidP="00542933">
      <w:pPr>
        <w:widowControl w:val="0"/>
        <w:autoSpaceDE w:val="0"/>
        <w:autoSpaceDN w:val="0"/>
        <w:spacing w:after="0" w:line="276" w:lineRule="auto"/>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Son disposiciones que se incluyen en la Ley de Disciplina Financiera de las Entidades Federativas y los Municipios. Esta Ley establece que la Secretaría de Hacienda y Crédito Público deberá evaluar aquellos Entes Públicos locales (Entidades Federativas, Municipios, Organismos Públicos Descentralizados, Empresas Paraestatales, etc.) que tengan contratos financiamientos u obligaciones cuya fuente o garantía de pago sea de Ingresos de Libre Disposición, inscritas dentro del Registro Público Único, de acuerdo a su nivel de endeudamiento. Para aquellos casos en los que las Entidades Federativas o Municipios realicen la afectación de sus participaciones federales en garantía o como fuente de pago a través de un fideicomiso público sin estructura que funja como acreditado en el financiamiento u obligación correspondiente, se consolidarán estos con los financiamientos y obligaciones de la Entidad Federativa o Municipio y serán computables para efectos del Sistema de Alertas.</w:t>
      </w:r>
    </w:p>
    <w:p w14:paraId="359190D6" w14:textId="77777777" w:rsidR="00542933" w:rsidRPr="00542933" w:rsidRDefault="00542933" w:rsidP="00542933">
      <w:pPr>
        <w:widowControl w:val="0"/>
        <w:autoSpaceDE w:val="0"/>
        <w:autoSpaceDN w:val="0"/>
        <w:spacing w:after="0" w:line="276" w:lineRule="auto"/>
        <w:ind w:right="1088"/>
        <w:jc w:val="both"/>
        <w:rPr>
          <w:rFonts w:ascii="Arial" w:eastAsia="Arial" w:hAnsi="Arial" w:cs="Arial"/>
          <w:sz w:val="24"/>
          <w:szCs w:val="24"/>
          <w:lang w:val="es-ES" w:eastAsia="es-ES" w:bidi="es-ES"/>
        </w:rPr>
      </w:pPr>
    </w:p>
    <w:p w14:paraId="2C6E4519" w14:textId="77777777" w:rsidR="00542933" w:rsidRPr="00542933" w:rsidRDefault="00542933" w:rsidP="00542933">
      <w:pPr>
        <w:widowControl w:val="0"/>
        <w:autoSpaceDE w:val="0"/>
        <w:autoSpaceDN w:val="0"/>
        <w:spacing w:after="0" w:line="276" w:lineRule="auto"/>
        <w:jc w:val="both"/>
        <w:rPr>
          <w:rFonts w:ascii="Arial" w:eastAsia="Arial" w:hAnsi="Arial" w:cs="Arial"/>
          <w:sz w:val="24"/>
          <w:szCs w:val="24"/>
          <w:lang w:val="es-ES" w:eastAsia="es-ES" w:bidi="es-ES"/>
        </w:rPr>
      </w:pPr>
      <w:r w:rsidRPr="00542933">
        <w:rPr>
          <w:rFonts w:ascii="Arial" w:eastAsia="Arial" w:hAnsi="Arial" w:cs="Arial"/>
          <w:sz w:val="24"/>
          <w:szCs w:val="24"/>
          <w:lang w:val="es-ES" w:eastAsia="es-ES" w:bidi="es-ES"/>
        </w:rPr>
        <w:t xml:space="preserve">De acuerdo a los resultados obtenidos por el Estado de Quintana Roo, en base a la medición de los indicadores del sistema de alertas respecto de sus niveles de endeudamiento al cuarto trimestre del 2022, el nivel de endeudamiento se clasifica en: </w:t>
      </w:r>
      <w:r w:rsidRPr="005E3843">
        <w:rPr>
          <w:rFonts w:ascii="Arial" w:eastAsia="Arial" w:hAnsi="Arial" w:cs="Arial"/>
          <w:b/>
          <w:sz w:val="24"/>
          <w:szCs w:val="24"/>
          <w:lang w:val="es-ES" w:eastAsia="es-ES" w:bidi="es-ES"/>
        </w:rPr>
        <w:t>Endeudamiento en Observación</w:t>
      </w:r>
      <w:r w:rsidRPr="00542933">
        <w:rPr>
          <w:rFonts w:ascii="Arial" w:eastAsia="Arial" w:hAnsi="Arial" w:cs="Arial"/>
          <w:sz w:val="24"/>
          <w:szCs w:val="24"/>
          <w:lang w:val="es-ES" w:eastAsia="es-ES" w:bidi="es-ES"/>
        </w:rPr>
        <w:t>.</w:t>
      </w:r>
    </w:p>
    <w:p w14:paraId="1D5DA461" w14:textId="77777777" w:rsidR="00542933" w:rsidRPr="00542933" w:rsidRDefault="00542933" w:rsidP="00542933">
      <w:pPr>
        <w:widowControl w:val="0"/>
        <w:autoSpaceDE w:val="0"/>
        <w:autoSpaceDN w:val="0"/>
        <w:spacing w:before="161" w:after="0" w:line="240" w:lineRule="auto"/>
        <w:rPr>
          <w:rFonts w:ascii="Arial" w:eastAsia="Arial" w:hAnsi="Arial" w:cs="Arial"/>
          <w:sz w:val="14"/>
          <w:szCs w:val="14"/>
          <w:lang w:val="es-ES" w:eastAsia="es-ES" w:bidi="es-ES"/>
        </w:rPr>
      </w:pPr>
      <w:r w:rsidRPr="00542933">
        <w:rPr>
          <w:rFonts w:ascii="Arial" w:eastAsia="Arial" w:hAnsi="Arial" w:cs="Arial"/>
          <w:b/>
          <w:sz w:val="14"/>
          <w:szCs w:val="14"/>
          <w:lang w:val="es-ES" w:eastAsia="es-ES" w:bidi="es-ES"/>
        </w:rPr>
        <w:t>Fuente:</w:t>
      </w:r>
      <w:r w:rsidRPr="00542933">
        <w:rPr>
          <w:rFonts w:ascii="Arial" w:eastAsia="Arial" w:hAnsi="Arial" w:cs="Arial"/>
          <w:sz w:val="14"/>
          <w:szCs w:val="14"/>
          <w:lang w:val="es-ES" w:eastAsia="es-ES" w:bidi="es-ES"/>
        </w:rPr>
        <w:t xml:space="preserve"> Secretaría de Hacienda y Crédito Público</w:t>
      </w:r>
    </w:p>
    <w:p w14:paraId="2C77DDFA" w14:textId="77777777" w:rsidR="00542933" w:rsidRPr="00542933" w:rsidRDefault="00542933" w:rsidP="00542933">
      <w:pPr>
        <w:widowControl w:val="0"/>
        <w:autoSpaceDE w:val="0"/>
        <w:autoSpaceDN w:val="0"/>
        <w:spacing w:after="0" w:line="240" w:lineRule="auto"/>
        <w:ind w:right="1177"/>
        <w:jc w:val="both"/>
        <w:rPr>
          <w:rFonts w:ascii="Arial" w:eastAsia="Arial" w:hAnsi="Arial" w:cs="Arial"/>
          <w:sz w:val="14"/>
          <w:szCs w:val="14"/>
          <w:lang w:val="es-ES" w:eastAsia="es-ES" w:bidi="es-ES"/>
        </w:rPr>
      </w:pPr>
      <w:r w:rsidRPr="00542933">
        <w:rPr>
          <w:rFonts w:ascii="Arial" w:eastAsia="Arial" w:hAnsi="Arial" w:cs="Arial"/>
          <w:sz w:val="14"/>
          <w:szCs w:val="14"/>
          <w:lang w:val="es-ES" w:eastAsia="es-ES" w:bidi="es-ES"/>
        </w:rPr>
        <w:t>https://www.disciplinafinanciera.hacienda.gob.mx/es/DISCIPLINA_FINANCIERA/Entidades_Federativas_2022</w:t>
      </w:r>
    </w:p>
    <w:p w14:paraId="0D8B9744" w14:textId="77777777" w:rsidR="00542933" w:rsidRPr="00542933" w:rsidRDefault="00542933" w:rsidP="00542933">
      <w:pPr>
        <w:widowControl w:val="0"/>
        <w:autoSpaceDE w:val="0"/>
        <w:autoSpaceDN w:val="0"/>
        <w:spacing w:after="0" w:line="276" w:lineRule="auto"/>
        <w:jc w:val="both"/>
        <w:rPr>
          <w:rFonts w:ascii="Arial" w:eastAsia="Arial" w:hAnsi="Arial" w:cs="Arial"/>
          <w:b/>
          <w:sz w:val="24"/>
          <w:lang w:val="es-ES" w:eastAsia="es-ES" w:bidi="es-ES"/>
        </w:rPr>
      </w:pPr>
      <w:r w:rsidRPr="00542933">
        <w:rPr>
          <w:rFonts w:ascii="Arial" w:eastAsia="Arial" w:hAnsi="Arial" w:cs="Arial"/>
          <w:b/>
          <w:sz w:val="24"/>
          <w:lang w:val="es-ES" w:eastAsia="es-ES" w:bidi="es-ES"/>
        </w:rPr>
        <w:lastRenderedPageBreak/>
        <w:t>I.V.- Conclusiones</w:t>
      </w:r>
    </w:p>
    <w:p w14:paraId="3F36BE35" w14:textId="77777777" w:rsidR="00542933" w:rsidRPr="00542933" w:rsidRDefault="00542933" w:rsidP="00542933">
      <w:pPr>
        <w:widowControl w:val="0"/>
        <w:autoSpaceDE w:val="0"/>
        <w:autoSpaceDN w:val="0"/>
        <w:spacing w:after="0" w:line="276" w:lineRule="auto"/>
        <w:ind w:right="1065"/>
        <w:jc w:val="both"/>
        <w:rPr>
          <w:rFonts w:ascii="Arial" w:eastAsia="Arial" w:hAnsi="Arial" w:cs="Arial"/>
          <w:sz w:val="24"/>
          <w:lang w:val="es-ES" w:eastAsia="es-ES" w:bidi="es-ES"/>
        </w:rPr>
      </w:pPr>
    </w:p>
    <w:p w14:paraId="322BBB11" w14:textId="77777777" w:rsidR="00542933" w:rsidRPr="00542933" w:rsidRDefault="00542933" w:rsidP="00542933">
      <w:pPr>
        <w:widowControl w:val="0"/>
        <w:autoSpaceDE w:val="0"/>
        <w:autoSpaceDN w:val="0"/>
        <w:spacing w:after="0" w:line="276" w:lineRule="auto"/>
        <w:jc w:val="both"/>
        <w:rPr>
          <w:rFonts w:ascii="Arial" w:eastAsia="Arial" w:hAnsi="Arial" w:cs="Arial"/>
          <w:sz w:val="24"/>
          <w:lang w:val="es-ES" w:eastAsia="es-ES" w:bidi="es-ES"/>
        </w:rPr>
      </w:pPr>
      <w:r w:rsidRPr="00542933">
        <w:rPr>
          <w:rFonts w:ascii="Arial" w:eastAsia="Arial" w:hAnsi="Arial" w:cs="Arial"/>
          <w:sz w:val="24"/>
          <w:lang w:val="es-ES" w:eastAsia="es-ES" w:bidi="es-ES"/>
        </w:rPr>
        <w:t>En términos generales, se constató que el Estado de Quintana Roo, al 31 de diciembre de 2022, tiene obligaciones financieras a largo plazo por un importe de $19,658,989,933.59 (Son: Diecinueve mil seiscientos cincuenta y ocho millones novecientos ochenta y nueve mil novecientos treinta y tres pesos 59/100 Moneda Nacional) correspondiente a l</w:t>
      </w:r>
      <w:r w:rsidRPr="00542933">
        <w:rPr>
          <w:rFonts w:ascii="Arial" w:eastAsia="Arial" w:hAnsi="Arial" w:cs="Arial"/>
          <w:sz w:val="24"/>
          <w:szCs w:val="24"/>
          <w:lang w:val="es-ES" w:eastAsia="es-ES" w:bidi="es-ES"/>
        </w:rPr>
        <w:t xml:space="preserve">a Deuda Pública histórica, </w:t>
      </w:r>
      <w:r w:rsidRPr="00542933">
        <w:rPr>
          <w:rFonts w:ascii="Arial" w:eastAsia="Arial" w:hAnsi="Arial" w:cs="Arial"/>
          <w:sz w:val="24"/>
          <w:lang w:val="es-ES" w:eastAsia="es-ES" w:bidi="es-ES"/>
        </w:rPr>
        <w:t>que incluye los $175,696,293.41 (Son: Ciento setenta y cinco millones seiscientos noventa y seis mil doscientos noventa y tres pesos 41/100 Moneda Nacional) de las disposiciones de un financiamiento celebrado en el ejercicio fiscal 2021, y obligaciones financieras a corto plazo por un importe total de $1,500,000,000.00 (Son: Mil quinientos millones de pesos 00/100 Moneda Nacional), para solventar insuficiencias de liquidez de carácter temporal. Durante el ejercicio fiscal 2022, se tomaron las previsiones para el pago de las respectivas amortizaciones e intereses en cumplimiento a las disposiciones establecidas en la Ley General de Contabilidad Gubernamental, la Ley de Disciplina Financiera de las Entidades Federativas y los Municipios, la normatividad emitida por el Consejo Nacional de Armonización Contable (CONAC), la Ley de Deuda Pública del Estado de Quintana Roo y a las cláusulas y términos contractuales respectivos.</w:t>
      </w:r>
    </w:p>
    <w:p w14:paraId="52B43D69" w14:textId="77777777" w:rsidR="00542933" w:rsidRPr="00542933" w:rsidRDefault="00542933" w:rsidP="00542933">
      <w:pPr>
        <w:widowControl w:val="0"/>
        <w:autoSpaceDE w:val="0"/>
        <w:autoSpaceDN w:val="0"/>
        <w:spacing w:after="0" w:line="276" w:lineRule="auto"/>
        <w:ind w:left="1484" w:right="1065"/>
        <w:jc w:val="both"/>
        <w:rPr>
          <w:rFonts w:ascii="Arial" w:eastAsia="Arial" w:hAnsi="Arial" w:cs="Arial"/>
          <w:sz w:val="24"/>
          <w:lang w:val="es-ES" w:eastAsia="es-ES" w:bidi="es-ES"/>
        </w:rPr>
      </w:pPr>
    </w:p>
    <w:bookmarkEnd w:id="40"/>
    <w:bookmarkEnd w:id="41"/>
    <w:p w14:paraId="67A4D4DC" w14:textId="77777777" w:rsidR="009D1AEF" w:rsidRPr="009D1AEF" w:rsidRDefault="009D1AEF" w:rsidP="009D1AEF">
      <w:pPr>
        <w:spacing w:after="0" w:line="276" w:lineRule="auto"/>
        <w:jc w:val="both"/>
        <w:rPr>
          <w:rFonts w:ascii="Arial" w:hAnsi="Arial" w:cs="Arial"/>
          <w:sz w:val="24"/>
          <w:szCs w:val="24"/>
        </w:rPr>
      </w:pPr>
    </w:p>
    <w:p w14:paraId="3986F575" w14:textId="77777777" w:rsidR="009D1AEF" w:rsidRPr="009D1AEF" w:rsidRDefault="009D1AEF" w:rsidP="009D1AEF">
      <w:pPr>
        <w:keepNext/>
        <w:keepLines/>
        <w:numPr>
          <w:ilvl w:val="0"/>
          <w:numId w:val="22"/>
        </w:numPr>
        <w:spacing w:before="40" w:after="0"/>
        <w:jc w:val="both"/>
        <w:outlineLvl w:val="1"/>
        <w:rPr>
          <w:rFonts w:ascii="Arial" w:eastAsiaTheme="majorEastAsia" w:hAnsi="Arial" w:cs="Arial"/>
          <w:b/>
          <w:sz w:val="26"/>
          <w:szCs w:val="26"/>
        </w:rPr>
      </w:pPr>
      <w:bookmarkStart w:id="45" w:name="_Toc158567489"/>
      <w:r w:rsidRPr="009D1AEF">
        <w:rPr>
          <w:rFonts w:ascii="Arial" w:eastAsiaTheme="majorEastAsia" w:hAnsi="Arial" w:cs="Arial"/>
          <w:b/>
          <w:sz w:val="26"/>
          <w:szCs w:val="26"/>
        </w:rPr>
        <w:t>Informe de la Deuda Pública Fiscalizable de la Comisión de Agua Potable y Alcantarillado del Estado de Quintana Roo</w:t>
      </w:r>
      <w:bookmarkEnd w:id="45"/>
    </w:p>
    <w:p w14:paraId="098354CF" w14:textId="77777777" w:rsidR="009D1AEF" w:rsidRPr="009D1AEF" w:rsidRDefault="009D1AEF" w:rsidP="009D1AEF">
      <w:pPr>
        <w:widowControl w:val="0"/>
        <w:tabs>
          <w:tab w:val="left" w:pos="9356"/>
        </w:tabs>
        <w:autoSpaceDE w:val="0"/>
        <w:autoSpaceDN w:val="0"/>
        <w:spacing w:after="0" w:line="240" w:lineRule="auto"/>
        <w:ind w:left="-142"/>
        <w:rPr>
          <w:rFonts w:ascii="Arial" w:eastAsia="Arial" w:hAnsi="Arial" w:cs="Arial"/>
          <w:b/>
          <w:sz w:val="32"/>
          <w:szCs w:val="24"/>
          <w:lang w:val="es-ES" w:eastAsia="es-ES" w:bidi="es-ES"/>
        </w:rPr>
      </w:pPr>
    </w:p>
    <w:p w14:paraId="0E5951BC" w14:textId="77777777" w:rsidR="009D1AEF" w:rsidRPr="009D1AEF" w:rsidRDefault="009D1AEF" w:rsidP="009D1AEF">
      <w:pPr>
        <w:keepNext/>
        <w:keepLines/>
        <w:spacing w:before="40" w:after="0"/>
        <w:ind w:left="283"/>
        <w:outlineLvl w:val="2"/>
        <w:rPr>
          <w:rFonts w:ascii="Arial" w:eastAsiaTheme="majorEastAsia" w:hAnsi="Arial" w:cs="Arial"/>
          <w:b/>
          <w:color w:val="1F4D78" w:themeColor="accent1" w:themeShade="7F"/>
          <w:sz w:val="24"/>
          <w:szCs w:val="24"/>
          <w:lang w:eastAsia="es-ES" w:bidi="es-ES"/>
        </w:rPr>
      </w:pPr>
      <w:bookmarkStart w:id="46" w:name="_Toc64067640"/>
      <w:bookmarkStart w:id="47" w:name="_Toc95496681"/>
      <w:bookmarkStart w:id="48" w:name="_Toc158567490"/>
      <w:r w:rsidRPr="009D1AEF">
        <w:rPr>
          <w:rFonts w:ascii="Arial" w:eastAsiaTheme="majorEastAsia" w:hAnsi="Arial" w:cs="Arial"/>
          <w:b/>
          <w:sz w:val="24"/>
          <w:szCs w:val="24"/>
          <w:lang w:eastAsia="es-ES" w:bidi="es-ES"/>
        </w:rPr>
        <w:t>I.- Deuda Pública del Ente Público Estatal</w:t>
      </w:r>
      <w:bookmarkEnd w:id="46"/>
      <w:bookmarkEnd w:id="47"/>
      <w:bookmarkEnd w:id="48"/>
    </w:p>
    <w:p w14:paraId="13A1462F" w14:textId="77777777" w:rsidR="009D1AEF" w:rsidRPr="009D1AEF" w:rsidRDefault="009D1AEF" w:rsidP="009D1AEF">
      <w:pPr>
        <w:widowControl w:val="0"/>
        <w:tabs>
          <w:tab w:val="left" w:pos="9356"/>
        </w:tabs>
        <w:autoSpaceDE w:val="0"/>
        <w:autoSpaceDN w:val="0"/>
        <w:spacing w:after="0" w:line="240" w:lineRule="auto"/>
        <w:ind w:left="-142"/>
        <w:rPr>
          <w:rFonts w:ascii="Arial" w:eastAsia="Arial" w:hAnsi="Arial" w:cs="Arial"/>
          <w:b/>
          <w:sz w:val="10"/>
          <w:szCs w:val="24"/>
          <w:lang w:val="es-ES" w:eastAsia="es-ES" w:bidi="es-ES"/>
        </w:rPr>
      </w:pPr>
    </w:p>
    <w:p w14:paraId="2D0E24FC" w14:textId="77777777" w:rsidR="009D1AEF" w:rsidRPr="009D1AEF" w:rsidRDefault="009D1AEF" w:rsidP="009D1AEF">
      <w:pPr>
        <w:widowControl w:val="0"/>
        <w:tabs>
          <w:tab w:val="left" w:pos="9356"/>
        </w:tabs>
        <w:autoSpaceDE w:val="0"/>
        <w:autoSpaceDN w:val="0"/>
        <w:spacing w:before="8" w:after="0" w:line="240" w:lineRule="auto"/>
        <w:ind w:left="-142"/>
        <w:rPr>
          <w:rFonts w:ascii="Arial" w:eastAsia="Arial" w:hAnsi="Arial" w:cs="Arial"/>
          <w:b/>
          <w:sz w:val="10"/>
          <w:szCs w:val="24"/>
          <w:lang w:val="es-ES" w:eastAsia="es-ES" w:bidi="es-ES"/>
        </w:rPr>
      </w:pPr>
    </w:p>
    <w:p w14:paraId="12AD9BF6" w14:textId="77777777" w:rsidR="009D1AEF" w:rsidRPr="009D1AEF" w:rsidRDefault="009D1AEF" w:rsidP="009D1AEF">
      <w:pPr>
        <w:widowControl w:val="0"/>
        <w:tabs>
          <w:tab w:val="left" w:pos="9356"/>
        </w:tabs>
        <w:autoSpaceDE w:val="0"/>
        <w:autoSpaceDN w:val="0"/>
        <w:spacing w:after="0" w:line="276" w:lineRule="auto"/>
        <w:ind w:left="283"/>
        <w:jc w:val="both"/>
        <w:rPr>
          <w:rFonts w:ascii="Arial" w:eastAsia="Arial" w:hAnsi="Arial" w:cs="Arial"/>
          <w:sz w:val="24"/>
          <w:szCs w:val="24"/>
          <w:lang w:val="es-ES" w:eastAsia="es-ES" w:bidi="es-ES"/>
        </w:rPr>
      </w:pPr>
      <w:r w:rsidRPr="009D1AEF">
        <w:rPr>
          <w:rFonts w:ascii="Arial" w:eastAsia="Arial" w:hAnsi="Arial" w:cs="Arial"/>
          <w:sz w:val="24"/>
          <w:szCs w:val="24"/>
          <w:lang w:val="es-ES" w:eastAsia="es-ES" w:bidi="es-ES"/>
        </w:rPr>
        <w:t>En términos de los artículos 1, fracción IV; 2, fracción I; 6, fracción XII; 16, fracción I, inciso</w:t>
      </w:r>
      <w:r w:rsidRPr="009D1AEF">
        <w:rPr>
          <w:rFonts w:ascii="Arial" w:eastAsia="Arial" w:hAnsi="Arial" w:cs="Arial"/>
          <w:spacing w:val="-7"/>
          <w:sz w:val="24"/>
          <w:szCs w:val="24"/>
          <w:lang w:val="es-ES" w:eastAsia="es-ES" w:bidi="es-ES"/>
        </w:rPr>
        <w:t xml:space="preserve"> </w:t>
      </w:r>
      <w:r w:rsidRPr="009D1AEF">
        <w:rPr>
          <w:rFonts w:ascii="Arial" w:eastAsia="Arial" w:hAnsi="Arial" w:cs="Arial"/>
          <w:sz w:val="24"/>
          <w:szCs w:val="24"/>
          <w:lang w:val="es-ES" w:eastAsia="es-ES" w:bidi="es-ES"/>
        </w:rPr>
        <w:t>g),</w:t>
      </w:r>
      <w:r w:rsidRPr="009D1AEF">
        <w:rPr>
          <w:rFonts w:ascii="Arial" w:eastAsia="Arial" w:hAnsi="Arial" w:cs="Arial"/>
          <w:spacing w:val="-8"/>
          <w:sz w:val="24"/>
          <w:szCs w:val="24"/>
          <w:lang w:val="es-ES" w:eastAsia="es-ES" w:bidi="es-ES"/>
        </w:rPr>
        <w:t xml:space="preserve"> </w:t>
      </w:r>
      <w:r w:rsidRPr="009D1AEF">
        <w:rPr>
          <w:rFonts w:ascii="Arial" w:eastAsia="Arial" w:hAnsi="Arial" w:cs="Arial"/>
          <w:sz w:val="24"/>
          <w:szCs w:val="24"/>
          <w:lang w:val="es-ES" w:eastAsia="es-ES" w:bidi="es-ES"/>
        </w:rPr>
        <w:t>y</w:t>
      </w:r>
      <w:r w:rsidRPr="009D1AEF">
        <w:rPr>
          <w:rFonts w:ascii="Arial" w:eastAsia="Arial" w:hAnsi="Arial" w:cs="Arial"/>
          <w:spacing w:val="-9"/>
          <w:sz w:val="24"/>
          <w:szCs w:val="24"/>
          <w:lang w:val="es-ES" w:eastAsia="es-ES" w:bidi="es-ES"/>
        </w:rPr>
        <w:t xml:space="preserve"> </w:t>
      </w:r>
      <w:r w:rsidRPr="009D1AEF">
        <w:rPr>
          <w:rFonts w:ascii="Arial" w:eastAsia="Arial" w:hAnsi="Arial" w:cs="Arial"/>
          <w:sz w:val="24"/>
          <w:szCs w:val="24"/>
          <w:lang w:val="es-ES" w:eastAsia="es-ES" w:bidi="es-ES"/>
        </w:rPr>
        <w:t>19,</w:t>
      </w:r>
      <w:r w:rsidRPr="009D1AEF">
        <w:rPr>
          <w:rFonts w:ascii="Arial" w:eastAsia="Arial" w:hAnsi="Arial" w:cs="Arial"/>
          <w:spacing w:val="-7"/>
          <w:sz w:val="24"/>
          <w:szCs w:val="24"/>
          <w:lang w:val="es-ES" w:eastAsia="es-ES" w:bidi="es-ES"/>
        </w:rPr>
        <w:t xml:space="preserve"> </w:t>
      </w:r>
      <w:r w:rsidRPr="009D1AEF">
        <w:rPr>
          <w:rFonts w:ascii="Arial" w:eastAsia="Arial" w:hAnsi="Arial" w:cs="Arial"/>
          <w:sz w:val="24"/>
          <w:szCs w:val="24"/>
          <w:lang w:val="es-ES" w:eastAsia="es-ES" w:bidi="es-ES"/>
        </w:rPr>
        <w:t>fracción</w:t>
      </w:r>
      <w:r w:rsidRPr="009D1AEF">
        <w:rPr>
          <w:rFonts w:ascii="Arial" w:eastAsia="Arial" w:hAnsi="Arial" w:cs="Arial"/>
          <w:spacing w:val="-11"/>
          <w:sz w:val="24"/>
          <w:szCs w:val="24"/>
          <w:lang w:val="es-ES" w:eastAsia="es-ES" w:bidi="es-ES"/>
        </w:rPr>
        <w:t xml:space="preserve"> </w:t>
      </w:r>
      <w:r w:rsidRPr="009D1AEF">
        <w:rPr>
          <w:rFonts w:ascii="Arial" w:eastAsia="Arial" w:hAnsi="Arial" w:cs="Arial"/>
          <w:sz w:val="24"/>
          <w:szCs w:val="24"/>
          <w:lang w:val="es-ES" w:eastAsia="es-ES" w:bidi="es-ES"/>
        </w:rPr>
        <w:t>VII,</w:t>
      </w:r>
      <w:r w:rsidRPr="009D1AEF">
        <w:rPr>
          <w:rFonts w:ascii="Arial" w:eastAsia="Arial" w:hAnsi="Arial" w:cs="Arial"/>
          <w:spacing w:val="-8"/>
          <w:sz w:val="24"/>
          <w:szCs w:val="24"/>
          <w:lang w:val="es-ES" w:eastAsia="es-ES" w:bidi="es-ES"/>
        </w:rPr>
        <w:t xml:space="preserve"> </w:t>
      </w:r>
      <w:r w:rsidRPr="009D1AEF">
        <w:rPr>
          <w:rFonts w:ascii="Arial" w:eastAsia="Arial" w:hAnsi="Arial" w:cs="Arial"/>
          <w:sz w:val="24"/>
          <w:szCs w:val="24"/>
          <w:lang w:val="es-ES" w:eastAsia="es-ES" w:bidi="es-ES"/>
        </w:rPr>
        <w:t>de</w:t>
      </w:r>
      <w:r w:rsidRPr="009D1AEF">
        <w:rPr>
          <w:rFonts w:ascii="Arial" w:eastAsia="Arial" w:hAnsi="Arial" w:cs="Arial"/>
          <w:spacing w:val="-10"/>
          <w:sz w:val="24"/>
          <w:szCs w:val="24"/>
          <w:lang w:val="es-ES" w:eastAsia="es-ES" w:bidi="es-ES"/>
        </w:rPr>
        <w:t xml:space="preserve"> </w:t>
      </w:r>
      <w:r w:rsidRPr="009D1AEF">
        <w:rPr>
          <w:rFonts w:ascii="Arial" w:eastAsia="Arial" w:hAnsi="Arial" w:cs="Arial"/>
          <w:sz w:val="24"/>
          <w:szCs w:val="24"/>
          <w:lang w:val="es-ES" w:eastAsia="es-ES" w:bidi="es-ES"/>
        </w:rPr>
        <w:t>la</w:t>
      </w:r>
      <w:r w:rsidRPr="009D1AEF">
        <w:rPr>
          <w:rFonts w:ascii="Arial" w:eastAsia="Arial" w:hAnsi="Arial" w:cs="Arial"/>
          <w:spacing w:val="-7"/>
          <w:sz w:val="24"/>
          <w:szCs w:val="24"/>
          <w:lang w:val="es-ES" w:eastAsia="es-ES" w:bidi="es-ES"/>
        </w:rPr>
        <w:t xml:space="preserve"> </w:t>
      </w:r>
      <w:r w:rsidRPr="009D1AEF">
        <w:rPr>
          <w:rFonts w:ascii="Arial" w:eastAsia="Arial" w:hAnsi="Arial" w:cs="Arial"/>
          <w:sz w:val="24"/>
          <w:szCs w:val="24"/>
          <w:lang w:val="es-ES" w:eastAsia="es-ES" w:bidi="es-ES"/>
        </w:rPr>
        <w:t>Ley</w:t>
      </w:r>
      <w:r w:rsidRPr="009D1AEF">
        <w:rPr>
          <w:rFonts w:ascii="Arial" w:eastAsia="Arial" w:hAnsi="Arial" w:cs="Arial"/>
          <w:spacing w:val="-9"/>
          <w:sz w:val="24"/>
          <w:szCs w:val="24"/>
          <w:lang w:val="es-ES" w:eastAsia="es-ES" w:bidi="es-ES"/>
        </w:rPr>
        <w:t xml:space="preserve"> </w:t>
      </w:r>
      <w:r w:rsidRPr="009D1AEF">
        <w:rPr>
          <w:rFonts w:ascii="Arial" w:eastAsia="Arial" w:hAnsi="Arial" w:cs="Arial"/>
          <w:sz w:val="24"/>
          <w:szCs w:val="24"/>
          <w:lang w:val="es-ES" w:eastAsia="es-ES" w:bidi="es-ES"/>
        </w:rPr>
        <w:t>de</w:t>
      </w:r>
      <w:r w:rsidRPr="009D1AEF">
        <w:rPr>
          <w:rFonts w:ascii="Arial" w:eastAsia="Arial" w:hAnsi="Arial" w:cs="Arial"/>
          <w:spacing w:val="-10"/>
          <w:sz w:val="24"/>
          <w:szCs w:val="24"/>
          <w:lang w:val="es-ES" w:eastAsia="es-ES" w:bidi="es-ES"/>
        </w:rPr>
        <w:t xml:space="preserve"> </w:t>
      </w:r>
      <w:r w:rsidRPr="009D1AEF">
        <w:rPr>
          <w:rFonts w:ascii="Arial" w:eastAsia="Arial" w:hAnsi="Arial" w:cs="Arial"/>
          <w:sz w:val="24"/>
          <w:szCs w:val="24"/>
          <w:lang w:val="es-ES" w:eastAsia="es-ES" w:bidi="es-ES"/>
        </w:rPr>
        <w:t>Fiscalización</w:t>
      </w:r>
      <w:r w:rsidRPr="009D1AEF">
        <w:rPr>
          <w:rFonts w:ascii="Arial" w:eastAsia="Arial" w:hAnsi="Arial" w:cs="Arial"/>
          <w:spacing w:val="-11"/>
          <w:sz w:val="24"/>
          <w:szCs w:val="24"/>
          <w:lang w:val="es-ES" w:eastAsia="es-ES" w:bidi="es-ES"/>
        </w:rPr>
        <w:t xml:space="preserve"> </w:t>
      </w:r>
      <w:r w:rsidRPr="009D1AEF">
        <w:rPr>
          <w:rFonts w:ascii="Arial" w:eastAsia="Arial" w:hAnsi="Arial" w:cs="Arial"/>
          <w:sz w:val="24"/>
          <w:szCs w:val="24"/>
          <w:lang w:val="es-ES" w:eastAsia="es-ES" w:bidi="es-ES"/>
        </w:rPr>
        <w:t>y</w:t>
      </w:r>
      <w:r w:rsidRPr="009D1AEF">
        <w:rPr>
          <w:rFonts w:ascii="Arial" w:eastAsia="Arial" w:hAnsi="Arial" w:cs="Arial"/>
          <w:spacing w:val="-8"/>
          <w:sz w:val="24"/>
          <w:szCs w:val="24"/>
          <w:lang w:val="es-ES" w:eastAsia="es-ES" w:bidi="es-ES"/>
        </w:rPr>
        <w:t xml:space="preserve"> </w:t>
      </w:r>
      <w:r w:rsidRPr="009D1AEF">
        <w:rPr>
          <w:rFonts w:ascii="Arial" w:eastAsia="Arial" w:hAnsi="Arial" w:cs="Arial"/>
          <w:sz w:val="24"/>
          <w:szCs w:val="24"/>
          <w:lang w:val="es-ES" w:eastAsia="es-ES" w:bidi="es-ES"/>
        </w:rPr>
        <w:t>Rendición</w:t>
      </w:r>
      <w:r w:rsidRPr="009D1AEF">
        <w:rPr>
          <w:rFonts w:ascii="Arial" w:eastAsia="Arial" w:hAnsi="Arial" w:cs="Arial"/>
          <w:spacing w:val="-11"/>
          <w:sz w:val="24"/>
          <w:szCs w:val="24"/>
          <w:lang w:val="es-ES" w:eastAsia="es-ES" w:bidi="es-ES"/>
        </w:rPr>
        <w:t xml:space="preserve"> </w:t>
      </w:r>
      <w:r w:rsidRPr="009D1AEF">
        <w:rPr>
          <w:rFonts w:ascii="Arial" w:eastAsia="Arial" w:hAnsi="Arial" w:cs="Arial"/>
          <w:sz w:val="24"/>
          <w:szCs w:val="24"/>
          <w:lang w:val="es-ES" w:eastAsia="es-ES" w:bidi="es-ES"/>
        </w:rPr>
        <w:t>de</w:t>
      </w:r>
      <w:r w:rsidRPr="009D1AEF">
        <w:rPr>
          <w:rFonts w:ascii="Arial" w:eastAsia="Arial" w:hAnsi="Arial" w:cs="Arial"/>
          <w:spacing w:val="-7"/>
          <w:sz w:val="24"/>
          <w:szCs w:val="24"/>
          <w:lang w:val="es-ES" w:eastAsia="es-ES" w:bidi="es-ES"/>
        </w:rPr>
        <w:t xml:space="preserve"> </w:t>
      </w:r>
      <w:r w:rsidRPr="009D1AEF">
        <w:rPr>
          <w:rFonts w:ascii="Arial" w:eastAsia="Arial" w:hAnsi="Arial" w:cs="Arial"/>
          <w:sz w:val="24"/>
          <w:szCs w:val="24"/>
          <w:lang w:val="es-ES" w:eastAsia="es-ES" w:bidi="es-ES"/>
        </w:rPr>
        <w:t>Cuentas</w:t>
      </w:r>
      <w:r w:rsidRPr="009D1AEF">
        <w:rPr>
          <w:rFonts w:ascii="Arial" w:eastAsia="Arial" w:hAnsi="Arial" w:cs="Arial"/>
          <w:spacing w:val="-8"/>
          <w:sz w:val="24"/>
          <w:szCs w:val="24"/>
          <w:lang w:val="es-ES" w:eastAsia="es-ES" w:bidi="es-ES"/>
        </w:rPr>
        <w:t xml:space="preserve"> </w:t>
      </w:r>
      <w:r w:rsidRPr="009D1AEF">
        <w:rPr>
          <w:rFonts w:ascii="Arial" w:eastAsia="Arial" w:hAnsi="Arial" w:cs="Arial"/>
          <w:sz w:val="24"/>
          <w:szCs w:val="24"/>
          <w:lang w:val="es-ES" w:eastAsia="es-ES" w:bidi="es-ES"/>
        </w:rPr>
        <w:t>del</w:t>
      </w:r>
      <w:r w:rsidRPr="009D1AEF">
        <w:rPr>
          <w:rFonts w:ascii="Arial" w:eastAsia="Arial" w:hAnsi="Arial" w:cs="Arial"/>
          <w:spacing w:val="-11"/>
          <w:sz w:val="24"/>
          <w:szCs w:val="24"/>
          <w:lang w:val="es-ES" w:eastAsia="es-ES" w:bidi="es-ES"/>
        </w:rPr>
        <w:t xml:space="preserve"> </w:t>
      </w:r>
      <w:r w:rsidRPr="009D1AEF">
        <w:rPr>
          <w:rFonts w:ascii="Arial" w:eastAsia="Arial" w:hAnsi="Arial" w:cs="Arial"/>
          <w:sz w:val="24"/>
          <w:szCs w:val="24"/>
          <w:lang w:val="es-ES" w:eastAsia="es-ES" w:bidi="es-ES"/>
        </w:rPr>
        <w:t>Estado de Quintana Roo, la Auditoría Superior del Estado de Quintana Roo revisa la gestión financiera de los recursos provenientes de financiamientos contratados por el estado y los municipios que lo</w:t>
      </w:r>
      <w:r w:rsidRPr="009D1AEF">
        <w:rPr>
          <w:rFonts w:ascii="Arial" w:eastAsia="Arial" w:hAnsi="Arial" w:cs="Arial"/>
          <w:spacing w:val="-2"/>
          <w:sz w:val="24"/>
          <w:szCs w:val="24"/>
          <w:lang w:val="es-ES" w:eastAsia="es-ES" w:bidi="es-ES"/>
        </w:rPr>
        <w:t xml:space="preserve"> </w:t>
      </w:r>
      <w:r w:rsidRPr="009D1AEF">
        <w:rPr>
          <w:rFonts w:ascii="Arial" w:eastAsia="Arial" w:hAnsi="Arial" w:cs="Arial"/>
          <w:sz w:val="24"/>
          <w:szCs w:val="24"/>
          <w:lang w:val="es-ES" w:eastAsia="es-ES" w:bidi="es-ES"/>
        </w:rPr>
        <w:t>integran.</w:t>
      </w:r>
    </w:p>
    <w:p w14:paraId="2944D9A0" w14:textId="77777777" w:rsidR="009D1AEF" w:rsidRPr="009D1AEF" w:rsidRDefault="009D1AEF" w:rsidP="009D1AEF">
      <w:pPr>
        <w:widowControl w:val="0"/>
        <w:tabs>
          <w:tab w:val="left" w:pos="9356"/>
        </w:tabs>
        <w:autoSpaceDE w:val="0"/>
        <w:autoSpaceDN w:val="0"/>
        <w:spacing w:before="162" w:after="0" w:line="276" w:lineRule="auto"/>
        <w:ind w:left="283"/>
        <w:jc w:val="both"/>
        <w:rPr>
          <w:rFonts w:ascii="Arial" w:eastAsia="Arial" w:hAnsi="Arial" w:cs="Arial"/>
          <w:sz w:val="24"/>
          <w:szCs w:val="24"/>
          <w:lang w:val="es-ES" w:eastAsia="es-ES" w:bidi="es-ES"/>
        </w:rPr>
      </w:pPr>
      <w:r w:rsidRPr="009D1AEF">
        <w:rPr>
          <w:rFonts w:ascii="Arial" w:eastAsia="Arial" w:hAnsi="Arial" w:cs="Arial"/>
          <w:sz w:val="24"/>
          <w:szCs w:val="24"/>
          <w:lang w:val="es-ES" w:eastAsia="es-ES" w:bidi="es-ES"/>
        </w:rPr>
        <w:t>A continuación, se presenta el resultado del análisis general y agregado de la dinámica de la deuda pública de la Comisión de Agua Potable y Alcantarillado del Estado de Quintana Roo, registrada en la Secretaría de Finanzas y Planeación el 26/11/2015 y</w:t>
      </w:r>
      <w:r w:rsidRPr="009D1AEF">
        <w:rPr>
          <w:rFonts w:ascii="Arial" w:eastAsia="Arial" w:hAnsi="Arial" w:cs="Arial"/>
          <w:spacing w:val="-44"/>
          <w:sz w:val="24"/>
          <w:szCs w:val="24"/>
          <w:lang w:val="es-ES" w:eastAsia="es-ES" w:bidi="es-ES"/>
        </w:rPr>
        <w:t xml:space="preserve"> </w:t>
      </w:r>
      <w:r w:rsidRPr="009D1AEF">
        <w:rPr>
          <w:rFonts w:ascii="Arial" w:eastAsia="Arial" w:hAnsi="Arial" w:cs="Arial"/>
          <w:sz w:val="24"/>
          <w:szCs w:val="24"/>
          <w:lang w:val="es-ES" w:eastAsia="es-ES" w:bidi="es-ES"/>
        </w:rPr>
        <w:t>con número RUOE-016/2015, así como los resultados de las auditorías practicadas por la Auditoría Superior del Estado de Quintana Roo al</w:t>
      </w:r>
      <w:r w:rsidRPr="009D1AEF">
        <w:rPr>
          <w:rFonts w:ascii="Arial" w:eastAsia="Arial" w:hAnsi="Arial" w:cs="Arial"/>
          <w:spacing w:val="-4"/>
          <w:sz w:val="24"/>
          <w:szCs w:val="24"/>
          <w:lang w:val="es-ES" w:eastAsia="es-ES" w:bidi="es-ES"/>
        </w:rPr>
        <w:t xml:space="preserve"> </w:t>
      </w:r>
      <w:r w:rsidRPr="009D1AEF">
        <w:rPr>
          <w:rFonts w:ascii="Arial" w:eastAsia="Arial" w:hAnsi="Arial" w:cs="Arial"/>
          <w:sz w:val="24"/>
          <w:szCs w:val="24"/>
          <w:lang w:val="es-ES" w:eastAsia="es-ES" w:bidi="es-ES"/>
        </w:rPr>
        <w:t>respecto.</w:t>
      </w:r>
    </w:p>
    <w:p w14:paraId="515D9DE0" w14:textId="77777777" w:rsidR="009D1AEF" w:rsidRPr="009D1AEF" w:rsidRDefault="009D1AEF" w:rsidP="009D1AEF">
      <w:pPr>
        <w:widowControl w:val="0"/>
        <w:tabs>
          <w:tab w:val="left" w:pos="9356"/>
        </w:tabs>
        <w:autoSpaceDE w:val="0"/>
        <w:autoSpaceDN w:val="0"/>
        <w:spacing w:before="162" w:after="0" w:line="276" w:lineRule="auto"/>
        <w:ind w:left="283"/>
        <w:jc w:val="both"/>
        <w:rPr>
          <w:rFonts w:ascii="Arial" w:eastAsia="Arial" w:hAnsi="Arial" w:cs="Arial"/>
          <w:sz w:val="24"/>
          <w:szCs w:val="24"/>
          <w:lang w:val="es-ES" w:eastAsia="es-ES" w:bidi="es-ES"/>
        </w:rPr>
      </w:pPr>
    </w:p>
    <w:p w14:paraId="0F7E708C" w14:textId="77777777" w:rsidR="009D1AEF" w:rsidRPr="009D1AEF" w:rsidRDefault="009D1AEF" w:rsidP="009D1AEF">
      <w:pPr>
        <w:keepNext/>
        <w:keepLines/>
        <w:spacing w:before="40" w:after="0"/>
        <w:ind w:left="284"/>
        <w:outlineLvl w:val="3"/>
        <w:rPr>
          <w:rFonts w:ascii="Arial" w:eastAsiaTheme="majorEastAsia" w:hAnsi="Arial" w:cs="Arial"/>
          <w:b/>
          <w:iCs/>
          <w:sz w:val="24"/>
          <w:lang w:val="es-ES" w:eastAsia="es-ES" w:bidi="es-ES"/>
        </w:rPr>
      </w:pPr>
      <w:r w:rsidRPr="009D1AEF">
        <w:rPr>
          <w:rFonts w:ascii="Arial" w:eastAsiaTheme="majorEastAsia" w:hAnsi="Arial" w:cs="Arial"/>
          <w:b/>
          <w:iCs/>
          <w:sz w:val="24"/>
          <w:lang w:val="es-ES" w:eastAsia="es-ES" w:bidi="es-ES"/>
        </w:rPr>
        <w:lastRenderedPageBreak/>
        <w:t>I.I.- Deuda Pública Contratada</w:t>
      </w:r>
    </w:p>
    <w:p w14:paraId="00B059FE" w14:textId="77777777" w:rsidR="009D1AEF" w:rsidRPr="009D1AEF" w:rsidRDefault="009D1AEF" w:rsidP="009D1AEF">
      <w:pPr>
        <w:widowControl w:val="0"/>
        <w:tabs>
          <w:tab w:val="left" w:pos="9356"/>
        </w:tabs>
        <w:autoSpaceDE w:val="0"/>
        <w:autoSpaceDN w:val="0"/>
        <w:spacing w:after="0" w:line="240" w:lineRule="auto"/>
        <w:ind w:left="-142"/>
        <w:rPr>
          <w:rFonts w:ascii="Arial" w:eastAsia="Arial" w:hAnsi="Arial" w:cs="Arial"/>
          <w:b/>
          <w:sz w:val="26"/>
          <w:szCs w:val="24"/>
          <w:lang w:val="es-ES" w:eastAsia="es-ES" w:bidi="es-ES"/>
        </w:rPr>
      </w:pPr>
    </w:p>
    <w:p w14:paraId="0879226B" w14:textId="77777777" w:rsidR="009D1AEF" w:rsidRPr="009D1AEF" w:rsidRDefault="009D1AEF" w:rsidP="009D1AEF">
      <w:pPr>
        <w:widowControl w:val="0"/>
        <w:tabs>
          <w:tab w:val="left" w:pos="9356"/>
        </w:tabs>
        <w:autoSpaceDE w:val="0"/>
        <w:autoSpaceDN w:val="0"/>
        <w:spacing w:after="0" w:line="276" w:lineRule="auto"/>
        <w:ind w:left="284"/>
        <w:jc w:val="both"/>
        <w:rPr>
          <w:rFonts w:ascii="Arial" w:eastAsia="Arial" w:hAnsi="Arial" w:cs="Arial"/>
          <w:sz w:val="24"/>
          <w:szCs w:val="24"/>
          <w:lang w:val="es-ES" w:eastAsia="es-ES" w:bidi="es-ES"/>
        </w:rPr>
      </w:pPr>
      <w:r w:rsidRPr="009D1AEF">
        <w:rPr>
          <w:rFonts w:ascii="Arial" w:eastAsia="Arial" w:hAnsi="Arial" w:cs="Arial"/>
          <w:sz w:val="24"/>
          <w:szCs w:val="24"/>
          <w:lang w:val="es-ES" w:eastAsia="es-ES" w:bidi="es-ES"/>
        </w:rPr>
        <w:t>Durante el ejercicio fiscal 2022, no se efectuó contratación de financiamientos a corto y largo plazo por parte de la Comisión de Agua Potable y Alcantarillado del Estado de Quintana Roo, únicamente se realizó el pago de intereses y amortizaciones de capital a financiamientos contratados en ejercicios anteriores. Cabe hacer mención que el 15 de octubre de 2015, se autorizó por parte de la XIV Legislatura del Congreso del Estado de Quintana Roo, la contratación de uno o varios créditos con una o más instituciones bancarias hasta por un monto total de $560,000,000.00 (Son: quinientos sesenta millones de pesos 00/100 moneda nacional), llevándose a cabo todos los procedimientos y a partir de diciembre de 2015 se realizó la disposición de los recursos derivados de la contratación del crédito.</w:t>
      </w:r>
    </w:p>
    <w:p w14:paraId="2A2A1EBE" w14:textId="77777777" w:rsidR="009D1AEF" w:rsidRPr="009D1AEF" w:rsidRDefault="009D1AEF" w:rsidP="009D1AEF">
      <w:pPr>
        <w:widowControl w:val="0"/>
        <w:tabs>
          <w:tab w:val="left" w:pos="9356"/>
        </w:tabs>
        <w:autoSpaceDE w:val="0"/>
        <w:autoSpaceDN w:val="0"/>
        <w:spacing w:after="0" w:line="276" w:lineRule="auto"/>
        <w:ind w:left="567"/>
        <w:jc w:val="both"/>
        <w:rPr>
          <w:rFonts w:ascii="Arial" w:eastAsia="Arial" w:hAnsi="Arial" w:cs="Arial"/>
          <w:sz w:val="24"/>
          <w:szCs w:val="24"/>
          <w:lang w:val="es-ES" w:eastAsia="es-ES" w:bidi="es-ES"/>
        </w:rPr>
      </w:pPr>
    </w:p>
    <w:p w14:paraId="2CEA2306" w14:textId="77777777" w:rsidR="009D1AEF" w:rsidRPr="009D1AEF" w:rsidRDefault="009D1AEF" w:rsidP="009D1AEF">
      <w:pPr>
        <w:keepNext/>
        <w:keepLines/>
        <w:spacing w:before="40" w:after="0"/>
        <w:ind w:left="284"/>
        <w:outlineLvl w:val="3"/>
        <w:rPr>
          <w:rFonts w:ascii="Arial" w:eastAsiaTheme="majorEastAsia" w:hAnsi="Arial" w:cs="Arial"/>
          <w:b/>
          <w:iCs/>
          <w:sz w:val="24"/>
          <w:lang w:val="es-ES" w:eastAsia="es-ES" w:bidi="es-ES"/>
        </w:rPr>
      </w:pPr>
      <w:r w:rsidRPr="009D1AEF">
        <w:rPr>
          <w:rFonts w:ascii="Arial" w:eastAsiaTheme="majorEastAsia" w:hAnsi="Arial" w:cs="Arial"/>
          <w:b/>
          <w:iCs/>
          <w:sz w:val="24"/>
          <w:lang w:val="es-ES" w:eastAsia="es-ES" w:bidi="es-ES"/>
        </w:rPr>
        <w:t>I.II.- Deuda Pública Estatal Fiscalizada</w:t>
      </w:r>
    </w:p>
    <w:p w14:paraId="2D4E5DA8" w14:textId="77777777" w:rsidR="009D1AEF" w:rsidRPr="009D1AEF" w:rsidRDefault="009D1AEF" w:rsidP="009D1AEF">
      <w:pPr>
        <w:widowControl w:val="0"/>
        <w:tabs>
          <w:tab w:val="left" w:pos="9356"/>
        </w:tabs>
        <w:autoSpaceDE w:val="0"/>
        <w:autoSpaceDN w:val="0"/>
        <w:spacing w:after="0" w:line="240" w:lineRule="auto"/>
        <w:ind w:left="567"/>
        <w:rPr>
          <w:rFonts w:ascii="Arial" w:eastAsia="Arial" w:hAnsi="Arial" w:cs="Arial"/>
          <w:b/>
          <w:sz w:val="26"/>
          <w:szCs w:val="24"/>
          <w:lang w:val="es-ES" w:eastAsia="es-ES" w:bidi="es-ES"/>
        </w:rPr>
      </w:pPr>
    </w:p>
    <w:p w14:paraId="326BC844" w14:textId="77777777" w:rsidR="009D1AEF" w:rsidRPr="009D1AEF" w:rsidRDefault="009D1AEF" w:rsidP="009D1AEF">
      <w:pPr>
        <w:widowControl w:val="0"/>
        <w:tabs>
          <w:tab w:val="left" w:pos="9356"/>
        </w:tabs>
        <w:autoSpaceDE w:val="0"/>
        <w:autoSpaceDN w:val="0"/>
        <w:spacing w:after="0" w:line="276" w:lineRule="auto"/>
        <w:ind w:left="284"/>
        <w:jc w:val="both"/>
        <w:rPr>
          <w:rFonts w:ascii="Arial" w:eastAsia="Arial" w:hAnsi="Arial" w:cs="Arial"/>
          <w:sz w:val="24"/>
          <w:szCs w:val="24"/>
          <w:lang w:val="es-ES" w:eastAsia="es-ES" w:bidi="es-ES"/>
        </w:rPr>
      </w:pPr>
      <w:r w:rsidRPr="009D1AEF">
        <w:rPr>
          <w:rFonts w:ascii="Arial" w:eastAsia="Arial" w:hAnsi="Arial" w:cs="Arial"/>
          <w:sz w:val="24"/>
          <w:szCs w:val="24"/>
          <w:lang w:val="es-ES" w:eastAsia="es-ES" w:bidi="es-ES"/>
        </w:rPr>
        <w:t>En el ejercicio fiscal 2022 se practicó una Auditoría de Deuda Pública, correspondiente al Cumplimiento Financiero de Financiamientos, Otras Obligaciones y Empréstitos, a largo plazo. Derivado de la auditoría realizada, se obtuvieron los siguientes resultados:</w:t>
      </w:r>
    </w:p>
    <w:p w14:paraId="6BEEACCF" w14:textId="77777777" w:rsidR="009D1AEF" w:rsidRPr="009D1AEF" w:rsidRDefault="009D1AEF" w:rsidP="009D1AEF">
      <w:pPr>
        <w:widowControl w:val="0"/>
        <w:numPr>
          <w:ilvl w:val="0"/>
          <w:numId w:val="7"/>
        </w:numPr>
        <w:autoSpaceDE w:val="0"/>
        <w:autoSpaceDN w:val="0"/>
        <w:spacing w:before="92" w:after="0" w:line="240" w:lineRule="auto"/>
        <w:contextualSpacing/>
        <w:outlineLvl w:val="3"/>
        <w:rPr>
          <w:rFonts w:ascii="Arial" w:eastAsia="Arial" w:hAnsi="Arial" w:cs="Arial"/>
          <w:b/>
          <w:bCs/>
          <w:sz w:val="24"/>
          <w:szCs w:val="24"/>
          <w:lang w:val="es-ES" w:eastAsia="es-ES" w:bidi="es-ES"/>
        </w:rPr>
      </w:pPr>
      <w:r w:rsidRPr="009D1AEF">
        <w:rPr>
          <w:rFonts w:ascii="Arial" w:eastAsia="Arial" w:hAnsi="Arial" w:cs="Arial"/>
          <w:b/>
          <w:bCs/>
          <w:sz w:val="24"/>
          <w:szCs w:val="24"/>
          <w:lang w:val="es-ES" w:eastAsia="es-ES" w:bidi="es-ES"/>
        </w:rPr>
        <w:t>Deuda Pública Largo Plazo:</w:t>
      </w:r>
    </w:p>
    <w:p w14:paraId="3E686A10" w14:textId="77777777" w:rsidR="009D1AEF" w:rsidRPr="009D1AEF" w:rsidRDefault="009D1AEF" w:rsidP="009D1AEF">
      <w:pPr>
        <w:widowControl w:val="0"/>
        <w:autoSpaceDE w:val="0"/>
        <w:autoSpaceDN w:val="0"/>
        <w:spacing w:before="6" w:after="0" w:line="240" w:lineRule="auto"/>
        <w:ind w:left="-142"/>
        <w:rPr>
          <w:rFonts w:ascii="Arial" w:eastAsia="Arial" w:hAnsi="Arial" w:cs="Arial"/>
          <w:b/>
          <w:sz w:val="17"/>
          <w:szCs w:val="24"/>
          <w:lang w:val="es-ES" w:eastAsia="es-ES" w:bidi="es-ES"/>
        </w:rPr>
      </w:pPr>
    </w:p>
    <w:tbl>
      <w:tblPr>
        <w:tblW w:w="5000" w:type="pct"/>
        <w:tblBorders>
          <w:top w:val="single" w:sz="6" w:space="0" w:color="C9C9C9" w:themeColor="accent3" w:themeTint="99"/>
          <w:left w:val="single" w:sz="6" w:space="0" w:color="C9C9C9" w:themeColor="accent3" w:themeTint="99"/>
          <w:bottom w:val="single" w:sz="6" w:space="0" w:color="C9C9C9" w:themeColor="accent3" w:themeTint="99"/>
          <w:right w:val="single" w:sz="6" w:space="0" w:color="C9C9C9" w:themeColor="accent3" w:themeTint="99"/>
          <w:insideH w:val="single" w:sz="6" w:space="0" w:color="C9C9C9" w:themeColor="accent3" w:themeTint="99"/>
          <w:insideV w:val="single" w:sz="6" w:space="0" w:color="C9C9C9" w:themeColor="accent3" w:themeTint="99"/>
        </w:tblBorders>
        <w:tblLook w:val="01E0" w:firstRow="1" w:lastRow="1" w:firstColumn="1" w:lastColumn="1" w:noHBand="0" w:noVBand="0"/>
      </w:tblPr>
      <w:tblGrid>
        <w:gridCol w:w="751"/>
        <w:gridCol w:w="839"/>
        <w:gridCol w:w="833"/>
        <w:gridCol w:w="865"/>
        <w:gridCol w:w="967"/>
        <w:gridCol w:w="967"/>
        <w:gridCol w:w="1038"/>
        <w:gridCol w:w="656"/>
        <w:gridCol w:w="794"/>
        <w:gridCol w:w="1112"/>
      </w:tblGrid>
      <w:tr w:rsidR="009D1AEF" w:rsidRPr="009D1AEF" w14:paraId="15B7166A" w14:textId="77777777" w:rsidTr="009D1AEF">
        <w:trPr>
          <w:trHeight w:val="814"/>
        </w:trPr>
        <w:tc>
          <w:tcPr>
            <w:tcW w:w="447" w:type="pct"/>
            <w:tcBorders>
              <w:top w:val="single" w:sz="6" w:space="0" w:color="BFBFBF" w:themeColor="background1" w:themeShade="BF"/>
              <w:left w:val="single" w:sz="6" w:space="0" w:color="BFBFBF" w:themeColor="background1" w:themeShade="BF"/>
              <w:bottom w:val="single" w:sz="4" w:space="0" w:color="BFBFBF"/>
              <w:right w:val="single" w:sz="6" w:space="0" w:color="FFFFFF" w:themeColor="background1"/>
            </w:tcBorders>
            <w:shd w:val="clear" w:color="auto" w:fill="A5A5A5" w:themeFill="accent3"/>
            <w:vAlign w:val="center"/>
          </w:tcPr>
          <w:p w14:paraId="46B9B66A" w14:textId="77777777" w:rsidR="009D1AEF" w:rsidRPr="009D1AEF" w:rsidRDefault="009D1AEF" w:rsidP="009D1AEF">
            <w:pPr>
              <w:widowControl w:val="0"/>
              <w:autoSpaceDE w:val="0"/>
              <w:autoSpaceDN w:val="0"/>
              <w:spacing w:after="0" w:line="240" w:lineRule="auto"/>
              <w:jc w:val="center"/>
              <w:rPr>
                <w:rFonts w:ascii="Arial" w:eastAsia="Arial" w:hAnsi="Arial" w:cs="Arial"/>
                <w:b/>
                <w:color w:val="FFFFFF" w:themeColor="background1"/>
                <w:sz w:val="10"/>
                <w:lang w:val="es-ES" w:eastAsia="es-ES" w:bidi="es-ES"/>
              </w:rPr>
            </w:pPr>
            <w:r w:rsidRPr="009D1AEF">
              <w:rPr>
                <w:rFonts w:ascii="Arial" w:eastAsia="Arial" w:hAnsi="Arial" w:cs="Arial"/>
                <w:b/>
                <w:color w:val="FFFFFF" w:themeColor="background1"/>
                <w:sz w:val="10"/>
                <w:lang w:val="es-ES" w:eastAsia="es-ES" w:bidi="es-ES"/>
              </w:rPr>
              <w:t>Registro</w:t>
            </w:r>
          </w:p>
        </w:tc>
        <w:tc>
          <w:tcPr>
            <w:tcW w:w="442" w:type="pct"/>
            <w:tcBorders>
              <w:top w:val="single" w:sz="6" w:space="0" w:color="BFBFBF" w:themeColor="background1" w:themeShade="BF"/>
              <w:left w:val="single" w:sz="6" w:space="0" w:color="FFFFFF" w:themeColor="background1"/>
              <w:bottom w:val="single" w:sz="4" w:space="0" w:color="BFBFBF"/>
              <w:right w:val="single" w:sz="6" w:space="0" w:color="FFFFFF" w:themeColor="background1"/>
            </w:tcBorders>
            <w:shd w:val="clear" w:color="auto" w:fill="A5A5A5" w:themeFill="accent3"/>
            <w:vAlign w:val="center"/>
          </w:tcPr>
          <w:p w14:paraId="5D97C8BD" w14:textId="77777777" w:rsidR="009D1AEF" w:rsidRPr="009D1AEF" w:rsidRDefault="009D1AEF" w:rsidP="009D1AEF">
            <w:pPr>
              <w:widowControl w:val="0"/>
              <w:autoSpaceDE w:val="0"/>
              <w:autoSpaceDN w:val="0"/>
              <w:spacing w:after="0" w:line="240" w:lineRule="auto"/>
              <w:jc w:val="center"/>
              <w:rPr>
                <w:rFonts w:ascii="Arial" w:eastAsia="Arial" w:hAnsi="Arial" w:cs="Arial"/>
                <w:b/>
                <w:color w:val="FFFFFF" w:themeColor="background1"/>
                <w:sz w:val="10"/>
                <w:lang w:val="es-ES" w:eastAsia="es-ES" w:bidi="es-ES"/>
              </w:rPr>
            </w:pPr>
            <w:r w:rsidRPr="009D1AEF">
              <w:rPr>
                <w:rFonts w:ascii="Arial" w:eastAsia="Arial" w:hAnsi="Arial" w:cs="Arial"/>
                <w:b/>
                <w:color w:val="FFFFFF" w:themeColor="background1"/>
                <w:sz w:val="10"/>
                <w:lang w:val="es-ES" w:eastAsia="es-ES" w:bidi="es-ES"/>
              </w:rPr>
              <w:t>Acreedor</w:t>
            </w:r>
          </w:p>
        </w:tc>
        <w:tc>
          <w:tcPr>
            <w:tcW w:w="439" w:type="pct"/>
            <w:tcBorders>
              <w:top w:val="single" w:sz="6" w:space="0" w:color="BFBFBF" w:themeColor="background1" w:themeShade="BF"/>
              <w:left w:val="single" w:sz="6" w:space="0" w:color="FFFFFF" w:themeColor="background1"/>
              <w:bottom w:val="single" w:sz="4" w:space="0" w:color="BFBFBF"/>
              <w:right w:val="single" w:sz="6" w:space="0" w:color="FFFFFF" w:themeColor="background1"/>
            </w:tcBorders>
            <w:shd w:val="clear" w:color="auto" w:fill="A5A5A5" w:themeFill="accent3"/>
            <w:vAlign w:val="center"/>
          </w:tcPr>
          <w:p w14:paraId="22FCD866" w14:textId="77777777" w:rsidR="009D1AEF" w:rsidRPr="009D1AEF" w:rsidRDefault="009D1AEF" w:rsidP="009D1AEF">
            <w:pPr>
              <w:widowControl w:val="0"/>
              <w:autoSpaceDE w:val="0"/>
              <w:autoSpaceDN w:val="0"/>
              <w:spacing w:before="63" w:after="0" w:line="240" w:lineRule="auto"/>
              <w:jc w:val="center"/>
              <w:rPr>
                <w:rFonts w:ascii="Arial" w:eastAsia="Arial" w:hAnsi="Arial" w:cs="Arial"/>
                <w:b/>
                <w:color w:val="FFFFFF" w:themeColor="background1"/>
                <w:sz w:val="10"/>
                <w:lang w:val="es-ES" w:eastAsia="es-ES" w:bidi="es-ES"/>
              </w:rPr>
            </w:pPr>
            <w:r w:rsidRPr="009D1AEF">
              <w:rPr>
                <w:rFonts w:ascii="Arial" w:eastAsia="Arial" w:hAnsi="Arial" w:cs="Arial"/>
                <w:b/>
                <w:color w:val="FFFFFF" w:themeColor="background1"/>
                <w:sz w:val="10"/>
                <w:lang w:val="es-ES" w:eastAsia="es-ES" w:bidi="es-ES"/>
              </w:rPr>
              <w:t>Motivo de su Contratación</w:t>
            </w:r>
          </w:p>
        </w:tc>
        <w:tc>
          <w:tcPr>
            <w:tcW w:w="511" w:type="pct"/>
            <w:tcBorders>
              <w:top w:val="single" w:sz="6" w:space="0" w:color="BFBFBF" w:themeColor="background1" w:themeShade="BF"/>
              <w:left w:val="single" w:sz="6" w:space="0" w:color="FFFFFF" w:themeColor="background1"/>
              <w:bottom w:val="single" w:sz="4" w:space="0" w:color="BFBFBF"/>
              <w:right w:val="single" w:sz="6" w:space="0" w:color="FFFFFF" w:themeColor="background1"/>
            </w:tcBorders>
            <w:shd w:val="clear" w:color="auto" w:fill="A5A5A5" w:themeFill="accent3"/>
            <w:vAlign w:val="center"/>
          </w:tcPr>
          <w:p w14:paraId="59067D72" w14:textId="77777777" w:rsidR="009D1AEF" w:rsidRPr="009D1AEF" w:rsidRDefault="009D1AEF" w:rsidP="009D1AEF">
            <w:pPr>
              <w:widowControl w:val="0"/>
              <w:autoSpaceDE w:val="0"/>
              <w:autoSpaceDN w:val="0"/>
              <w:spacing w:before="63" w:after="0" w:line="240" w:lineRule="auto"/>
              <w:jc w:val="center"/>
              <w:rPr>
                <w:rFonts w:ascii="Arial" w:eastAsia="Arial" w:hAnsi="Arial" w:cs="Arial"/>
                <w:b/>
                <w:color w:val="FFFFFF" w:themeColor="background1"/>
                <w:sz w:val="10"/>
                <w:lang w:val="es-ES" w:eastAsia="es-ES" w:bidi="es-ES"/>
              </w:rPr>
            </w:pPr>
            <w:r w:rsidRPr="009D1AEF">
              <w:rPr>
                <w:rFonts w:ascii="Arial" w:eastAsia="Arial" w:hAnsi="Arial" w:cs="Arial"/>
                <w:b/>
                <w:color w:val="FFFFFF" w:themeColor="background1"/>
                <w:sz w:val="10"/>
                <w:lang w:val="es-ES" w:eastAsia="es-ES" w:bidi="es-ES"/>
              </w:rPr>
              <w:t>Destino final y aplicación</w:t>
            </w:r>
          </w:p>
        </w:tc>
        <w:tc>
          <w:tcPr>
            <w:tcW w:w="514" w:type="pct"/>
            <w:tcBorders>
              <w:top w:val="single" w:sz="6" w:space="0" w:color="BFBFBF" w:themeColor="background1" w:themeShade="BF"/>
              <w:left w:val="single" w:sz="6" w:space="0" w:color="FFFFFF" w:themeColor="background1"/>
              <w:bottom w:val="single" w:sz="4" w:space="0" w:color="BFBFBF"/>
              <w:right w:val="single" w:sz="6" w:space="0" w:color="FFFFFF" w:themeColor="background1"/>
            </w:tcBorders>
            <w:shd w:val="clear" w:color="auto" w:fill="A5A5A5" w:themeFill="accent3"/>
            <w:vAlign w:val="center"/>
          </w:tcPr>
          <w:p w14:paraId="690767B0" w14:textId="77777777" w:rsidR="009D1AEF" w:rsidRPr="009D1AEF" w:rsidRDefault="009D1AEF" w:rsidP="009D1AEF">
            <w:pPr>
              <w:widowControl w:val="0"/>
              <w:autoSpaceDE w:val="0"/>
              <w:autoSpaceDN w:val="0"/>
              <w:spacing w:after="0" w:line="240" w:lineRule="auto"/>
              <w:jc w:val="center"/>
              <w:rPr>
                <w:rFonts w:ascii="Arial" w:eastAsia="Arial" w:hAnsi="Arial" w:cs="Arial"/>
                <w:b/>
                <w:color w:val="FFFFFF" w:themeColor="background1"/>
                <w:sz w:val="10"/>
                <w:lang w:val="es-ES" w:eastAsia="es-ES" w:bidi="es-ES"/>
              </w:rPr>
            </w:pPr>
            <w:r w:rsidRPr="009D1AEF">
              <w:rPr>
                <w:rFonts w:ascii="Arial" w:eastAsia="Arial" w:hAnsi="Arial" w:cs="Arial"/>
                <w:b/>
                <w:color w:val="FFFFFF" w:themeColor="background1"/>
                <w:sz w:val="10"/>
                <w:lang w:val="es-ES" w:eastAsia="es-ES" w:bidi="es-ES"/>
              </w:rPr>
              <w:t>Importe Global</w:t>
            </w:r>
          </w:p>
        </w:tc>
        <w:tc>
          <w:tcPr>
            <w:tcW w:w="549" w:type="pct"/>
            <w:tcBorders>
              <w:top w:val="single" w:sz="6" w:space="0" w:color="BFBFBF" w:themeColor="background1" w:themeShade="BF"/>
              <w:left w:val="single" w:sz="6" w:space="0" w:color="FFFFFF" w:themeColor="background1"/>
              <w:bottom w:val="single" w:sz="4" w:space="0" w:color="BFBFBF"/>
              <w:right w:val="single" w:sz="6" w:space="0" w:color="FFFFFF" w:themeColor="background1"/>
            </w:tcBorders>
            <w:shd w:val="clear" w:color="auto" w:fill="A5A5A5" w:themeFill="accent3"/>
            <w:vAlign w:val="center"/>
          </w:tcPr>
          <w:p w14:paraId="5C21ACA5" w14:textId="77777777" w:rsidR="009D1AEF" w:rsidRPr="009D1AEF" w:rsidRDefault="009D1AEF" w:rsidP="009D1AEF">
            <w:pPr>
              <w:widowControl w:val="0"/>
              <w:autoSpaceDE w:val="0"/>
              <w:autoSpaceDN w:val="0"/>
              <w:spacing w:before="63" w:after="0" w:line="240" w:lineRule="auto"/>
              <w:jc w:val="center"/>
              <w:rPr>
                <w:rFonts w:ascii="Arial" w:eastAsia="Arial" w:hAnsi="Arial" w:cs="Arial"/>
                <w:b/>
                <w:color w:val="FFFFFF" w:themeColor="background1"/>
                <w:sz w:val="10"/>
                <w:lang w:val="es-ES" w:eastAsia="es-ES" w:bidi="es-ES"/>
              </w:rPr>
            </w:pPr>
            <w:r w:rsidRPr="009D1AEF">
              <w:rPr>
                <w:rFonts w:ascii="Arial" w:eastAsia="Arial" w:hAnsi="Arial" w:cs="Arial"/>
                <w:b/>
                <w:color w:val="FFFFFF" w:themeColor="background1"/>
                <w:sz w:val="10"/>
                <w:lang w:val="es-ES" w:eastAsia="es-ES" w:bidi="es-ES"/>
              </w:rPr>
              <w:t>Saldo al 31 de diciembre de 2021</w:t>
            </w:r>
          </w:p>
        </w:tc>
        <w:tc>
          <w:tcPr>
            <w:tcW w:w="629" w:type="pct"/>
            <w:tcBorders>
              <w:top w:val="single" w:sz="6" w:space="0" w:color="BFBFBF" w:themeColor="background1" w:themeShade="BF"/>
              <w:left w:val="single" w:sz="6" w:space="0" w:color="FFFFFF" w:themeColor="background1"/>
              <w:bottom w:val="single" w:sz="4" w:space="0" w:color="BFBFBF"/>
              <w:right w:val="single" w:sz="6" w:space="0" w:color="FFFFFF" w:themeColor="background1"/>
            </w:tcBorders>
            <w:shd w:val="clear" w:color="auto" w:fill="A5A5A5" w:themeFill="accent3"/>
            <w:vAlign w:val="center"/>
          </w:tcPr>
          <w:p w14:paraId="12E90A63" w14:textId="77777777" w:rsidR="009D1AEF" w:rsidRPr="009D1AEF" w:rsidRDefault="009D1AEF" w:rsidP="009D1AEF">
            <w:pPr>
              <w:widowControl w:val="0"/>
              <w:autoSpaceDE w:val="0"/>
              <w:autoSpaceDN w:val="0"/>
              <w:spacing w:before="63" w:after="0" w:line="240" w:lineRule="auto"/>
              <w:ind w:left="45" w:hanging="45"/>
              <w:jc w:val="center"/>
              <w:rPr>
                <w:rFonts w:ascii="Arial" w:eastAsia="Arial" w:hAnsi="Arial" w:cs="Arial"/>
                <w:b/>
                <w:color w:val="FFFFFF" w:themeColor="background1"/>
                <w:sz w:val="10"/>
                <w:lang w:val="es-ES" w:eastAsia="es-ES" w:bidi="es-ES"/>
              </w:rPr>
            </w:pPr>
            <w:r w:rsidRPr="009D1AEF">
              <w:rPr>
                <w:rFonts w:ascii="Arial" w:eastAsia="Arial" w:hAnsi="Arial" w:cs="Arial"/>
                <w:b/>
                <w:color w:val="FFFFFF" w:themeColor="background1"/>
                <w:sz w:val="10"/>
                <w:lang w:val="es-ES" w:eastAsia="es-ES" w:bidi="es-ES"/>
              </w:rPr>
              <w:t>Saldo actual 31/12/2022</w:t>
            </w:r>
          </w:p>
        </w:tc>
        <w:tc>
          <w:tcPr>
            <w:tcW w:w="346" w:type="pct"/>
            <w:tcBorders>
              <w:top w:val="single" w:sz="6" w:space="0" w:color="BFBFBF" w:themeColor="background1" w:themeShade="BF"/>
              <w:left w:val="single" w:sz="6" w:space="0" w:color="FFFFFF" w:themeColor="background1"/>
              <w:bottom w:val="single" w:sz="4" w:space="0" w:color="BFBFBF"/>
              <w:right w:val="single" w:sz="6" w:space="0" w:color="FFFFFF" w:themeColor="background1"/>
            </w:tcBorders>
            <w:shd w:val="clear" w:color="auto" w:fill="A5A5A5" w:themeFill="accent3"/>
            <w:vAlign w:val="center"/>
          </w:tcPr>
          <w:p w14:paraId="114046A5" w14:textId="77777777" w:rsidR="009D1AEF" w:rsidRPr="009D1AEF" w:rsidRDefault="009D1AEF" w:rsidP="009D1AEF">
            <w:pPr>
              <w:widowControl w:val="0"/>
              <w:autoSpaceDE w:val="0"/>
              <w:autoSpaceDN w:val="0"/>
              <w:spacing w:after="0"/>
              <w:jc w:val="center"/>
              <w:rPr>
                <w:rFonts w:ascii="Arial" w:eastAsia="Arial" w:hAnsi="Arial" w:cs="Arial"/>
                <w:b/>
                <w:color w:val="FFFFFF" w:themeColor="background1"/>
                <w:sz w:val="10"/>
                <w:lang w:val="es-ES" w:eastAsia="es-ES" w:bidi="es-ES"/>
              </w:rPr>
            </w:pPr>
            <w:r w:rsidRPr="009D1AEF">
              <w:rPr>
                <w:rFonts w:ascii="Arial" w:eastAsia="Arial" w:hAnsi="Arial" w:cs="Arial"/>
                <w:b/>
                <w:color w:val="FFFFFF" w:themeColor="background1"/>
                <w:sz w:val="10"/>
                <w:lang w:val="es-ES" w:eastAsia="es-ES" w:bidi="es-ES"/>
              </w:rPr>
              <w:t>Tipo de garantía</w:t>
            </w:r>
          </w:p>
        </w:tc>
        <w:tc>
          <w:tcPr>
            <w:tcW w:w="468" w:type="pct"/>
            <w:tcBorders>
              <w:top w:val="single" w:sz="6" w:space="0" w:color="BFBFBF" w:themeColor="background1" w:themeShade="BF"/>
              <w:left w:val="single" w:sz="6" w:space="0" w:color="FFFFFF" w:themeColor="background1"/>
              <w:bottom w:val="single" w:sz="4" w:space="0" w:color="BFBFBF"/>
              <w:right w:val="single" w:sz="6" w:space="0" w:color="FFFFFF" w:themeColor="background1"/>
            </w:tcBorders>
            <w:shd w:val="clear" w:color="auto" w:fill="A5A5A5" w:themeFill="accent3"/>
            <w:vAlign w:val="center"/>
          </w:tcPr>
          <w:p w14:paraId="69E2D0C6" w14:textId="77777777" w:rsidR="009D1AEF" w:rsidRPr="009D1AEF" w:rsidRDefault="009D1AEF" w:rsidP="009D1AEF">
            <w:pPr>
              <w:widowControl w:val="0"/>
              <w:autoSpaceDE w:val="0"/>
              <w:autoSpaceDN w:val="0"/>
              <w:spacing w:after="0"/>
              <w:jc w:val="center"/>
              <w:rPr>
                <w:rFonts w:ascii="Arial" w:eastAsia="Arial" w:hAnsi="Arial" w:cs="Arial"/>
                <w:b/>
                <w:color w:val="FFFFFF" w:themeColor="background1"/>
                <w:sz w:val="10"/>
                <w:lang w:val="es-ES" w:eastAsia="es-ES" w:bidi="es-ES"/>
              </w:rPr>
            </w:pPr>
            <w:r w:rsidRPr="009D1AEF">
              <w:rPr>
                <w:rFonts w:ascii="Arial" w:eastAsia="Arial" w:hAnsi="Arial" w:cs="Arial"/>
                <w:b/>
                <w:color w:val="FFFFFF" w:themeColor="background1"/>
                <w:sz w:val="10"/>
                <w:lang w:val="es-ES" w:eastAsia="es-ES" w:bidi="es-ES"/>
              </w:rPr>
              <w:t>Tipo de Instrumento</w:t>
            </w:r>
          </w:p>
        </w:tc>
        <w:tc>
          <w:tcPr>
            <w:tcW w:w="654" w:type="pct"/>
            <w:tcBorders>
              <w:top w:val="single" w:sz="6" w:space="0" w:color="BFBFBF" w:themeColor="background1" w:themeShade="BF"/>
              <w:left w:val="single" w:sz="6" w:space="0" w:color="FFFFFF" w:themeColor="background1"/>
              <w:bottom w:val="single" w:sz="4" w:space="0" w:color="BFBFBF"/>
              <w:right w:val="single" w:sz="6" w:space="0" w:color="BFBFBF" w:themeColor="background1" w:themeShade="BF"/>
            </w:tcBorders>
            <w:shd w:val="clear" w:color="auto" w:fill="A5A5A5" w:themeFill="accent3"/>
            <w:vAlign w:val="center"/>
          </w:tcPr>
          <w:p w14:paraId="3D703BE8" w14:textId="77777777" w:rsidR="009D1AEF" w:rsidRPr="009D1AEF" w:rsidRDefault="009D1AEF" w:rsidP="009D1AEF">
            <w:pPr>
              <w:widowControl w:val="0"/>
              <w:autoSpaceDE w:val="0"/>
              <w:autoSpaceDN w:val="0"/>
              <w:spacing w:after="0" w:line="240" w:lineRule="auto"/>
              <w:jc w:val="center"/>
              <w:rPr>
                <w:rFonts w:ascii="Arial" w:eastAsia="Arial" w:hAnsi="Arial" w:cs="Arial"/>
                <w:b/>
                <w:color w:val="FFFFFF" w:themeColor="background1"/>
                <w:sz w:val="10"/>
                <w:lang w:val="es-ES" w:eastAsia="es-ES" w:bidi="es-ES"/>
              </w:rPr>
            </w:pPr>
            <w:r w:rsidRPr="009D1AEF">
              <w:rPr>
                <w:rFonts w:ascii="Arial" w:eastAsia="Arial" w:hAnsi="Arial" w:cs="Arial"/>
                <w:b/>
                <w:color w:val="FFFFFF" w:themeColor="background1"/>
                <w:sz w:val="10"/>
                <w:lang w:val="es-ES" w:eastAsia="es-ES" w:bidi="es-ES"/>
              </w:rPr>
              <w:t>Monto</w:t>
            </w:r>
          </w:p>
        </w:tc>
      </w:tr>
      <w:tr w:rsidR="009D1AEF" w:rsidRPr="009D1AEF" w14:paraId="754E2FC1" w14:textId="77777777" w:rsidTr="009D1AEF">
        <w:trPr>
          <w:trHeight w:val="2186"/>
        </w:trPr>
        <w:tc>
          <w:tcPr>
            <w:tcW w:w="447" w:type="pct"/>
            <w:tcBorders>
              <w:top w:val="single" w:sz="4" w:space="0" w:color="BFBFBF"/>
              <w:left w:val="single" w:sz="4" w:space="0" w:color="BFBFBF"/>
              <w:bottom w:val="single" w:sz="4" w:space="0" w:color="BFBFBF"/>
              <w:right w:val="single" w:sz="4" w:space="0" w:color="BFBFBF"/>
            </w:tcBorders>
            <w:vAlign w:val="center"/>
          </w:tcPr>
          <w:p w14:paraId="2BE39FE6" w14:textId="77777777" w:rsidR="009D1AEF" w:rsidRPr="009D1AEF" w:rsidRDefault="009D1AEF" w:rsidP="009D1AEF">
            <w:pPr>
              <w:widowControl w:val="0"/>
              <w:autoSpaceDE w:val="0"/>
              <w:autoSpaceDN w:val="0"/>
              <w:spacing w:before="61" w:after="0" w:line="240" w:lineRule="auto"/>
              <w:jc w:val="both"/>
              <w:rPr>
                <w:rFonts w:ascii="Arial" w:eastAsia="Arial" w:hAnsi="Arial" w:cs="Arial"/>
                <w:sz w:val="10"/>
                <w:lang w:val="es-ES" w:eastAsia="es-ES" w:bidi="es-ES"/>
              </w:rPr>
            </w:pPr>
            <w:r w:rsidRPr="009D1AEF">
              <w:rPr>
                <w:rFonts w:ascii="Arial" w:eastAsia="Arial" w:hAnsi="Arial" w:cs="Arial"/>
                <w:sz w:val="10"/>
                <w:lang w:val="es-ES" w:eastAsia="es-ES" w:bidi="es-ES"/>
              </w:rPr>
              <w:t>RUOE- 016/2015</w:t>
            </w:r>
          </w:p>
        </w:tc>
        <w:tc>
          <w:tcPr>
            <w:tcW w:w="442" w:type="pct"/>
            <w:tcBorders>
              <w:top w:val="single" w:sz="4" w:space="0" w:color="BFBFBF"/>
              <w:left w:val="single" w:sz="4" w:space="0" w:color="BFBFBF"/>
              <w:bottom w:val="single" w:sz="4" w:space="0" w:color="BFBFBF"/>
              <w:right w:val="single" w:sz="4" w:space="0" w:color="BFBFBF"/>
            </w:tcBorders>
            <w:vAlign w:val="center"/>
          </w:tcPr>
          <w:p w14:paraId="567A07A8" w14:textId="77777777" w:rsidR="009D1AEF" w:rsidRPr="009D1AEF" w:rsidRDefault="009D1AEF" w:rsidP="009D1AEF">
            <w:pPr>
              <w:widowControl w:val="0"/>
              <w:autoSpaceDE w:val="0"/>
              <w:autoSpaceDN w:val="0"/>
              <w:spacing w:before="61" w:after="0" w:line="240" w:lineRule="auto"/>
              <w:jc w:val="both"/>
              <w:rPr>
                <w:rFonts w:ascii="Arial" w:eastAsia="Arial" w:hAnsi="Arial" w:cs="Arial"/>
                <w:sz w:val="10"/>
                <w:lang w:val="es-ES" w:eastAsia="es-ES" w:bidi="es-ES"/>
              </w:rPr>
            </w:pPr>
            <w:r w:rsidRPr="009D1AEF">
              <w:rPr>
                <w:rFonts w:ascii="Arial" w:eastAsia="Arial" w:hAnsi="Arial" w:cs="Arial"/>
                <w:sz w:val="10"/>
                <w:lang w:val="es-ES" w:eastAsia="es-ES" w:bidi="es-ES"/>
              </w:rPr>
              <w:t>Interacciones, S.A.</w:t>
            </w:r>
          </w:p>
        </w:tc>
        <w:tc>
          <w:tcPr>
            <w:tcW w:w="439" w:type="pct"/>
            <w:tcBorders>
              <w:top w:val="single" w:sz="4" w:space="0" w:color="BFBFBF"/>
              <w:left w:val="single" w:sz="4" w:space="0" w:color="BFBFBF"/>
              <w:bottom w:val="single" w:sz="4" w:space="0" w:color="BFBFBF"/>
              <w:right w:val="single" w:sz="4" w:space="0" w:color="BFBFBF"/>
            </w:tcBorders>
            <w:vAlign w:val="center"/>
          </w:tcPr>
          <w:p w14:paraId="22848E5A" w14:textId="77777777" w:rsidR="009D1AEF" w:rsidRPr="009D1AEF" w:rsidRDefault="009D1AEF" w:rsidP="009D1AEF">
            <w:pPr>
              <w:widowControl w:val="0"/>
              <w:autoSpaceDE w:val="0"/>
              <w:autoSpaceDN w:val="0"/>
              <w:spacing w:after="0" w:line="240" w:lineRule="auto"/>
              <w:jc w:val="both"/>
              <w:rPr>
                <w:rFonts w:ascii="Arial" w:eastAsia="Arial" w:hAnsi="Arial" w:cs="Arial"/>
                <w:sz w:val="10"/>
                <w:lang w:val="es-ES" w:eastAsia="es-ES" w:bidi="es-ES"/>
              </w:rPr>
            </w:pPr>
            <w:r w:rsidRPr="009D1AEF">
              <w:rPr>
                <w:rFonts w:ascii="Arial" w:eastAsia="Arial" w:hAnsi="Arial" w:cs="Arial"/>
                <w:sz w:val="10"/>
                <w:lang w:val="es-ES" w:eastAsia="es-ES" w:bidi="es-ES"/>
              </w:rPr>
              <w:t>Inversión</w:t>
            </w:r>
          </w:p>
          <w:p w14:paraId="5255CFC3" w14:textId="77777777" w:rsidR="009D1AEF" w:rsidRPr="009D1AEF" w:rsidRDefault="009D1AEF" w:rsidP="009D1AEF">
            <w:pPr>
              <w:widowControl w:val="0"/>
              <w:autoSpaceDE w:val="0"/>
              <w:autoSpaceDN w:val="0"/>
              <w:spacing w:after="0" w:line="240" w:lineRule="auto"/>
              <w:jc w:val="both"/>
              <w:rPr>
                <w:rFonts w:ascii="Arial" w:eastAsia="Arial" w:hAnsi="Arial" w:cs="Arial"/>
                <w:sz w:val="10"/>
                <w:lang w:val="es-ES" w:eastAsia="es-ES" w:bidi="es-ES"/>
              </w:rPr>
            </w:pPr>
            <w:r w:rsidRPr="009D1AEF">
              <w:rPr>
                <w:rFonts w:ascii="Arial" w:eastAsia="Arial" w:hAnsi="Arial" w:cs="Arial"/>
                <w:sz w:val="10"/>
                <w:lang w:val="es-ES" w:eastAsia="es-ES" w:bidi="es-ES"/>
              </w:rPr>
              <w:t>Pública</w:t>
            </w:r>
          </w:p>
          <w:p w14:paraId="4110471A" w14:textId="77777777" w:rsidR="009D1AEF" w:rsidRPr="009D1AEF" w:rsidRDefault="009D1AEF" w:rsidP="009D1AEF">
            <w:pPr>
              <w:widowControl w:val="0"/>
              <w:autoSpaceDE w:val="0"/>
              <w:autoSpaceDN w:val="0"/>
              <w:spacing w:after="0" w:line="240" w:lineRule="auto"/>
              <w:jc w:val="both"/>
              <w:rPr>
                <w:rFonts w:ascii="Arial" w:eastAsia="Arial" w:hAnsi="Arial" w:cs="Arial"/>
                <w:sz w:val="10"/>
                <w:lang w:val="es-ES" w:eastAsia="es-ES" w:bidi="es-ES"/>
              </w:rPr>
            </w:pPr>
            <w:r w:rsidRPr="009D1AEF">
              <w:rPr>
                <w:rFonts w:ascii="Arial" w:eastAsia="Arial" w:hAnsi="Arial" w:cs="Arial"/>
                <w:sz w:val="10"/>
                <w:lang w:val="es-ES" w:eastAsia="es-ES" w:bidi="es-ES"/>
              </w:rPr>
              <w:t>Productiva</w:t>
            </w:r>
          </w:p>
        </w:tc>
        <w:tc>
          <w:tcPr>
            <w:tcW w:w="511" w:type="pct"/>
            <w:tcBorders>
              <w:top w:val="single" w:sz="4" w:space="0" w:color="BFBFBF"/>
              <w:left w:val="single" w:sz="4" w:space="0" w:color="BFBFBF"/>
              <w:bottom w:val="single" w:sz="4" w:space="0" w:color="BFBFBF"/>
              <w:right w:val="single" w:sz="4" w:space="0" w:color="BFBFBF"/>
            </w:tcBorders>
            <w:vAlign w:val="center"/>
          </w:tcPr>
          <w:p w14:paraId="2884936D" w14:textId="77777777" w:rsidR="009D1AEF" w:rsidRPr="009D1AEF" w:rsidRDefault="009D1AEF" w:rsidP="009D1AEF">
            <w:pPr>
              <w:widowControl w:val="0"/>
              <w:autoSpaceDE w:val="0"/>
              <w:autoSpaceDN w:val="0"/>
              <w:spacing w:before="5" w:after="0" w:line="240" w:lineRule="auto"/>
              <w:jc w:val="both"/>
              <w:rPr>
                <w:rFonts w:ascii="Arial" w:eastAsia="Arial" w:hAnsi="Arial" w:cs="Arial"/>
                <w:sz w:val="10"/>
                <w:lang w:val="es-ES" w:eastAsia="es-ES" w:bidi="es-ES"/>
              </w:rPr>
            </w:pPr>
            <w:r w:rsidRPr="009D1AEF">
              <w:rPr>
                <w:rFonts w:ascii="Arial" w:eastAsia="Arial" w:hAnsi="Arial" w:cs="Arial"/>
                <w:sz w:val="10"/>
                <w:lang w:val="es-ES" w:eastAsia="es-ES" w:bidi="es-ES"/>
              </w:rPr>
              <w:t xml:space="preserve">Lo dispuesto en los artículos 17 Fracción VIII de la Constitución Política de los Estados Unidos Mexicanos, 75 Fracción XXV de la Constitución Política del Estado de Quintana Roo </w:t>
            </w:r>
            <w:r w:rsidRPr="009D1AEF">
              <w:rPr>
                <w:rFonts w:ascii="Arial" w:eastAsia="Arial" w:hAnsi="Arial" w:cs="Arial"/>
                <w:spacing w:val="-13"/>
                <w:sz w:val="10"/>
                <w:lang w:val="es-ES" w:eastAsia="es-ES" w:bidi="es-ES"/>
              </w:rPr>
              <w:t xml:space="preserve">y </w:t>
            </w:r>
            <w:r w:rsidRPr="009D1AEF">
              <w:rPr>
                <w:rFonts w:ascii="Arial" w:eastAsia="Arial" w:hAnsi="Arial" w:cs="Arial"/>
                <w:sz w:val="10"/>
                <w:lang w:val="es-ES" w:eastAsia="es-ES" w:bidi="es-ES"/>
              </w:rPr>
              <w:t>los artículos 3 Fracción XIV Y 4 de la Ley de Deuda, para inversión pública productiva en términos del</w:t>
            </w:r>
          </w:p>
          <w:p w14:paraId="0118946B" w14:textId="77777777" w:rsidR="009D1AEF" w:rsidRPr="009D1AEF" w:rsidRDefault="009D1AEF" w:rsidP="009D1AEF">
            <w:pPr>
              <w:widowControl w:val="0"/>
              <w:autoSpaceDE w:val="0"/>
              <w:autoSpaceDN w:val="0"/>
              <w:spacing w:after="0" w:line="91" w:lineRule="exact"/>
              <w:jc w:val="both"/>
              <w:rPr>
                <w:rFonts w:ascii="Arial" w:eastAsia="Arial" w:hAnsi="Arial" w:cs="Arial"/>
                <w:sz w:val="10"/>
                <w:lang w:val="es-ES" w:eastAsia="es-ES" w:bidi="es-ES"/>
              </w:rPr>
            </w:pPr>
            <w:r w:rsidRPr="009D1AEF">
              <w:rPr>
                <w:rFonts w:ascii="Arial" w:eastAsia="Arial" w:hAnsi="Arial" w:cs="Arial"/>
                <w:sz w:val="10"/>
                <w:lang w:val="es-ES" w:eastAsia="es-ES" w:bidi="es-ES"/>
              </w:rPr>
              <w:t>decreto No. 326.</w:t>
            </w:r>
          </w:p>
        </w:tc>
        <w:tc>
          <w:tcPr>
            <w:tcW w:w="514" w:type="pct"/>
            <w:tcBorders>
              <w:top w:val="single" w:sz="4" w:space="0" w:color="BFBFBF"/>
              <w:left w:val="single" w:sz="4" w:space="0" w:color="BFBFBF"/>
              <w:bottom w:val="single" w:sz="4" w:space="0" w:color="BFBFBF"/>
              <w:right w:val="single" w:sz="4" w:space="0" w:color="BFBFBF"/>
            </w:tcBorders>
            <w:vAlign w:val="center"/>
          </w:tcPr>
          <w:p w14:paraId="27027BDA" w14:textId="77777777" w:rsidR="009D1AEF" w:rsidRPr="009D1AEF" w:rsidRDefault="009D1AEF" w:rsidP="009D1AEF">
            <w:pPr>
              <w:widowControl w:val="0"/>
              <w:autoSpaceDE w:val="0"/>
              <w:autoSpaceDN w:val="0"/>
              <w:spacing w:after="0" w:line="240" w:lineRule="auto"/>
              <w:rPr>
                <w:rFonts w:ascii="Arial" w:eastAsia="Arial" w:hAnsi="Arial" w:cs="Arial"/>
                <w:sz w:val="10"/>
                <w:lang w:val="es-ES" w:eastAsia="es-ES" w:bidi="es-ES"/>
              </w:rPr>
            </w:pPr>
            <w:r w:rsidRPr="009D1AEF">
              <w:rPr>
                <w:rFonts w:ascii="Arial" w:eastAsia="Arial" w:hAnsi="Arial" w:cs="Arial"/>
                <w:sz w:val="10"/>
                <w:lang w:val="es-ES" w:eastAsia="es-ES" w:bidi="es-ES"/>
              </w:rPr>
              <w:t>$560,000,000.00</w:t>
            </w:r>
          </w:p>
        </w:tc>
        <w:tc>
          <w:tcPr>
            <w:tcW w:w="549" w:type="pct"/>
            <w:tcBorders>
              <w:top w:val="single" w:sz="4" w:space="0" w:color="BFBFBF"/>
              <w:left w:val="single" w:sz="4" w:space="0" w:color="BFBFBF"/>
              <w:bottom w:val="single" w:sz="4" w:space="0" w:color="BFBFBF"/>
              <w:right w:val="single" w:sz="4" w:space="0" w:color="BFBFBF"/>
            </w:tcBorders>
            <w:vAlign w:val="center"/>
          </w:tcPr>
          <w:p w14:paraId="25562FC4" w14:textId="77777777" w:rsidR="009D1AEF" w:rsidRPr="009D1AEF" w:rsidRDefault="009D1AEF" w:rsidP="009D1AEF">
            <w:pPr>
              <w:widowControl w:val="0"/>
              <w:autoSpaceDE w:val="0"/>
              <w:autoSpaceDN w:val="0"/>
              <w:spacing w:after="0" w:line="240" w:lineRule="auto"/>
              <w:jc w:val="right"/>
              <w:rPr>
                <w:rFonts w:ascii="Arial" w:eastAsia="Arial" w:hAnsi="Arial" w:cs="Arial"/>
                <w:sz w:val="10"/>
                <w:lang w:val="es-ES" w:eastAsia="es-ES" w:bidi="es-ES"/>
              </w:rPr>
            </w:pPr>
            <w:r w:rsidRPr="009D1AEF">
              <w:rPr>
                <w:rFonts w:ascii="Arial" w:eastAsia="Arial" w:hAnsi="Arial" w:cs="Arial"/>
                <w:sz w:val="10"/>
                <w:lang w:val="es-ES" w:eastAsia="es-ES" w:bidi="es-ES"/>
              </w:rPr>
              <w:t>$413,398,255.07</w:t>
            </w:r>
          </w:p>
        </w:tc>
        <w:tc>
          <w:tcPr>
            <w:tcW w:w="629" w:type="pct"/>
            <w:tcBorders>
              <w:top w:val="single" w:sz="4" w:space="0" w:color="BFBFBF"/>
              <w:left w:val="single" w:sz="4" w:space="0" w:color="BFBFBF"/>
              <w:bottom w:val="single" w:sz="4" w:space="0" w:color="BFBFBF"/>
              <w:right w:val="single" w:sz="4" w:space="0" w:color="BFBFBF"/>
            </w:tcBorders>
            <w:vAlign w:val="center"/>
          </w:tcPr>
          <w:p w14:paraId="767341D0" w14:textId="77777777" w:rsidR="009D1AEF" w:rsidRPr="009D1AEF" w:rsidRDefault="009D1AEF" w:rsidP="009D1AEF">
            <w:pPr>
              <w:widowControl w:val="0"/>
              <w:autoSpaceDE w:val="0"/>
              <w:autoSpaceDN w:val="0"/>
              <w:spacing w:after="0" w:line="240" w:lineRule="auto"/>
              <w:jc w:val="right"/>
              <w:rPr>
                <w:rFonts w:ascii="Arial" w:eastAsia="Arial" w:hAnsi="Arial" w:cs="Arial"/>
                <w:sz w:val="10"/>
                <w:lang w:val="es-ES" w:eastAsia="es-ES" w:bidi="es-ES"/>
              </w:rPr>
            </w:pPr>
            <w:r w:rsidRPr="009D1AEF">
              <w:rPr>
                <w:rFonts w:ascii="Arial" w:eastAsia="Arial" w:hAnsi="Arial" w:cs="Arial"/>
                <w:sz w:val="10"/>
                <w:lang w:val="es-ES" w:eastAsia="es-ES" w:bidi="es-ES"/>
              </w:rPr>
              <w:t>$378,262,</w:t>
            </w:r>
            <w:r w:rsidR="00F603AC">
              <w:rPr>
                <w:rFonts w:ascii="Arial" w:eastAsia="Arial" w:hAnsi="Arial" w:cs="Arial"/>
                <w:sz w:val="10"/>
                <w:lang w:val="es-ES" w:eastAsia="es-ES" w:bidi="es-ES"/>
              </w:rPr>
              <w:softHyphen/>
            </w:r>
            <w:r w:rsidR="00F603AC">
              <w:rPr>
                <w:rFonts w:ascii="Arial" w:eastAsia="Arial" w:hAnsi="Arial" w:cs="Arial"/>
                <w:sz w:val="10"/>
                <w:lang w:val="es-ES" w:eastAsia="es-ES" w:bidi="es-ES"/>
              </w:rPr>
              <w:softHyphen/>
            </w:r>
            <w:r w:rsidR="00F603AC">
              <w:rPr>
                <w:rFonts w:ascii="Arial" w:eastAsia="Arial" w:hAnsi="Arial" w:cs="Arial"/>
                <w:sz w:val="10"/>
                <w:lang w:val="es-ES" w:eastAsia="es-ES" w:bidi="es-ES"/>
              </w:rPr>
              <w:softHyphen/>
            </w:r>
            <w:r w:rsidR="00F603AC">
              <w:rPr>
                <w:rFonts w:ascii="Arial" w:eastAsia="Arial" w:hAnsi="Arial" w:cs="Arial"/>
                <w:sz w:val="10"/>
                <w:lang w:val="es-ES" w:eastAsia="es-ES" w:bidi="es-ES"/>
              </w:rPr>
              <w:softHyphen/>
            </w:r>
            <w:r w:rsidRPr="009D1AEF">
              <w:rPr>
                <w:rFonts w:ascii="Arial" w:eastAsia="Arial" w:hAnsi="Arial" w:cs="Arial"/>
                <w:sz w:val="10"/>
                <w:lang w:val="es-ES" w:eastAsia="es-ES" w:bidi="es-ES"/>
              </w:rPr>
              <w:t>951.07</w:t>
            </w:r>
          </w:p>
        </w:tc>
        <w:tc>
          <w:tcPr>
            <w:tcW w:w="346" w:type="pct"/>
            <w:tcBorders>
              <w:top w:val="single" w:sz="4" w:space="0" w:color="BFBFBF"/>
              <w:left w:val="single" w:sz="4" w:space="0" w:color="BFBFBF"/>
              <w:bottom w:val="single" w:sz="4" w:space="0" w:color="BFBFBF"/>
              <w:right w:val="single" w:sz="4" w:space="0" w:color="BFBFBF"/>
            </w:tcBorders>
            <w:vAlign w:val="center"/>
          </w:tcPr>
          <w:p w14:paraId="3EB0B552" w14:textId="77777777" w:rsidR="009D1AEF" w:rsidRPr="009D1AEF" w:rsidRDefault="009D1AEF" w:rsidP="009D1AEF">
            <w:pPr>
              <w:widowControl w:val="0"/>
              <w:autoSpaceDE w:val="0"/>
              <w:autoSpaceDN w:val="0"/>
              <w:spacing w:after="0" w:line="240" w:lineRule="auto"/>
              <w:rPr>
                <w:rFonts w:ascii="Arial" w:eastAsia="Arial" w:hAnsi="Arial" w:cs="Arial"/>
                <w:sz w:val="10"/>
                <w:lang w:val="es-ES" w:eastAsia="es-ES" w:bidi="es-ES"/>
              </w:rPr>
            </w:pPr>
            <w:r w:rsidRPr="009D1AEF">
              <w:rPr>
                <w:rFonts w:ascii="Arial" w:eastAsia="Arial" w:hAnsi="Arial" w:cs="Arial"/>
                <w:sz w:val="10"/>
                <w:lang w:val="es-ES" w:eastAsia="es-ES" w:bidi="es-ES"/>
              </w:rPr>
              <w:t>2% de las participa- ciones presentes y futuras del</w:t>
            </w:r>
            <w:r w:rsidR="001376C7">
              <w:rPr>
                <w:rFonts w:ascii="Arial" w:eastAsia="Arial" w:hAnsi="Arial" w:cs="Arial"/>
                <w:sz w:val="10"/>
                <w:lang w:val="es-ES" w:eastAsia="es-ES" w:bidi="es-ES"/>
              </w:rPr>
              <w:t xml:space="preserve"> </w:t>
            </w:r>
            <w:r w:rsidRPr="009D1AEF">
              <w:rPr>
                <w:rFonts w:ascii="Arial" w:eastAsia="Arial" w:hAnsi="Arial" w:cs="Arial"/>
                <w:sz w:val="10"/>
                <w:lang w:val="es-ES" w:eastAsia="es-ES" w:bidi="es-ES"/>
              </w:rPr>
              <w:t xml:space="preserve">Estado </w:t>
            </w:r>
            <w:r w:rsidRPr="009D1AEF">
              <w:rPr>
                <w:rFonts w:ascii="Arial" w:eastAsia="Arial" w:hAnsi="Arial" w:cs="Arial"/>
                <w:spacing w:val="-8"/>
                <w:sz w:val="10"/>
                <w:lang w:val="es-ES" w:eastAsia="es-ES" w:bidi="es-ES"/>
              </w:rPr>
              <w:t xml:space="preserve">de </w:t>
            </w:r>
            <w:r w:rsidRPr="009D1AEF">
              <w:rPr>
                <w:rFonts w:ascii="Arial" w:eastAsia="Arial" w:hAnsi="Arial" w:cs="Arial"/>
                <w:sz w:val="10"/>
                <w:lang w:val="es-ES" w:eastAsia="es-ES" w:bidi="es-ES"/>
              </w:rPr>
              <w:t>Quintana Roo.</w:t>
            </w:r>
          </w:p>
        </w:tc>
        <w:tc>
          <w:tcPr>
            <w:tcW w:w="468" w:type="pct"/>
            <w:tcBorders>
              <w:top w:val="single" w:sz="4" w:space="0" w:color="BFBFBF"/>
              <w:left w:val="single" w:sz="4" w:space="0" w:color="BFBFBF"/>
              <w:bottom w:val="single" w:sz="4" w:space="0" w:color="BFBFBF"/>
              <w:right w:val="single" w:sz="4" w:space="0" w:color="BFBFBF"/>
            </w:tcBorders>
            <w:vAlign w:val="center"/>
          </w:tcPr>
          <w:p w14:paraId="1C28EA7A" w14:textId="77777777" w:rsidR="009D1AEF" w:rsidRPr="009D1AEF" w:rsidRDefault="009D1AEF" w:rsidP="009D1AEF">
            <w:pPr>
              <w:widowControl w:val="0"/>
              <w:autoSpaceDE w:val="0"/>
              <w:autoSpaceDN w:val="0"/>
              <w:spacing w:after="0" w:line="240" w:lineRule="auto"/>
              <w:rPr>
                <w:rFonts w:ascii="Arial" w:eastAsia="Arial" w:hAnsi="Arial" w:cs="Arial"/>
                <w:sz w:val="10"/>
                <w:lang w:val="es-ES" w:eastAsia="es-ES" w:bidi="es-ES"/>
              </w:rPr>
            </w:pPr>
            <w:r w:rsidRPr="009D1AEF">
              <w:rPr>
                <w:rFonts w:ascii="Arial" w:eastAsia="Arial" w:hAnsi="Arial" w:cs="Arial"/>
                <w:sz w:val="10"/>
                <w:lang w:val="es-ES" w:eastAsia="es-ES" w:bidi="es-ES"/>
              </w:rPr>
              <w:t>Crédito Simple</w:t>
            </w:r>
          </w:p>
        </w:tc>
        <w:tc>
          <w:tcPr>
            <w:tcW w:w="654" w:type="pct"/>
            <w:tcBorders>
              <w:top w:val="single" w:sz="4" w:space="0" w:color="BFBFBF"/>
              <w:left w:val="single" w:sz="4" w:space="0" w:color="BFBFBF"/>
              <w:bottom w:val="single" w:sz="4" w:space="0" w:color="BFBFBF"/>
              <w:right w:val="single" w:sz="4" w:space="0" w:color="BFBFBF"/>
            </w:tcBorders>
            <w:vAlign w:val="center"/>
          </w:tcPr>
          <w:p w14:paraId="68B7FC12" w14:textId="77777777" w:rsidR="009D1AEF" w:rsidRPr="009D1AEF" w:rsidRDefault="009D1AEF" w:rsidP="009D1AEF">
            <w:pPr>
              <w:widowControl w:val="0"/>
              <w:autoSpaceDE w:val="0"/>
              <w:autoSpaceDN w:val="0"/>
              <w:spacing w:after="0" w:line="240" w:lineRule="auto"/>
              <w:jc w:val="right"/>
              <w:rPr>
                <w:rFonts w:ascii="Arial" w:eastAsia="Arial" w:hAnsi="Arial" w:cs="Arial"/>
                <w:sz w:val="10"/>
                <w:lang w:val="es-ES" w:eastAsia="es-ES" w:bidi="es-ES"/>
              </w:rPr>
            </w:pPr>
            <w:r w:rsidRPr="009D1AEF">
              <w:rPr>
                <w:rFonts w:ascii="Arial" w:eastAsia="Arial" w:hAnsi="Arial" w:cs="Arial"/>
                <w:sz w:val="10"/>
                <w:lang w:val="es-ES" w:eastAsia="es-ES" w:bidi="es-ES"/>
              </w:rPr>
              <w:t>$560,000,000.00</w:t>
            </w:r>
          </w:p>
        </w:tc>
      </w:tr>
      <w:tr w:rsidR="009D1AEF" w:rsidRPr="009D1AEF" w14:paraId="46B7EE05" w14:textId="77777777" w:rsidTr="009D1AEF">
        <w:trPr>
          <w:trHeight w:val="494"/>
        </w:trPr>
        <w:tc>
          <w:tcPr>
            <w:tcW w:w="2354" w:type="pct"/>
            <w:gridSpan w:val="5"/>
            <w:tcBorders>
              <w:top w:val="single" w:sz="4" w:space="0" w:color="BFBFBF"/>
              <w:left w:val="single" w:sz="4" w:space="0" w:color="BFBFBF"/>
              <w:bottom w:val="single" w:sz="4" w:space="0" w:color="BFBFBF"/>
              <w:right w:val="single" w:sz="4" w:space="0" w:color="BFBFBF"/>
            </w:tcBorders>
            <w:vAlign w:val="center"/>
          </w:tcPr>
          <w:p w14:paraId="538AEA8F" w14:textId="77777777" w:rsidR="009D1AEF" w:rsidRPr="009D1AEF" w:rsidRDefault="009D1AEF" w:rsidP="009D1AEF">
            <w:pPr>
              <w:widowControl w:val="0"/>
              <w:autoSpaceDE w:val="0"/>
              <w:autoSpaceDN w:val="0"/>
              <w:spacing w:before="75" w:after="0" w:line="240" w:lineRule="auto"/>
              <w:jc w:val="right"/>
              <w:rPr>
                <w:rFonts w:ascii="Arial" w:eastAsia="Arial" w:hAnsi="Arial" w:cs="Arial"/>
                <w:b/>
                <w:sz w:val="10"/>
                <w:lang w:val="es-ES" w:eastAsia="es-ES" w:bidi="es-ES"/>
              </w:rPr>
            </w:pPr>
            <w:r w:rsidRPr="009D1AEF">
              <w:rPr>
                <w:rFonts w:ascii="Arial" w:eastAsia="Arial" w:hAnsi="Arial" w:cs="Arial"/>
                <w:b/>
                <w:sz w:val="10"/>
                <w:lang w:val="es-ES" w:eastAsia="es-ES" w:bidi="es-ES"/>
              </w:rPr>
              <w:t>Totales</w:t>
            </w:r>
          </w:p>
        </w:tc>
        <w:tc>
          <w:tcPr>
            <w:tcW w:w="549" w:type="pct"/>
            <w:tcBorders>
              <w:top w:val="single" w:sz="4" w:space="0" w:color="BFBFBF"/>
              <w:left w:val="single" w:sz="4" w:space="0" w:color="BFBFBF"/>
              <w:bottom w:val="single" w:sz="4" w:space="0" w:color="BFBFBF"/>
              <w:right w:val="single" w:sz="4" w:space="0" w:color="BFBFBF"/>
            </w:tcBorders>
            <w:vAlign w:val="center"/>
          </w:tcPr>
          <w:p w14:paraId="13555C13" w14:textId="77777777" w:rsidR="009D1AEF" w:rsidRPr="009D1AEF" w:rsidRDefault="009D1AEF" w:rsidP="009D1AEF">
            <w:pPr>
              <w:widowControl w:val="0"/>
              <w:autoSpaceDE w:val="0"/>
              <w:autoSpaceDN w:val="0"/>
              <w:spacing w:before="75" w:after="0" w:line="240" w:lineRule="auto"/>
              <w:jc w:val="right"/>
              <w:rPr>
                <w:rFonts w:ascii="Arial" w:eastAsia="Arial" w:hAnsi="Arial" w:cs="Arial"/>
                <w:b/>
                <w:sz w:val="10"/>
                <w:lang w:val="es-ES" w:eastAsia="es-ES" w:bidi="es-ES"/>
              </w:rPr>
            </w:pPr>
            <w:r w:rsidRPr="009D1AEF">
              <w:rPr>
                <w:rFonts w:ascii="Arial" w:eastAsia="Arial" w:hAnsi="Arial" w:cs="Arial"/>
                <w:b/>
                <w:sz w:val="10"/>
                <w:lang w:val="es-ES" w:eastAsia="es-ES" w:bidi="es-ES"/>
              </w:rPr>
              <w:t>$413,398,255.07</w:t>
            </w:r>
          </w:p>
        </w:tc>
        <w:tc>
          <w:tcPr>
            <w:tcW w:w="629" w:type="pct"/>
            <w:tcBorders>
              <w:top w:val="single" w:sz="4" w:space="0" w:color="BFBFBF"/>
              <w:left w:val="single" w:sz="4" w:space="0" w:color="BFBFBF"/>
              <w:bottom w:val="single" w:sz="4" w:space="0" w:color="BFBFBF"/>
              <w:right w:val="single" w:sz="4" w:space="0" w:color="BFBFBF"/>
            </w:tcBorders>
            <w:vAlign w:val="center"/>
          </w:tcPr>
          <w:p w14:paraId="4CB9FC80" w14:textId="77777777" w:rsidR="009D1AEF" w:rsidRPr="009D1AEF" w:rsidRDefault="009D1AEF" w:rsidP="009D1AEF">
            <w:pPr>
              <w:widowControl w:val="0"/>
              <w:autoSpaceDE w:val="0"/>
              <w:autoSpaceDN w:val="0"/>
              <w:spacing w:before="75" w:after="0" w:line="240" w:lineRule="auto"/>
              <w:jc w:val="right"/>
              <w:rPr>
                <w:rFonts w:ascii="Arial" w:eastAsia="Arial" w:hAnsi="Arial" w:cs="Arial"/>
                <w:b/>
                <w:sz w:val="10"/>
                <w:lang w:val="es-ES" w:eastAsia="es-ES" w:bidi="es-ES"/>
              </w:rPr>
            </w:pPr>
            <w:r w:rsidRPr="009D1AEF">
              <w:rPr>
                <w:rFonts w:ascii="Arial" w:eastAsia="Arial" w:hAnsi="Arial" w:cs="Arial"/>
                <w:b/>
                <w:sz w:val="10"/>
                <w:lang w:val="es-ES" w:eastAsia="es-ES" w:bidi="es-ES"/>
              </w:rPr>
              <w:t>$378,262,951.07</w:t>
            </w:r>
          </w:p>
        </w:tc>
        <w:tc>
          <w:tcPr>
            <w:tcW w:w="1468" w:type="pct"/>
            <w:gridSpan w:val="3"/>
            <w:tcBorders>
              <w:top w:val="single" w:sz="4" w:space="0" w:color="BFBFBF"/>
              <w:left w:val="single" w:sz="4" w:space="0" w:color="BFBFBF"/>
              <w:bottom w:val="single" w:sz="4" w:space="0" w:color="BFBFBF"/>
              <w:right w:val="single" w:sz="4" w:space="0" w:color="BFBFBF"/>
            </w:tcBorders>
            <w:vAlign w:val="center"/>
          </w:tcPr>
          <w:p w14:paraId="16188BCD" w14:textId="77777777" w:rsidR="009D1AEF" w:rsidRPr="009D1AEF" w:rsidRDefault="009D1AEF" w:rsidP="009D1AEF">
            <w:pPr>
              <w:widowControl w:val="0"/>
              <w:autoSpaceDE w:val="0"/>
              <w:autoSpaceDN w:val="0"/>
              <w:spacing w:after="0" w:line="240" w:lineRule="auto"/>
              <w:rPr>
                <w:rFonts w:ascii="Arial" w:eastAsia="Arial" w:hAnsi="Arial" w:cs="Arial"/>
                <w:sz w:val="16"/>
                <w:lang w:val="es-ES" w:eastAsia="es-ES" w:bidi="es-ES"/>
              </w:rPr>
            </w:pPr>
          </w:p>
        </w:tc>
      </w:tr>
      <w:tr w:rsidR="009D1AEF" w:rsidRPr="009D1AEF" w14:paraId="528A2230" w14:textId="77777777" w:rsidTr="009D1AEF">
        <w:trPr>
          <w:trHeight w:val="494"/>
        </w:trPr>
        <w:tc>
          <w:tcPr>
            <w:tcW w:w="5000" w:type="pct"/>
            <w:gridSpan w:val="10"/>
            <w:tcBorders>
              <w:top w:val="single" w:sz="4" w:space="0" w:color="BFBFBF"/>
              <w:left w:val="nil"/>
              <w:bottom w:val="nil"/>
              <w:right w:val="nil"/>
            </w:tcBorders>
            <w:vAlign w:val="center"/>
          </w:tcPr>
          <w:p w14:paraId="193318A6" w14:textId="77777777" w:rsidR="009D1AEF" w:rsidRPr="009D1AEF" w:rsidRDefault="009D1AEF" w:rsidP="009D1AEF">
            <w:pPr>
              <w:spacing w:after="0" w:line="240" w:lineRule="auto"/>
              <w:rPr>
                <w:rFonts w:ascii="Arial" w:eastAsia="Times New Roman" w:hAnsi="Arial" w:cs="Arial"/>
                <w:color w:val="404040" w:themeColor="text1" w:themeTint="BF"/>
                <w:sz w:val="14"/>
                <w:szCs w:val="16"/>
                <w:lang w:eastAsia="es-MX"/>
              </w:rPr>
            </w:pPr>
            <w:r w:rsidRPr="009D1AEF">
              <w:rPr>
                <w:rFonts w:ascii="Arial" w:eastAsia="Times New Roman" w:hAnsi="Arial" w:cs="Arial"/>
                <w:b/>
                <w:color w:val="404040" w:themeColor="text1" w:themeTint="BF"/>
                <w:sz w:val="14"/>
                <w:szCs w:val="16"/>
                <w:lang w:eastAsia="es-MX"/>
              </w:rPr>
              <w:t>Fuente:</w:t>
            </w:r>
            <w:r w:rsidRPr="009D1AEF">
              <w:rPr>
                <w:rFonts w:ascii="Arial" w:eastAsia="Times New Roman" w:hAnsi="Arial" w:cs="Arial"/>
                <w:color w:val="404040" w:themeColor="text1" w:themeTint="BF"/>
                <w:sz w:val="14"/>
                <w:szCs w:val="16"/>
                <w:lang w:eastAsia="es-MX"/>
              </w:rPr>
              <w:t xml:space="preserve"> Comisión de Agua Potable y Alcantarillado del Estado de Quintana Roo</w:t>
            </w:r>
          </w:p>
          <w:p w14:paraId="5845622F" w14:textId="77777777" w:rsidR="009D1AEF" w:rsidRPr="009D1AEF" w:rsidRDefault="00D33739" w:rsidP="009D1AEF">
            <w:pPr>
              <w:spacing w:after="0" w:line="240" w:lineRule="auto"/>
              <w:rPr>
                <w:rFonts w:ascii="Arial" w:eastAsia="Times New Roman" w:hAnsi="Arial" w:cs="Arial"/>
                <w:color w:val="404040" w:themeColor="text1" w:themeTint="BF"/>
                <w:sz w:val="14"/>
                <w:szCs w:val="16"/>
                <w:lang w:eastAsia="es-MX"/>
              </w:rPr>
            </w:pPr>
            <w:hyperlink r:id="rId42" w:history="1">
              <w:r w:rsidR="009D1AEF" w:rsidRPr="009D1AEF">
                <w:rPr>
                  <w:rFonts w:ascii="Arial" w:eastAsia="Times New Roman" w:hAnsi="Arial" w:cs="Arial"/>
                  <w:color w:val="404040" w:themeColor="text1" w:themeTint="BF"/>
                  <w:sz w:val="14"/>
                  <w:szCs w:val="16"/>
                  <w:lang w:eastAsia="es-MX"/>
                </w:rPr>
                <w:t>Coordinación General de Transparencia y Acceso a la Información (qroo.gob.mx)</w:t>
              </w:r>
            </w:hyperlink>
          </w:p>
          <w:p w14:paraId="78D482A8" w14:textId="77777777" w:rsidR="009D1AEF" w:rsidRPr="009D1AEF" w:rsidRDefault="00D33739" w:rsidP="009D1AEF">
            <w:pPr>
              <w:spacing w:after="0" w:line="240" w:lineRule="auto"/>
              <w:rPr>
                <w:rFonts w:ascii="Arial" w:eastAsia="Times New Roman" w:hAnsi="Arial" w:cs="Arial"/>
                <w:b/>
                <w:color w:val="404040" w:themeColor="text1" w:themeTint="BF"/>
                <w:sz w:val="14"/>
                <w:szCs w:val="16"/>
                <w:lang w:eastAsia="es-MX"/>
              </w:rPr>
            </w:pPr>
            <w:hyperlink r:id="rId43" w:history="1">
              <w:r w:rsidR="009D1AEF" w:rsidRPr="009D1AEF">
                <w:rPr>
                  <w:rFonts w:ascii="Arial" w:eastAsia="Times New Roman" w:hAnsi="Arial" w:cs="Arial"/>
                  <w:color w:val="404040" w:themeColor="text1" w:themeTint="BF"/>
                  <w:sz w:val="14"/>
                  <w:szCs w:val="16"/>
                  <w:lang w:eastAsia="es-MX"/>
                </w:rPr>
                <w:t>Estado de la Deuda Pública al 31 de Diciembre de 2022-drive.google</w:t>
              </w:r>
            </w:hyperlink>
          </w:p>
          <w:p w14:paraId="0BA56238" w14:textId="77777777" w:rsidR="009D1AEF" w:rsidRPr="009D1AEF" w:rsidRDefault="009D1AEF" w:rsidP="009D1AEF">
            <w:pPr>
              <w:spacing w:after="0" w:line="240" w:lineRule="auto"/>
              <w:rPr>
                <w:rFonts w:ascii="Arial" w:eastAsia="Times New Roman" w:hAnsi="Arial" w:cs="Arial"/>
                <w:color w:val="404040" w:themeColor="text1" w:themeTint="BF"/>
                <w:sz w:val="14"/>
                <w:szCs w:val="16"/>
                <w:lang w:eastAsia="es-MX"/>
              </w:rPr>
            </w:pPr>
            <w:r w:rsidRPr="009D1AEF">
              <w:rPr>
                <w:rFonts w:ascii="Arial" w:eastAsia="Times New Roman" w:hAnsi="Arial" w:cs="Arial"/>
                <w:b/>
                <w:color w:val="404040" w:themeColor="text1" w:themeTint="BF"/>
                <w:sz w:val="14"/>
                <w:szCs w:val="16"/>
                <w:lang w:eastAsia="es-MX"/>
              </w:rPr>
              <w:t>Fuente:</w:t>
            </w:r>
            <w:r w:rsidRPr="009D1AEF">
              <w:rPr>
                <w:rFonts w:ascii="Arial" w:eastAsia="Times New Roman" w:hAnsi="Arial" w:cs="Arial"/>
                <w:color w:val="404040" w:themeColor="text1" w:themeTint="BF"/>
                <w:sz w:val="14"/>
                <w:szCs w:val="16"/>
                <w:lang w:eastAsia="es-MX"/>
              </w:rPr>
              <w:t xml:space="preserve"> Plataforma Nacional de Transparencia</w:t>
            </w:r>
          </w:p>
          <w:p w14:paraId="62B5A322" w14:textId="77777777" w:rsidR="009D1AEF" w:rsidRPr="009D1AEF" w:rsidRDefault="00D33739" w:rsidP="009D1AEF">
            <w:pPr>
              <w:spacing w:after="0" w:line="240" w:lineRule="auto"/>
              <w:rPr>
                <w:rFonts w:ascii="Arial" w:eastAsia="Times New Roman" w:hAnsi="Arial" w:cs="Arial"/>
                <w:color w:val="404040" w:themeColor="text1" w:themeTint="BF"/>
                <w:sz w:val="14"/>
                <w:szCs w:val="16"/>
                <w:lang w:eastAsia="es-MX"/>
              </w:rPr>
            </w:pPr>
            <w:hyperlink r:id="rId44" w:history="1">
              <w:r w:rsidR="009D1AEF" w:rsidRPr="009D1AEF">
                <w:rPr>
                  <w:rFonts w:ascii="Arial" w:eastAsia="Times New Roman" w:hAnsi="Arial" w:cs="Arial"/>
                  <w:color w:val="404040" w:themeColor="text1" w:themeTint="BF"/>
                  <w:sz w:val="14"/>
                  <w:szCs w:val="16"/>
                  <w:lang w:eastAsia="es-MX"/>
                </w:rPr>
                <w:t>Consulta Pública (inai.org.mx)</w:t>
              </w:r>
            </w:hyperlink>
          </w:p>
          <w:p w14:paraId="6D40304E" w14:textId="77777777" w:rsidR="009D1AEF" w:rsidRPr="009D1AEF" w:rsidRDefault="009D1AEF" w:rsidP="009D1AEF">
            <w:pPr>
              <w:spacing w:after="0" w:line="240" w:lineRule="auto"/>
              <w:rPr>
                <w:rFonts w:ascii="Arial" w:eastAsia="Arial" w:hAnsi="Arial" w:cs="Arial"/>
                <w:sz w:val="16"/>
                <w:lang w:val="es-ES" w:eastAsia="es-ES" w:bidi="es-ES"/>
              </w:rPr>
            </w:pPr>
          </w:p>
        </w:tc>
      </w:tr>
    </w:tbl>
    <w:p w14:paraId="184E5D0A" w14:textId="77777777" w:rsidR="009D1AEF" w:rsidRPr="009D1AEF" w:rsidRDefault="009D1AEF" w:rsidP="009D1AEF">
      <w:pPr>
        <w:widowControl w:val="0"/>
        <w:autoSpaceDE w:val="0"/>
        <w:autoSpaceDN w:val="0"/>
        <w:spacing w:after="0" w:line="240" w:lineRule="auto"/>
        <w:rPr>
          <w:rFonts w:ascii="Arial" w:eastAsia="Arial" w:hAnsi="Arial" w:cs="Arial"/>
          <w:b/>
          <w:sz w:val="26"/>
          <w:szCs w:val="24"/>
          <w:lang w:val="es-ES" w:eastAsia="es-ES" w:bidi="es-ES"/>
        </w:rPr>
      </w:pPr>
    </w:p>
    <w:p w14:paraId="1153F4B2" w14:textId="77777777" w:rsidR="009D1AEF" w:rsidRPr="009D1AEF" w:rsidRDefault="009D1AEF" w:rsidP="009D1AEF">
      <w:pPr>
        <w:keepNext/>
        <w:keepLines/>
        <w:spacing w:before="40" w:after="0"/>
        <w:ind w:left="284"/>
        <w:outlineLvl w:val="3"/>
        <w:rPr>
          <w:rFonts w:ascii="Arial" w:eastAsiaTheme="majorEastAsia" w:hAnsi="Arial" w:cs="Arial"/>
          <w:b/>
          <w:iCs/>
          <w:sz w:val="24"/>
          <w:lang w:val="es-ES" w:eastAsia="es-ES" w:bidi="es-ES"/>
        </w:rPr>
      </w:pPr>
      <w:r w:rsidRPr="009D1AEF">
        <w:rPr>
          <w:rFonts w:ascii="Arial" w:eastAsiaTheme="majorEastAsia" w:hAnsi="Arial" w:cs="Arial"/>
          <w:b/>
          <w:iCs/>
          <w:sz w:val="24"/>
          <w:lang w:val="es-ES" w:eastAsia="es-ES" w:bidi="es-ES"/>
        </w:rPr>
        <w:lastRenderedPageBreak/>
        <w:t>I.III.- Análisis de Indicadores</w:t>
      </w:r>
    </w:p>
    <w:p w14:paraId="5CDEFCA5" w14:textId="77777777" w:rsidR="009D1AEF" w:rsidRPr="009D1AEF" w:rsidRDefault="009D1AEF" w:rsidP="009D1AEF">
      <w:pPr>
        <w:widowControl w:val="0"/>
        <w:autoSpaceDE w:val="0"/>
        <w:autoSpaceDN w:val="0"/>
        <w:spacing w:before="11" w:after="0" w:line="240" w:lineRule="auto"/>
        <w:ind w:left="567"/>
        <w:rPr>
          <w:rFonts w:ascii="Arial" w:eastAsia="Arial" w:hAnsi="Arial" w:cs="Arial"/>
          <w:b/>
          <w:sz w:val="16"/>
          <w:szCs w:val="16"/>
          <w:lang w:val="es-ES" w:eastAsia="es-ES" w:bidi="es-ES"/>
        </w:rPr>
      </w:pPr>
    </w:p>
    <w:p w14:paraId="718F37AE" w14:textId="77777777" w:rsidR="009D1AEF" w:rsidRPr="006C3937" w:rsidRDefault="009D1AEF" w:rsidP="006C3937">
      <w:pPr>
        <w:widowControl w:val="0"/>
        <w:tabs>
          <w:tab w:val="left" w:pos="9356"/>
        </w:tabs>
        <w:autoSpaceDE w:val="0"/>
        <w:autoSpaceDN w:val="0"/>
        <w:spacing w:after="0" w:line="276" w:lineRule="auto"/>
        <w:ind w:left="284"/>
        <w:jc w:val="both"/>
        <w:rPr>
          <w:rFonts w:ascii="Arial" w:eastAsia="Arial" w:hAnsi="Arial" w:cs="Arial"/>
          <w:sz w:val="24"/>
          <w:szCs w:val="24"/>
          <w:lang w:val="es-ES" w:eastAsia="es-ES" w:bidi="es-ES"/>
        </w:rPr>
      </w:pPr>
      <w:r w:rsidRPr="009D1AEF">
        <w:rPr>
          <w:rFonts w:ascii="Arial" w:eastAsia="Arial" w:hAnsi="Arial" w:cs="Arial"/>
          <w:sz w:val="24"/>
          <w:szCs w:val="24"/>
          <w:lang w:val="es-ES" w:eastAsia="es-ES" w:bidi="es-ES"/>
        </w:rPr>
        <w:t>A continuación, se presentan los resultados obtenidos por el Estado de Quintana Roo, con base a las estadísticas trimestrales (4to. Trimestre) reportadas por la Secretaría de Hacienda y Crédito Público sobre la situación que guardan sus obligaciones financieras inscritas en el Registro de Obligaciones y Empréstitos de Entidades Federativas y Municipios y algunas</w:t>
      </w:r>
      <w:r w:rsidR="006C3937">
        <w:rPr>
          <w:rFonts w:ascii="Arial" w:eastAsia="Arial" w:hAnsi="Arial" w:cs="Arial"/>
          <w:sz w:val="24"/>
          <w:szCs w:val="24"/>
          <w:lang w:val="es-ES" w:eastAsia="es-ES" w:bidi="es-ES"/>
        </w:rPr>
        <w:t xml:space="preserve"> otras obligaciones reportadas.</w:t>
      </w:r>
    </w:p>
    <w:p w14:paraId="1E580413" w14:textId="77777777" w:rsidR="009D1AEF" w:rsidRPr="009D1AEF" w:rsidRDefault="009D1AEF" w:rsidP="009D1AEF">
      <w:pPr>
        <w:widowControl w:val="0"/>
        <w:autoSpaceDE w:val="0"/>
        <w:autoSpaceDN w:val="0"/>
        <w:spacing w:before="28" w:after="0" w:line="240" w:lineRule="auto"/>
        <w:ind w:left="-142"/>
        <w:rPr>
          <w:rFonts w:ascii="Arial" w:eastAsia="Arial" w:hAnsi="Arial" w:cs="Arial"/>
          <w:sz w:val="16"/>
          <w:lang w:val="es-ES" w:eastAsia="es-ES" w:bidi="es-ES"/>
        </w:rPr>
      </w:pPr>
    </w:p>
    <w:tbl>
      <w:tblPr>
        <w:tblW w:w="9448" w:type="dxa"/>
        <w:tblLook w:val="04A0" w:firstRow="1" w:lastRow="0" w:firstColumn="1" w:lastColumn="0" w:noHBand="0" w:noVBand="1"/>
      </w:tblPr>
      <w:tblGrid>
        <w:gridCol w:w="866"/>
        <w:gridCol w:w="706"/>
        <w:gridCol w:w="776"/>
        <w:gridCol w:w="1251"/>
        <w:gridCol w:w="1111"/>
        <w:gridCol w:w="800"/>
        <w:gridCol w:w="1111"/>
        <w:gridCol w:w="776"/>
        <w:gridCol w:w="1251"/>
        <w:gridCol w:w="800"/>
      </w:tblGrid>
      <w:tr w:rsidR="009D1AEF" w:rsidRPr="009D1AEF" w14:paraId="39A98194" w14:textId="77777777" w:rsidTr="009D1AEF">
        <w:trPr>
          <w:trHeight w:val="586"/>
        </w:trPr>
        <w:tc>
          <w:tcPr>
            <w:tcW w:w="9448" w:type="dxa"/>
            <w:gridSpan w:val="10"/>
            <w:vAlign w:val="center"/>
          </w:tcPr>
          <w:p w14:paraId="31A11C1A" w14:textId="77777777" w:rsidR="009D1AEF" w:rsidRPr="009D1AEF" w:rsidRDefault="009D1AEF" w:rsidP="009D1AEF">
            <w:pPr>
              <w:widowControl w:val="0"/>
              <w:autoSpaceDE w:val="0"/>
              <w:autoSpaceDN w:val="0"/>
              <w:spacing w:before="28" w:after="0"/>
              <w:jc w:val="center"/>
              <w:rPr>
                <w:rFonts w:ascii="Arial" w:eastAsia="Arial" w:hAnsi="Arial" w:cs="Arial"/>
                <w:b/>
                <w:sz w:val="14"/>
                <w:szCs w:val="14"/>
                <w:lang w:val="es-ES" w:eastAsia="es-ES" w:bidi="es-ES"/>
              </w:rPr>
            </w:pPr>
            <w:r w:rsidRPr="009D1AEF">
              <w:rPr>
                <w:rFonts w:ascii="Arial" w:eastAsia="Arial" w:hAnsi="Arial" w:cs="Arial"/>
                <w:b/>
                <w:sz w:val="14"/>
                <w:szCs w:val="14"/>
                <w:lang w:val="es-ES" w:eastAsia="es-ES" w:bidi="es-ES"/>
              </w:rPr>
              <w:t>FINANCIAMIENTOS DE ENTIDADES FEDERATIVAS Y SUS ENTES PÚBLICOS POR FUENTE DE PAGO</w:t>
            </w:r>
          </w:p>
          <w:p w14:paraId="0CBFEB10" w14:textId="77777777" w:rsidR="009D1AEF" w:rsidRPr="009D1AEF" w:rsidRDefault="009D1AEF" w:rsidP="009D1AEF">
            <w:pPr>
              <w:widowControl w:val="0"/>
              <w:autoSpaceDE w:val="0"/>
              <w:autoSpaceDN w:val="0"/>
              <w:spacing w:before="28" w:after="0"/>
              <w:jc w:val="center"/>
              <w:rPr>
                <w:rFonts w:ascii="Arial" w:eastAsia="Arial" w:hAnsi="Arial" w:cs="Arial"/>
                <w:b/>
                <w:sz w:val="14"/>
                <w:szCs w:val="14"/>
                <w:lang w:val="es-ES" w:eastAsia="es-ES" w:bidi="es-ES"/>
              </w:rPr>
            </w:pPr>
            <w:r w:rsidRPr="009D1AEF">
              <w:rPr>
                <w:rFonts w:ascii="Arial" w:eastAsia="Arial" w:hAnsi="Arial" w:cs="Arial"/>
                <w:b/>
                <w:sz w:val="14"/>
                <w:szCs w:val="14"/>
                <w:lang w:val="es-ES" w:eastAsia="es-ES" w:bidi="es-ES"/>
              </w:rPr>
              <w:t>Saldo al cierre de 2022 (Millones de pesos)</w:t>
            </w:r>
          </w:p>
        </w:tc>
      </w:tr>
      <w:tr w:rsidR="009D1AEF" w:rsidRPr="009D1AEF" w14:paraId="126B3E31" w14:textId="77777777" w:rsidTr="009D1AEF">
        <w:tc>
          <w:tcPr>
            <w:tcW w:w="6621" w:type="dxa"/>
            <w:gridSpan w:val="7"/>
            <w:tcBorders>
              <w:bottom w:val="single" w:sz="6" w:space="0" w:color="FFFFFF" w:themeColor="background1"/>
              <w:right w:val="single" w:sz="6" w:space="0" w:color="FFFFFF" w:themeColor="background1"/>
            </w:tcBorders>
            <w:shd w:val="clear" w:color="auto" w:fill="A5A5A5" w:themeFill="accent3"/>
            <w:vAlign w:val="center"/>
          </w:tcPr>
          <w:p w14:paraId="36DCF085"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Gobierno de la Entidad Federativa</w:t>
            </w:r>
          </w:p>
        </w:tc>
        <w:tc>
          <w:tcPr>
            <w:tcW w:w="2827" w:type="dxa"/>
            <w:gridSpan w:val="3"/>
            <w:tcBorders>
              <w:left w:val="single" w:sz="6" w:space="0" w:color="FFFFFF" w:themeColor="background1"/>
              <w:bottom w:val="single" w:sz="6" w:space="0" w:color="FFFFFF" w:themeColor="background1"/>
            </w:tcBorders>
            <w:shd w:val="clear" w:color="auto" w:fill="A5A5A5" w:themeFill="accent3"/>
            <w:vAlign w:val="center"/>
          </w:tcPr>
          <w:p w14:paraId="5503EB6B"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Entes Públicos Estatales</w:t>
            </w:r>
          </w:p>
        </w:tc>
      </w:tr>
      <w:tr w:rsidR="009D1AEF" w:rsidRPr="009D1AEF" w14:paraId="3E244659" w14:textId="77777777" w:rsidTr="009D1AEF">
        <w:tc>
          <w:tcPr>
            <w:tcW w:w="866" w:type="dxa"/>
            <w:tcBorders>
              <w:top w:val="single" w:sz="6" w:space="0" w:color="FFFFFF" w:themeColor="background1"/>
              <w:right w:val="single" w:sz="6" w:space="0" w:color="FFFFFF" w:themeColor="background1"/>
            </w:tcBorders>
            <w:shd w:val="clear" w:color="auto" w:fill="A5A5A5" w:themeFill="accent3"/>
            <w:vAlign w:val="center"/>
          </w:tcPr>
          <w:p w14:paraId="373D9ADE"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Entidad</w:t>
            </w:r>
          </w:p>
        </w:tc>
        <w:tc>
          <w:tcPr>
            <w:tcW w:w="706" w:type="dxa"/>
            <w:tcBorders>
              <w:top w:val="single" w:sz="6" w:space="0" w:color="FFFFFF" w:themeColor="background1"/>
              <w:left w:val="single" w:sz="6" w:space="0" w:color="FFFFFF" w:themeColor="background1"/>
              <w:right w:val="single" w:sz="6" w:space="0" w:color="FFFFFF" w:themeColor="background1"/>
            </w:tcBorders>
            <w:shd w:val="clear" w:color="auto" w:fill="A5A5A5" w:themeFill="accent3"/>
            <w:vAlign w:val="center"/>
          </w:tcPr>
          <w:p w14:paraId="516B11E9"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Total</w:t>
            </w:r>
          </w:p>
        </w:tc>
        <w:tc>
          <w:tcPr>
            <w:tcW w:w="776" w:type="dxa"/>
            <w:tcBorders>
              <w:top w:val="single" w:sz="6" w:space="0" w:color="FFFFFF" w:themeColor="background1"/>
              <w:left w:val="single" w:sz="6" w:space="0" w:color="FFFFFF" w:themeColor="background1"/>
              <w:right w:val="single" w:sz="6" w:space="0" w:color="FFFFFF" w:themeColor="background1"/>
            </w:tcBorders>
            <w:shd w:val="clear" w:color="auto" w:fill="A5A5A5" w:themeFill="accent3"/>
            <w:vAlign w:val="center"/>
          </w:tcPr>
          <w:p w14:paraId="139AFAA1"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Subtotal</w:t>
            </w:r>
          </w:p>
        </w:tc>
        <w:tc>
          <w:tcPr>
            <w:tcW w:w="1251" w:type="dxa"/>
            <w:tcBorders>
              <w:top w:val="single" w:sz="6" w:space="0" w:color="FFFFFF" w:themeColor="background1"/>
              <w:left w:val="single" w:sz="6" w:space="0" w:color="FFFFFF" w:themeColor="background1"/>
              <w:right w:val="single" w:sz="6" w:space="0" w:color="FFFFFF" w:themeColor="background1"/>
            </w:tcBorders>
            <w:shd w:val="clear" w:color="auto" w:fill="A5A5A5" w:themeFill="accent3"/>
            <w:vAlign w:val="center"/>
          </w:tcPr>
          <w:p w14:paraId="3B8DA3F1"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Participaciones</w:t>
            </w:r>
          </w:p>
        </w:tc>
        <w:tc>
          <w:tcPr>
            <w:tcW w:w="1111" w:type="dxa"/>
            <w:tcBorders>
              <w:top w:val="single" w:sz="6" w:space="0" w:color="FFFFFF" w:themeColor="background1"/>
              <w:left w:val="single" w:sz="6" w:space="0" w:color="FFFFFF" w:themeColor="background1"/>
              <w:right w:val="single" w:sz="6" w:space="0" w:color="FFFFFF" w:themeColor="background1"/>
            </w:tcBorders>
            <w:shd w:val="clear" w:color="auto" w:fill="A5A5A5" w:themeFill="accent3"/>
            <w:vAlign w:val="center"/>
          </w:tcPr>
          <w:p w14:paraId="43D729E5"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Aportaciones</w:t>
            </w:r>
          </w:p>
        </w:tc>
        <w:tc>
          <w:tcPr>
            <w:tcW w:w="800" w:type="dxa"/>
            <w:tcBorders>
              <w:top w:val="single" w:sz="6" w:space="0" w:color="FFFFFF" w:themeColor="background1"/>
              <w:left w:val="single" w:sz="6" w:space="0" w:color="FFFFFF" w:themeColor="background1"/>
              <w:right w:val="single" w:sz="6" w:space="0" w:color="FFFFFF" w:themeColor="background1"/>
            </w:tcBorders>
            <w:shd w:val="clear" w:color="auto" w:fill="A5A5A5" w:themeFill="accent3"/>
            <w:vAlign w:val="center"/>
          </w:tcPr>
          <w:p w14:paraId="306F0BC3"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Ingresos</w:t>
            </w:r>
          </w:p>
          <w:p w14:paraId="2F22FBF3"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Locales</w:t>
            </w:r>
          </w:p>
        </w:tc>
        <w:tc>
          <w:tcPr>
            <w:tcW w:w="1111" w:type="dxa"/>
            <w:tcBorders>
              <w:top w:val="single" w:sz="6" w:space="0" w:color="FFFFFF" w:themeColor="background1"/>
              <w:left w:val="single" w:sz="6" w:space="0" w:color="FFFFFF" w:themeColor="background1"/>
              <w:right w:val="single" w:sz="6" w:space="0" w:color="FFFFFF" w:themeColor="background1"/>
            </w:tcBorders>
            <w:shd w:val="clear" w:color="auto" w:fill="A5A5A5" w:themeFill="accent3"/>
            <w:vAlign w:val="center"/>
          </w:tcPr>
          <w:p w14:paraId="6C287763"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Corto Plazo</w:t>
            </w:r>
          </w:p>
          <w:p w14:paraId="6778F032"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Quirografario</w:t>
            </w:r>
          </w:p>
        </w:tc>
        <w:tc>
          <w:tcPr>
            <w:tcW w:w="776" w:type="dxa"/>
            <w:tcBorders>
              <w:top w:val="single" w:sz="6" w:space="0" w:color="FFFFFF" w:themeColor="background1"/>
              <w:left w:val="single" w:sz="6" w:space="0" w:color="FFFFFF" w:themeColor="background1"/>
              <w:right w:val="single" w:sz="6" w:space="0" w:color="FFFFFF" w:themeColor="background1"/>
            </w:tcBorders>
            <w:shd w:val="clear" w:color="auto" w:fill="A5A5A5" w:themeFill="accent3"/>
            <w:vAlign w:val="center"/>
          </w:tcPr>
          <w:p w14:paraId="25A3A946"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Subtotal</w:t>
            </w:r>
          </w:p>
        </w:tc>
        <w:tc>
          <w:tcPr>
            <w:tcW w:w="1251" w:type="dxa"/>
            <w:tcBorders>
              <w:top w:val="single" w:sz="6" w:space="0" w:color="FFFFFF" w:themeColor="background1"/>
              <w:left w:val="single" w:sz="6" w:space="0" w:color="FFFFFF" w:themeColor="background1"/>
              <w:right w:val="single" w:sz="6" w:space="0" w:color="FFFFFF" w:themeColor="background1"/>
            </w:tcBorders>
            <w:shd w:val="clear" w:color="auto" w:fill="A5A5A5" w:themeFill="accent3"/>
            <w:vAlign w:val="center"/>
          </w:tcPr>
          <w:p w14:paraId="12A1A69E"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Participaciones</w:t>
            </w:r>
          </w:p>
        </w:tc>
        <w:tc>
          <w:tcPr>
            <w:tcW w:w="800" w:type="dxa"/>
            <w:tcBorders>
              <w:top w:val="single" w:sz="6" w:space="0" w:color="FFFFFF" w:themeColor="background1"/>
              <w:left w:val="single" w:sz="6" w:space="0" w:color="FFFFFF" w:themeColor="background1"/>
            </w:tcBorders>
            <w:shd w:val="clear" w:color="auto" w:fill="A5A5A5" w:themeFill="accent3"/>
            <w:vAlign w:val="center"/>
          </w:tcPr>
          <w:p w14:paraId="5E81BA1D"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Ingresos</w:t>
            </w:r>
          </w:p>
          <w:p w14:paraId="31CDC5A6" w14:textId="77777777" w:rsidR="009D1AEF" w:rsidRPr="009D1AEF" w:rsidRDefault="009D1AEF" w:rsidP="009D1AEF">
            <w:pPr>
              <w:widowControl w:val="0"/>
              <w:autoSpaceDE w:val="0"/>
              <w:autoSpaceDN w:val="0"/>
              <w:spacing w:before="28"/>
              <w:jc w:val="center"/>
              <w:rPr>
                <w:rFonts w:ascii="Arial" w:eastAsia="Arial" w:hAnsi="Arial" w:cs="Arial"/>
                <w:b/>
                <w:color w:val="FFFFFF" w:themeColor="background1"/>
                <w:sz w:val="14"/>
                <w:szCs w:val="14"/>
                <w:lang w:val="es-ES" w:eastAsia="es-ES" w:bidi="es-ES"/>
              </w:rPr>
            </w:pPr>
            <w:r w:rsidRPr="009D1AEF">
              <w:rPr>
                <w:rFonts w:ascii="Arial" w:eastAsia="Arial" w:hAnsi="Arial" w:cs="Arial"/>
                <w:b/>
                <w:color w:val="FFFFFF" w:themeColor="background1"/>
                <w:sz w:val="14"/>
                <w:szCs w:val="14"/>
                <w:lang w:val="es-ES" w:eastAsia="es-ES" w:bidi="es-ES"/>
              </w:rPr>
              <w:t>Locales</w:t>
            </w:r>
          </w:p>
        </w:tc>
      </w:tr>
      <w:tr w:rsidR="009D1AEF" w:rsidRPr="009D1AEF" w14:paraId="2DF0CA78" w14:textId="77777777" w:rsidTr="009D1AEF">
        <w:tc>
          <w:tcPr>
            <w:tcW w:w="866" w:type="dxa"/>
          </w:tcPr>
          <w:p w14:paraId="10ABA465" w14:textId="77777777" w:rsidR="009D1AEF" w:rsidRPr="009D1AEF" w:rsidRDefault="009D1AEF" w:rsidP="009D1AEF">
            <w:pPr>
              <w:widowControl w:val="0"/>
              <w:autoSpaceDE w:val="0"/>
              <w:autoSpaceDN w:val="0"/>
              <w:spacing w:before="28"/>
              <w:rPr>
                <w:rFonts w:ascii="Arial" w:eastAsia="Arial" w:hAnsi="Arial" w:cs="Arial"/>
                <w:sz w:val="16"/>
                <w:lang w:val="es-ES" w:eastAsia="es-ES" w:bidi="es-ES"/>
              </w:rPr>
            </w:pPr>
            <w:r w:rsidRPr="009D1AEF">
              <w:rPr>
                <w:rFonts w:ascii="Arial" w:eastAsia="Arial" w:hAnsi="Arial" w:cs="Arial"/>
                <w:sz w:val="16"/>
                <w:lang w:val="es-ES" w:eastAsia="es-ES" w:bidi="es-ES"/>
              </w:rPr>
              <w:t>Quintana Roo</w:t>
            </w:r>
          </w:p>
        </w:tc>
        <w:tc>
          <w:tcPr>
            <w:tcW w:w="706" w:type="dxa"/>
          </w:tcPr>
          <w:p w14:paraId="23CE64ED" w14:textId="77777777" w:rsidR="009D1AEF" w:rsidRPr="009D1AEF" w:rsidRDefault="009D1AEF" w:rsidP="009D1AEF">
            <w:pPr>
              <w:widowControl w:val="0"/>
              <w:autoSpaceDE w:val="0"/>
              <w:autoSpaceDN w:val="0"/>
              <w:spacing w:before="28"/>
              <w:jc w:val="right"/>
              <w:rPr>
                <w:rFonts w:ascii="Arial" w:eastAsia="Arial" w:hAnsi="Arial" w:cs="Arial"/>
                <w:sz w:val="16"/>
                <w:lang w:val="es-ES" w:eastAsia="es-ES" w:bidi="es-ES"/>
              </w:rPr>
            </w:pPr>
            <w:r w:rsidRPr="009D1AEF">
              <w:rPr>
                <w:rFonts w:ascii="Arial" w:eastAsia="Arial" w:hAnsi="Arial" w:cs="Arial"/>
                <w:sz w:val="16"/>
                <w:lang w:val="es-ES" w:eastAsia="es-ES" w:bidi="es-ES"/>
              </w:rPr>
              <w:t>21,274</w:t>
            </w:r>
          </w:p>
        </w:tc>
        <w:tc>
          <w:tcPr>
            <w:tcW w:w="776" w:type="dxa"/>
          </w:tcPr>
          <w:p w14:paraId="40028E59" w14:textId="77777777" w:rsidR="009D1AEF" w:rsidRPr="009D1AEF" w:rsidRDefault="009D1AEF" w:rsidP="009D1AEF">
            <w:pPr>
              <w:widowControl w:val="0"/>
              <w:autoSpaceDE w:val="0"/>
              <w:autoSpaceDN w:val="0"/>
              <w:spacing w:before="28"/>
              <w:jc w:val="right"/>
              <w:rPr>
                <w:rFonts w:ascii="Arial" w:eastAsia="Arial" w:hAnsi="Arial" w:cs="Arial"/>
                <w:sz w:val="16"/>
                <w:lang w:val="es-ES" w:eastAsia="es-ES" w:bidi="es-ES"/>
              </w:rPr>
            </w:pPr>
            <w:r w:rsidRPr="009D1AEF">
              <w:rPr>
                <w:rFonts w:ascii="Arial" w:eastAsia="Arial" w:hAnsi="Arial" w:cs="Arial"/>
                <w:sz w:val="16"/>
                <w:lang w:val="es-ES" w:eastAsia="es-ES" w:bidi="es-ES"/>
              </w:rPr>
              <w:t>20,896</w:t>
            </w:r>
          </w:p>
        </w:tc>
        <w:tc>
          <w:tcPr>
            <w:tcW w:w="1251" w:type="dxa"/>
          </w:tcPr>
          <w:p w14:paraId="3D1BB34A" w14:textId="77777777" w:rsidR="009D1AEF" w:rsidRPr="009D1AEF" w:rsidRDefault="009D1AEF" w:rsidP="009D1AEF">
            <w:pPr>
              <w:widowControl w:val="0"/>
              <w:autoSpaceDE w:val="0"/>
              <w:autoSpaceDN w:val="0"/>
              <w:spacing w:before="28"/>
              <w:jc w:val="right"/>
              <w:rPr>
                <w:rFonts w:ascii="Arial" w:eastAsia="Arial" w:hAnsi="Arial" w:cs="Arial"/>
                <w:sz w:val="16"/>
                <w:lang w:val="es-ES" w:eastAsia="es-ES" w:bidi="es-ES"/>
              </w:rPr>
            </w:pPr>
            <w:r w:rsidRPr="009D1AEF">
              <w:rPr>
                <w:rFonts w:ascii="Arial" w:eastAsia="Arial" w:hAnsi="Arial" w:cs="Arial"/>
                <w:sz w:val="16"/>
                <w:lang w:val="es-ES" w:eastAsia="es-ES" w:bidi="es-ES"/>
              </w:rPr>
              <w:t>18,594</w:t>
            </w:r>
          </w:p>
        </w:tc>
        <w:tc>
          <w:tcPr>
            <w:tcW w:w="1111" w:type="dxa"/>
          </w:tcPr>
          <w:p w14:paraId="6AB9F83E" w14:textId="77777777" w:rsidR="009D1AEF" w:rsidRPr="009D1AEF" w:rsidRDefault="009D1AEF" w:rsidP="009D1AEF">
            <w:pPr>
              <w:widowControl w:val="0"/>
              <w:autoSpaceDE w:val="0"/>
              <w:autoSpaceDN w:val="0"/>
              <w:spacing w:before="28"/>
              <w:jc w:val="center"/>
              <w:rPr>
                <w:rFonts w:ascii="Arial" w:eastAsia="Arial" w:hAnsi="Arial" w:cs="Arial"/>
                <w:sz w:val="16"/>
                <w:lang w:val="es-ES" w:eastAsia="es-ES" w:bidi="es-ES"/>
              </w:rPr>
            </w:pPr>
            <w:r w:rsidRPr="009D1AEF">
              <w:rPr>
                <w:rFonts w:ascii="Arial" w:eastAsia="Arial" w:hAnsi="Arial" w:cs="Arial"/>
                <w:sz w:val="16"/>
                <w:lang w:val="es-ES" w:eastAsia="es-ES" w:bidi="es-ES"/>
              </w:rPr>
              <w:t>802</w:t>
            </w:r>
          </w:p>
        </w:tc>
        <w:tc>
          <w:tcPr>
            <w:tcW w:w="800" w:type="dxa"/>
          </w:tcPr>
          <w:p w14:paraId="7B7564F8" w14:textId="77777777" w:rsidR="009D1AEF" w:rsidRPr="009D1AEF" w:rsidRDefault="009D1AEF" w:rsidP="009D1AEF">
            <w:pPr>
              <w:widowControl w:val="0"/>
              <w:autoSpaceDE w:val="0"/>
              <w:autoSpaceDN w:val="0"/>
              <w:spacing w:before="28"/>
              <w:jc w:val="center"/>
              <w:rPr>
                <w:rFonts w:ascii="Arial" w:eastAsia="Arial" w:hAnsi="Arial" w:cs="Arial"/>
                <w:sz w:val="16"/>
                <w:lang w:val="es-ES" w:eastAsia="es-ES" w:bidi="es-ES"/>
              </w:rPr>
            </w:pPr>
            <w:r w:rsidRPr="009D1AEF">
              <w:rPr>
                <w:rFonts w:ascii="Arial" w:eastAsia="Arial" w:hAnsi="Arial" w:cs="Arial"/>
                <w:sz w:val="16"/>
                <w:lang w:val="es-ES" w:eastAsia="es-ES" w:bidi="es-ES"/>
              </w:rPr>
              <w:t>-</w:t>
            </w:r>
          </w:p>
        </w:tc>
        <w:tc>
          <w:tcPr>
            <w:tcW w:w="1111" w:type="dxa"/>
            <w:tcBorders>
              <w:right w:val="single" w:sz="6" w:space="0" w:color="FFFFFF" w:themeColor="background1"/>
            </w:tcBorders>
          </w:tcPr>
          <w:p w14:paraId="61AF875C" w14:textId="77777777" w:rsidR="009D1AEF" w:rsidRPr="009D1AEF" w:rsidRDefault="009D1AEF" w:rsidP="009D1AEF">
            <w:pPr>
              <w:widowControl w:val="0"/>
              <w:autoSpaceDE w:val="0"/>
              <w:autoSpaceDN w:val="0"/>
              <w:spacing w:before="28"/>
              <w:jc w:val="right"/>
              <w:rPr>
                <w:rFonts w:ascii="Arial" w:eastAsia="Arial" w:hAnsi="Arial" w:cs="Arial"/>
                <w:sz w:val="16"/>
                <w:lang w:val="es-ES" w:eastAsia="es-ES" w:bidi="es-ES"/>
              </w:rPr>
            </w:pPr>
            <w:r w:rsidRPr="009D1AEF">
              <w:rPr>
                <w:rFonts w:ascii="Arial" w:eastAsia="Arial" w:hAnsi="Arial" w:cs="Arial"/>
                <w:sz w:val="16"/>
                <w:lang w:val="es-ES" w:eastAsia="es-ES" w:bidi="es-ES"/>
              </w:rPr>
              <w:t>1,500</w:t>
            </w:r>
          </w:p>
        </w:tc>
        <w:tc>
          <w:tcPr>
            <w:tcW w:w="776" w:type="dxa"/>
            <w:tcBorders>
              <w:left w:val="single" w:sz="6" w:space="0" w:color="FFFFFF" w:themeColor="background1"/>
            </w:tcBorders>
          </w:tcPr>
          <w:p w14:paraId="25E8CBA2" w14:textId="77777777" w:rsidR="009D1AEF" w:rsidRPr="009D1AEF" w:rsidRDefault="009D1AEF" w:rsidP="009D1AEF">
            <w:pPr>
              <w:widowControl w:val="0"/>
              <w:autoSpaceDE w:val="0"/>
              <w:autoSpaceDN w:val="0"/>
              <w:spacing w:before="28"/>
              <w:jc w:val="right"/>
              <w:rPr>
                <w:rFonts w:ascii="Arial" w:eastAsia="Arial" w:hAnsi="Arial" w:cs="Arial"/>
                <w:sz w:val="16"/>
                <w:lang w:val="es-ES" w:eastAsia="es-ES" w:bidi="es-ES"/>
              </w:rPr>
            </w:pPr>
            <w:r w:rsidRPr="009D1AEF">
              <w:rPr>
                <w:rFonts w:ascii="Arial" w:eastAsia="Arial" w:hAnsi="Arial" w:cs="Arial"/>
                <w:sz w:val="16"/>
                <w:lang w:val="es-ES" w:eastAsia="es-ES" w:bidi="es-ES"/>
              </w:rPr>
              <w:t>378</w:t>
            </w:r>
          </w:p>
        </w:tc>
        <w:tc>
          <w:tcPr>
            <w:tcW w:w="1251" w:type="dxa"/>
          </w:tcPr>
          <w:p w14:paraId="6ED8DF50" w14:textId="77777777" w:rsidR="009D1AEF" w:rsidRPr="009D1AEF" w:rsidRDefault="009D1AEF" w:rsidP="009D1AEF">
            <w:pPr>
              <w:widowControl w:val="0"/>
              <w:autoSpaceDE w:val="0"/>
              <w:autoSpaceDN w:val="0"/>
              <w:spacing w:before="28"/>
              <w:jc w:val="right"/>
              <w:rPr>
                <w:rFonts w:ascii="Arial" w:eastAsia="Arial" w:hAnsi="Arial" w:cs="Arial"/>
                <w:sz w:val="16"/>
                <w:lang w:val="es-ES" w:eastAsia="es-ES" w:bidi="es-ES"/>
              </w:rPr>
            </w:pPr>
            <w:r w:rsidRPr="009D1AEF">
              <w:rPr>
                <w:rFonts w:ascii="Arial" w:eastAsia="Arial" w:hAnsi="Arial" w:cs="Arial"/>
                <w:sz w:val="16"/>
                <w:lang w:val="es-ES" w:eastAsia="es-ES" w:bidi="es-ES"/>
              </w:rPr>
              <w:t>378</w:t>
            </w:r>
          </w:p>
        </w:tc>
        <w:tc>
          <w:tcPr>
            <w:tcW w:w="800" w:type="dxa"/>
          </w:tcPr>
          <w:p w14:paraId="10FBFB9F" w14:textId="77777777" w:rsidR="009D1AEF" w:rsidRPr="009D1AEF" w:rsidRDefault="009D1AEF" w:rsidP="009D1AEF">
            <w:pPr>
              <w:widowControl w:val="0"/>
              <w:autoSpaceDE w:val="0"/>
              <w:autoSpaceDN w:val="0"/>
              <w:spacing w:before="28"/>
              <w:jc w:val="center"/>
              <w:rPr>
                <w:rFonts w:ascii="Arial" w:eastAsia="Arial" w:hAnsi="Arial" w:cs="Arial"/>
                <w:sz w:val="16"/>
                <w:lang w:val="es-ES" w:eastAsia="es-ES" w:bidi="es-ES"/>
              </w:rPr>
            </w:pPr>
            <w:r w:rsidRPr="009D1AEF">
              <w:rPr>
                <w:rFonts w:ascii="Arial" w:eastAsia="Arial" w:hAnsi="Arial" w:cs="Arial"/>
                <w:sz w:val="16"/>
                <w:lang w:val="es-ES" w:eastAsia="es-ES" w:bidi="es-ES"/>
              </w:rPr>
              <w:t>-</w:t>
            </w:r>
          </w:p>
        </w:tc>
      </w:tr>
      <w:tr w:rsidR="009D1AEF" w:rsidRPr="009D1AEF" w14:paraId="74F454A5" w14:textId="77777777" w:rsidTr="009D1AEF">
        <w:tc>
          <w:tcPr>
            <w:tcW w:w="9448" w:type="dxa"/>
            <w:gridSpan w:val="10"/>
          </w:tcPr>
          <w:p w14:paraId="099430EB" w14:textId="77777777" w:rsidR="009D1AEF" w:rsidRPr="009D1AEF" w:rsidRDefault="009D1AEF" w:rsidP="009D1AEF">
            <w:pPr>
              <w:spacing w:after="0" w:line="276" w:lineRule="auto"/>
              <w:rPr>
                <w:rFonts w:ascii="Arial" w:eastAsia="Times New Roman" w:hAnsi="Arial" w:cs="Arial"/>
                <w:b/>
                <w:color w:val="404040" w:themeColor="text1" w:themeTint="BF"/>
                <w:sz w:val="6"/>
                <w:szCs w:val="6"/>
                <w:lang w:eastAsia="es-MX"/>
              </w:rPr>
            </w:pPr>
          </w:p>
          <w:p w14:paraId="15255A40" w14:textId="77777777" w:rsidR="009D1AEF" w:rsidRPr="009D1AEF" w:rsidRDefault="009D1AEF" w:rsidP="009D1AEF">
            <w:pPr>
              <w:spacing w:after="0" w:line="276" w:lineRule="auto"/>
              <w:jc w:val="both"/>
              <w:rPr>
                <w:rFonts w:ascii="Arial" w:eastAsia="Times New Roman" w:hAnsi="Arial" w:cs="Arial"/>
                <w:color w:val="404040" w:themeColor="text1" w:themeTint="BF"/>
                <w:sz w:val="14"/>
                <w:szCs w:val="16"/>
                <w:lang w:eastAsia="es-MX"/>
              </w:rPr>
            </w:pPr>
            <w:r w:rsidRPr="009D1AEF">
              <w:rPr>
                <w:rFonts w:ascii="Arial" w:eastAsia="Times New Roman" w:hAnsi="Arial" w:cs="Arial"/>
                <w:b/>
                <w:color w:val="404040" w:themeColor="text1" w:themeTint="BF"/>
                <w:sz w:val="14"/>
                <w:szCs w:val="16"/>
                <w:lang w:eastAsia="es-MX"/>
              </w:rPr>
              <w:t>Fuente:</w:t>
            </w:r>
            <w:r w:rsidRPr="009D1AEF">
              <w:rPr>
                <w:rFonts w:ascii="Arial" w:eastAsia="Times New Roman" w:hAnsi="Arial" w:cs="Arial"/>
                <w:color w:val="404040" w:themeColor="text1" w:themeTint="BF"/>
                <w:sz w:val="14"/>
                <w:szCs w:val="16"/>
                <w:lang w:eastAsia="es-MX"/>
              </w:rPr>
              <w:t xml:space="preserve"> Elaborado por la Dirección General adjunta de la Deuda Pública de Entidades Federativas y Municipios de la Coordinación con Entidades Federativas. Secretaría de Hacienda y Crédito Público, con información proporcionada por las Entidades Federativas a través del Sistema del Registro Público Único.</w:t>
            </w:r>
            <w:r w:rsidR="001376C7">
              <w:rPr>
                <w:rFonts w:ascii="Arial" w:eastAsia="Times New Roman" w:hAnsi="Arial" w:cs="Arial"/>
                <w:color w:val="404040" w:themeColor="text1" w:themeTint="BF"/>
                <w:sz w:val="14"/>
                <w:szCs w:val="16"/>
                <w:lang w:eastAsia="es-MX"/>
              </w:rPr>
              <w:t xml:space="preserve"> </w:t>
            </w:r>
          </w:p>
          <w:p w14:paraId="5504098A" w14:textId="77777777" w:rsidR="009D1AEF" w:rsidRPr="009D1AEF" w:rsidRDefault="009D1AEF" w:rsidP="009D1AEF">
            <w:pPr>
              <w:spacing w:after="0" w:line="276" w:lineRule="auto"/>
              <w:rPr>
                <w:rFonts w:ascii="Arial" w:eastAsia="Times New Roman" w:hAnsi="Arial" w:cs="Arial"/>
                <w:color w:val="404040" w:themeColor="text1" w:themeTint="BF"/>
                <w:sz w:val="14"/>
                <w:szCs w:val="16"/>
                <w:lang w:eastAsia="es-MX"/>
              </w:rPr>
            </w:pPr>
            <w:r w:rsidRPr="009D1AEF">
              <w:rPr>
                <w:rFonts w:ascii="Arial" w:eastAsia="Times New Roman" w:hAnsi="Arial" w:cs="Arial"/>
                <w:color w:val="404040" w:themeColor="text1" w:themeTint="BF"/>
                <w:sz w:val="14"/>
                <w:szCs w:val="16"/>
                <w:lang w:eastAsia="es-MX"/>
              </w:rPr>
              <w:t>Se clasifica considerando el ingreso de la fuente primaria.</w:t>
            </w:r>
          </w:p>
          <w:p w14:paraId="16EEC721" w14:textId="77777777" w:rsidR="009D1AEF" w:rsidRPr="009D1AEF" w:rsidRDefault="009D1AEF" w:rsidP="009D1AEF">
            <w:pPr>
              <w:spacing w:after="0" w:line="276" w:lineRule="auto"/>
              <w:rPr>
                <w:rFonts w:ascii="Arial" w:eastAsia="Times New Roman" w:hAnsi="Arial" w:cs="Arial"/>
                <w:color w:val="404040" w:themeColor="text1" w:themeTint="BF"/>
                <w:sz w:val="14"/>
                <w:szCs w:val="16"/>
                <w:lang w:eastAsia="es-MX"/>
              </w:rPr>
            </w:pPr>
            <w:r w:rsidRPr="009D1AEF">
              <w:rPr>
                <w:rFonts w:ascii="Arial" w:eastAsia="Times New Roman" w:hAnsi="Arial" w:cs="Arial"/>
                <w:b/>
                <w:color w:val="404040" w:themeColor="text1" w:themeTint="BF"/>
                <w:sz w:val="14"/>
                <w:szCs w:val="16"/>
                <w:lang w:eastAsia="es-MX"/>
              </w:rPr>
              <w:t>Nota:</w:t>
            </w:r>
            <w:r w:rsidRPr="009D1AEF">
              <w:rPr>
                <w:rFonts w:ascii="Arial" w:eastAsia="Times New Roman" w:hAnsi="Arial" w:cs="Arial"/>
                <w:color w:val="404040" w:themeColor="text1" w:themeTint="BF"/>
                <w:sz w:val="14"/>
                <w:szCs w:val="16"/>
                <w:lang w:eastAsia="es-MX"/>
              </w:rPr>
              <w:t xml:space="preserve"> Los indicadores de esta entidad, se encuentran globalizados en los indicadores de deuda estatal.</w:t>
            </w:r>
          </w:p>
          <w:p w14:paraId="615A0837" w14:textId="77777777" w:rsidR="009D1AEF" w:rsidRPr="009D1AEF" w:rsidRDefault="00D33739" w:rsidP="009D1AEF">
            <w:pPr>
              <w:spacing w:after="0" w:line="276" w:lineRule="auto"/>
              <w:rPr>
                <w:rFonts w:ascii="Arial" w:hAnsi="Arial" w:cs="Arial"/>
                <w:color w:val="404040" w:themeColor="text1" w:themeTint="BF"/>
                <w:sz w:val="14"/>
                <w:szCs w:val="14"/>
              </w:rPr>
            </w:pPr>
            <w:hyperlink r:id="rId45" w:history="1">
              <w:r w:rsidR="009D1AEF" w:rsidRPr="009D1AEF">
                <w:rPr>
                  <w:rFonts w:ascii="Arial" w:hAnsi="Arial" w:cs="Arial"/>
                  <w:color w:val="404040" w:themeColor="text1" w:themeTint="BF"/>
                  <w:sz w:val="14"/>
                  <w:szCs w:val="14"/>
                </w:rPr>
                <w:t>Disciplina Financiera de Entidades Federativas y Municipios (hacienda.gob.mx)</w:t>
              </w:r>
            </w:hyperlink>
          </w:p>
          <w:p w14:paraId="55FA0DE8" w14:textId="77777777" w:rsidR="009D1AEF" w:rsidRPr="009D1AEF" w:rsidRDefault="009D1AEF" w:rsidP="009D1AEF">
            <w:pPr>
              <w:spacing w:after="0" w:line="276" w:lineRule="auto"/>
              <w:rPr>
                <w:rFonts w:ascii="Arial" w:eastAsia="Arial" w:hAnsi="Arial" w:cs="Arial"/>
                <w:sz w:val="14"/>
                <w:szCs w:val="14"/>
                <w:lang w:val="es-ES" w:eastAsia="es-ES" w:bidi="es-ES"/>
              </w:rPr>
            </w:pPr>
          </w:p>
        </w:tc>
      </w:tr>
    </w:tbl>
    <w:p w14:paraId="5C603633" w14:textId="77777777" w:rsidR="009D1AEF" w:rsidRPr="009D1AEF" w:rsidRDefault="009D1AEF" w:rsidP="009D1AEF">
      <w:pPr>
        <w:keepNext/>
        <w:keepLines/>
        <w:spacing w:before="40" w:after="0"/>
        <w:ind w:left="284"/>
        <w:outlineLvl w:val="3"/>
        <w:rPr>
          <w:rFonts w:ascii="Arial" w:eastAsiaTheme="majorEastAsia" w:hAnsi="Arial" w:cs="Arial"/>
          <w:b/>
          <w:iCs/>
          <w:sz w:val="24"/>
          <w:lang w:val="es-ES" w:eastAsia="es-ES" w:bidi="es-ES"/>
        </w:rPr>
      </w:pPr>
      <w:r w:rsidRPr="009D1AEF">
        <w:rPr>
          <w:rFonts w:ascii="Arial" w:eastAsiaTheme="majorEastAsia" w:hAnsi="Arial" w:cs="Arial"/>
          <w:b/>
          <w:iCs/>
          <w:sz w:val="24"/>
          <w:lang w:val="es-ES" w:eastAsia="es-ES" w:bidi="es-ES"/>
        </w:rPr>
        <w:t>I.IV.- Sistema de Alertas</w:t>
      </w:r>
    </w:p>
    <w:p w14:paraId="720C30E5" w14:textId="77777777" w:rsidR="009D1AEF" w:rsidRPr="009D1AEF" w:rsidRDefault="009D1AEF" w:rsidP="009D1AEF">
      <w:pPr>
        <w:widowControl w:val="0"/>
        <w:autoSpaceDE w:val="0"/>
        <w:autoSpaceDN w:val="0"/>
        <w:spacing w:before="7" w:after="0" w:line="240" w:lineRule="auto"/>
        <w:ind w:left="567"/>
        <w:rPr>
          <w:rFonts w:ascii="Arial" w:eastAsia="Arial" w:hAnsi="Arial" w:cs="Arial"/>
          <w:b/>
          <w:sz w:val="38"/>
          <w:szCs w:val="24"/>
          <w:lang w:val="es-ES" w:eastAsia="es-ES" w:bidi="es-ES"/>
        </w:rPr>
      </w:pPr>
    </w:p>
    <w:p w14:paraId="58BCB062" w14:textId="77777777" w:rsidR="009D1AEF" w:rsidRPr="009D1AEF" w:rsidRDefault="009D1AEF" w:rsidP="009D1AEF">
      <w:pPr>
        <w:widowControl w:val="0"/>
        <w:tabs>
          <w:tab w:val="left" w:pos="9356"/>
        </w:tabs>
        <w:autoSpaceDE w:val="0"/>
        <w:autoSpaceDN w:val="0"/>
        <w:spacing w:line="276" w:lineRule="auto"/>
        <w:ind w:left="284"/>
        <w:jc w:val="both"/>
        <w:rPr>
          <w:rFonts w:ascii="Arial" w:eastAsia="Arial" w:hAnsi="Arial" w:cs="Arial"/>
          <w:sz w:val="24"/>
          <w:szCs w:val="24"/>
          <w:lang w:val="es-ES" w:eastAsia="es-ES" w:bidi="es-ES"/>
        </w:rPr>
      </w:pPr>
      <w:r w:rsidRPr="009D1AEF">
        <w:rPr>
          <w:rFonts w:ascii="Arial" w:eastAsia="Arial" w:hAnsi="Arial" w:cs="Arial"/>
          <w:sz w:val="24"/>
          <w:szCs w:val="24"/>
          <w:lang w:val="es-ES" w:eastAsia="es-ES" w:bidi="es-ES"/>
        </w:rPr>
        <w:t>Disposiciones que se incluyen en la Ley de Disciplina Financiera de las Entidades Federativas y los Municipios. Esta Ley establece que la Secretaría de Hacienda y Crédito Público deberá evaluar aquellos Entes Públicos locales (Entidades Federativas, Municipios, Organismos Públicos Descentralizados, Empresas Paraestatales, etc.) que tengan contratos, Financiamientos u obligaciones cuya fuente o garantía de pago sea de Ingresos de Libre Disposición, inscritas dentro del Registro Público Único, de acuerdo a su nivel de endeudamiento. Para aquellos casos en los que las Entidades Federativas o Municipios realicen la afectación de sus participaciones federales en garantía o como Fuente de pago a través de un fideicomiso público sin estructura que funja como acreditado en el Financiamiento u Obligación correspondiente, se consolidarán estos con los Financiamientos y Obligaciones de la Entidad Federativa o Municipio y serán computables para efectos del Sistema de Alertas.</w:t>
      </w:r>
    </w:p>
    <w:p w14:paraId="59C78EB8" w14:textId="77777777" w:rsidR="009D1AEF" w:rsidRPr="009D1AEF" w:rsidRDefault="009D1AEF" w:rsidP="009D1AEF">
      <w:pPr>
        <w:widowControl w:val="0"/>
        <w:tabs>
          <w:tab w:val="left" w:pos="9356"/>
        </w:tabs>
        <w:autoSpaceDE w:val="0"/>
        <w:autoSpaceDN w:val="0"/>
        <w:spacing w:after="0" w:line="276" w:lineRule="auto"/>
        <w:ind w:left="567"/>
        <w:jc w:val="both"/>
        <w:rPr>
          <w:rFonts w:ascii="Arial" w:eastAsia="Arial" w:hAnsi="Arial" w:cs="Arial"/>
          <w:sz w:val="12"/>
          <w:szCs w:val="24"/>
          <w:lang w:val="es-ES" w:eastAsia="es-ES" w:bidi="es-ES"/>
        </w:rPr>
      </w:pPr>
    </w:p>
    <w:p w14:paraId="57BB10FE" w14:textId="77777777" w:rsidR="009D1AEF" w:rsidRPr="009D1AEF" w:rsidRDefault="009D1AEF" w:rsidP="009D1AEF">
      <w:pPr>
        <w:widowControl w:val="0"/>
        <w:tabs>
          <w:tab w:val="left" w:pos="9356"/>
        </w:tabs>
        <w:autoSpaceDE w:val="0"/>
        <w:autoSpaceDN w:val="0"/>
        <w:spacing w:line="276" w:lineRule="auto"/>
        <w:ind w:left="284"/>
        <w:jc w:val="both"/>
        <w:rPr>
          <w:rFonts w:ascii="Arial" w:eastAsia="Arial" w:hAnsi="Arial" w:cs="Arial"/>
          <w:sz w:val="24"/>
          <w:szCs w:val="24"/>
          <w:lang w:val="es-ES" w:eastAsia="es-ES" w:bidi="es-ES"/>
        </w:rPr>
      </w:pPr>
      <w:r w:rsidRPr="009D1AEF">
        <w:rPr>
          <w:rFonts w:ascii="Arial" w:eastAsia="Arial" w:hAnsi="Arial" w:cs="Arial"/>
          <w:sz w:val="24"/>
          <w:szCs w:val="24"/>
          <w:lang w:val="es-ES" w:eastAsia="es-ES" w:bidi="es-ES"/>
        </w:rPr>
        <w:t>Derivado de la reforma a la LDF del 30 de enero de 2018, la medición del Sistema de Alertas de los Entes Públicos distintos de la administración centralizada de las Entidades Federativas y los Municipios (Entes Públicos) se realizará anualmente con información de la Cuenta Pública la cual es vinculante, y se publicará a más tardar el último día hábil de agosto del ejercicio fiscal de que se trate.</w:t>
      </w:r>
    </w:p>
    <w:p w14:paraId="3E87CC8C" w14:textId="77777777" w:rsidR="009D1AEF" w:rsidRPr="009D1AEF" w:rsidRDefault="009D1AEF" w:rsidP="009D1AEF">
      <w:pPr>
        <w:widowControl w:val="0"/>
        <w:tabs>
          <w:tab w:val="left" w:pos="9356"/>
        </w:tabs>
        <w:autoSpaceDE w:val="0"/>
        <w:autoSpaceDN w:val="0"/>
        <w:spacing w:after="0" w:line="276" w:lineRule="auto"/>
        <w:ind w:left="284"/>
        <w:jc w:val="both"/>
        <w:rPr>
          <w:rFonts w:ascii="Arial" w:eastAsia="Arial" w:hAnsi="Arial" w:cs="Arial"/>
          <w:sz w:val="12"/>
          <w:szCs w:val="24"/>
          <w:lang w:val="es-ES" w:eastAsia="es-ES" w:bidi="es-ES"/>
        </w:rPr>
      </w:pPr>
    </w:p>
    <w:p w14:paraId="7ABEDC64" w14:textId="77777777" w:rsidR="009D1AEF" w:rsidRPr="009D1AEF" w:rsidRDefault="009D1AEF" w:rsidP="009D1AEF">
      <w:pPr>
        <w:widowControl w:val="0"/>
        <w:tabs>
          <w:tab w:val="left" w:pos="9356"/>
        </w:tabs>
        <w:autoSpaceDE w:val="0"/>
        <w:autoSpaceDN w:val="0"/>
        <w:spacing w:line="276" w:lineRule="auto"/>
        <w:ind w:left="284"/>
        <w:jc w:val="both"/>
        <w:rPr>
          <w:rFonts w:ascii="Arial" w:eastAsia="Arial" w:hAnsi="Arial" w:cs="Arial"/>
          <w:sz w:val="24"/>
          <w:szCs w:val="24"/>
          <w:lang w:val="es-ES" w:eastAsia="es-ES" w:bidi="es-ES"/>
        </w:rPr>
      </w:pPr>
      <w:r w:rsidRPr="009D1AEF">
        <w:rPr>
          <w:rFonts w:ascii="Arial" w:eastAsia="Arial" w:hAnsi="Arial" w:cs="Arial"/>
          <w:sz w:val="24"/>
          <w:szCs w:val="24"/>
          <w:lang w:val="es-ES" w:eastAsia="es-ES" w:bidi="es-ES"/>
        </w:rPr>
        <w:t>Las cifras utilizadas para el cálculo tomaron en consideración la información y documentación proporcionada por los Entes Públicos, la información contable publicada por los propios Entes conforme a los formatos a que hace referencia la Ley; así como, la información disponible en el Registro Público Único a cargo de la Secretaría. La validez, veracidad y exactitud de la misma, es responsabilidad de cada uno de los Entes Públicos.</w:t>
      </w:r>
    </w:p>
    <w:p w14:paraId="0719D7C0" w14:textId="77777777" w:rsidR="009D1AEF" w:rsidRPr="009D1AEF" w:rsidRDefault="009D1AEF" w:rsidP="009D1AEF">
      <w:pPr>
        <w:widowControl w:val="0"/>
        <w:tabs>
          <w:tab w:val="left" w:pos="9356"/>
        </w:tabs>
        <w:autoSpaceDE w:val="0"/>
        <w:autoSpaceDN w:val="0"/>
        <w:spacing w:after="0" w:line="276" w:lineRule="auto"/>
        <w:ind w:left="284"/>
        <w:jc w:val="both"/>
        <w:rPr>
          <w:rFonts w:ascii="Arial" w:eastAsia="Arial" w:hAnsi="Arial" w:cs="Arial"/>
          <w:sz w:val="12"/>
          <w:szCs w:val="24"/>
          <w:lang w:val="es-ES" w:eastAsia="es-ES" w:bidi="es-ES"/>
        </w:rPr>
      </w:pPr>
    </w:p>
    <w:p w14:paraId="05769820" w14:textId="77777777" w:rsidR="009D1AEF" w:rsidRPr="009D1AEF" w:rsidRDefault="009D1AEF" w:rsidP="009D1AEF">
      <w:pPr>
        <w:widowControl w:val="0"/>
        <w:tabs>
          <w:tab w:val="left" w:pos="9356"/>
        </w:tabs>
        <w:autoSpaceDE w:val="0"/>
        <w:autoSpaceDN w:val="0"/>
        <w:spacing w:after="0" w:line="276" w:lineRule="auto"/>
        <w:ind w:left="284"/>
        <w:jc w:val="both"/>
        <w:rPr>
          <w:rFonts w:ascii="Arial" w:eastAsia="Arial" w:hAnsi="Arial" w:cs="Arial"/>
          <w:sz w:val="24"/>
          <w:szCs w:val="24"/>
          <w:lang w:val="es-ES" w:eastAsia="es-ES" w:bidi="es-ES"/>
        </w:rPr>
      </w:pPr>
      <w:r w:rsidRPr="009D1AEF">
        <w:rPr>
          <w:rFonts w:ascii="Arial" w:eastAsia="Arial" w:hAnsi="Arial" w:cs="Arial"/>
          <w:sz w:val="24"/>
          <w:szCs w:val="24"/>
          <w:lang w:val="es-ES" w:eastAsia="es-ES" w:bidi="es-ES"/>
        </w:rPr>
        <w:t xml:space="preserve">En este apartado se presentan los resultados obtenidos por la Comisión de Agua Potable y Alcantarillado del Estado de Quintana Roo, con base a la medición de los indicadores del sistema de alertas respecto de sus niveles de endeudamiento anualizado, publicado el 31 de agosto de 2023: La Comisión de Agua Potable y Alcantarillado del Estado de Quintana Roo en su resultado del sistema de alertas se encuentra en un nivel de </w:t>
      </w:r>
      <w:r w:rsidR="00962CC0" w:rsidRPr="00962CC0">
        <w:rPr>
          <w:rFonts w:ascii="Arial" w:eastAsia="Arial" w:hAnsi="Arial" w:cs="Arial"/>
          <w:b/>
          <w:sz w:val="24"/>
          <w:szCs w:val="24"/>
          <w:lang w:val="es-ES" w:eastAsia="es-ES" w:bidi="es-ES"/>
        </w:rPr>
        <w:t xml:space="preserve">Endeudamiento </w:t>
      </w:r>
      <w:r w:rsidRPr="00962CC0">
        <w:rPr>
          <w:rFonts w:ascii="Arial" w:eastAsia="Arial" w:hAnsi="Arial" w:cs="Arial"/>
          <w:b/>
          <w:sz w:val="24"/>
          <w:szCs w:val="24"/>
          <w:lang w:val="es-ES" w:eastAsia="es-ES" w:bidi="es-ES"/>
        </w:rPr>
        <w:t>Sostenible</w:t>
      </w:r>
      <w:r w:rsidRPr="009D1AEF">
        <w:rPr>
          <w:rFonts w:ascii="Arial" w:eastAsia="Arial" w:hAnsi="Arial" w:cs="Arial"/>
          <w:sz w:val="24"/>
          <w:szCs w:val="24"/>
          <w:lang w:val="es-ES" w:eastAsia="es-ES" w:bidi="es-ES"/>
        </w:rPr>
        <w:t>.</w:t>
      </w:r>
    </w:p>
    <w:p w14:paraId="31B6C005" w14:textId="77777777" w:rsidR="009D1AEF" w:rsidRPr="009C35C4" w:rsidRDefault="009D1AEF" w:rsidP="009D1AEF">
      <w:pPr>
        <w:spacing w:before="240" w:after="0" w:line="276" w:lineRule="auto"/>
        <w:ind w:left="284"/>
        <w:rPr>
          <w:rFonts w:ascii="Arial" w:eastAsia="Times New Roman" w:hAnsi="Arial" w:cs="Arial"/>
          <w:sz w:val="16"/>
          <w:szCs w:val="16"/>
          <w:lang w:eastAsia="es-MX"/>
        </w:rPr>
      </w:pPr>
      <w:r w:rsidRPr="009C35C4">
        <w:rPr>
          <w:rFonts w:ascii="Arial" w:eastAsia="Times New Roman" w:hAnsi="Arial" w:cs="Arial"/>
          <w:b/>
          <w:sz w:val="16"/>
          <w:szCs w:val="16"/>
          <w:lang w:eastAsia="es-MX"/>
        </w:rPr>
        <w:t>Fuente:</w:t>
      </w:r>
      <w:r w:rsidRPr="009C35C4">
        <w:rPr>
          <w:rFonts w:ascii="Arial" w:eastAsia="Times New Roman" w:hAnsi="Arial" w:cs="Arial"/>
          <w:sz w:val="16"/>
          <w:szCs w:val="16"/>
          <w:lang w:eastAsia="es-MX"/>
        </w:rPr>
        <w:t xml:space="preserve"> Secretaría de Hacienda y Crédito Público </w:t>
      </w:r>
    </w:p>
    <w:p w14:paraId="4AF142BA" w14:textId="77777777" w:rsidR="009D1AEF" w:rsidRPr="009C35C4" w:rsidRDefault="00D33739" w:rsidP="009D1AEF">
      <w:pPr>
        <w:spacing w:after="0" w:line="276" w:lineRule="auto"/>
        <w:ind w:left="284"/>
        <w:rPr>
          <w:rFonts w:ascii="Arial" w:eastAsia="Times New Roman" w:hAnsi="Arial" w:cs="Arial"/>
          <w:sz w:val="16"/>
          <w:szCs w:val="16"/>
          <w:lang w:eastAsia="es-MX"/>
        </w:rPr>
      </w:pPr>
      <w:hyperlink r:id="rId46" w:history="1">
        <w:r w:rsidR="009D1AEF" w:rsidRPr="009C35C4">
          <w:rPr>
            <w:rFonts w:ascii="Arial" w:hAnsi="Arial" w:cs="Arial"/>
            <w:sz w:val="16"/>
            <w:szCs w:val="16"/>
          </w:rPr>
          <w:t>Disciplina Financiera de Entidades Federativas y Municipios (hacienda.gob.mx)</w:t>
        </w:r>
      </w:hyperlink>
      <w:r w:rsidR="009D1AEF" w:rsidRPr="009C35C4">
        <w:rPr>
          <w:rFonts w:ascii="Arial" w:eastAsia="Times New Roman" w:hAnsi="Arial" w:cs="Arial"/>
          <w:sz w:val="16"/>
          <w:szCs w:val="16"/>
          <w:lang w:eastAsia="es-MX"/>
        </w:rPr>
        <w:t xml:space="preserve"> </w:t>
      </w:r>
    </w:p>
    <w:p w14:paraId="2499BB47" w14:textId="77777777" w:rsidR="009D1AEF" w:rsidRPr="009C35C4" w:rsidRDefault="00D33739" w:rsidP="009D1AEF">
      <w:pPr>
        <w:spacing w:after="0" w:line="276" w:lineRule="auto"/>
        <w:ind w:left="284"/>
        <w:rPr>
          <w:rFonts w:ascii="Arial" w:hAnsi="Arial" w:cs="Arial"/>
          <w:sz w:val="16"/>
          <w:szCs w:val="16"/>
        </w:rPr>
      </w:pPr>
      <w:hyperlink r:id="rId47" w:history="1">
        <w:r w:rsidR="009D1AEF" w:rsidRPr="009C35C4">
          <w:rPr>
            <w:rFonts w:ascii="Arial" w:hAnsi="Arial" w:cs="Arial"/>
            <w:sz w:val="16"/>
            <w:szCs w:val="16"/>
          </w:rPr>
          <w:t>Sistema de Alertas-DFEFyM (hacienda.gob.mx)</w:t>
        </w:r>
      </w:hyperlink>
    </w:p>
    <w:p w14:paraId="38B2673D" w14:textId="77777777" w:rsidR="009D1AEF" w:rsidRDefault="009D1AEF" w:rsidP="009D1AEF">
      <w:pPr>
        <w:spacing w:after="0" w:line="276" w:lineRule="auto"/>
        <w:ind w:left="567"/>
        <w:rPr>
          <w:rFonts w:ascii="Arial" w:eastAsia="Times New Roman" w:hAnsi="Arial" w:cs="Arial"/>
          <w:color w:val="404040" w:themeColor="text1" w:themeTint="BF"/>
          <w:sz w:val="14"/>
          <w:szCs w:val="16"/>
          <w:lang w:eastAsia="es-MX"/>
        </w:rPr>
      </w:pPr>
    </w:p>
    <w:p w14:paraId="2F2F5DD6" w14:textId="77777777" w:rsidR="00156241" w:rsidRPr="009D1AEF" w:rsidRDefault="00156241" w:rsidP="009D1AEF">
      <w:pPr>
        <w:spacing w:after="0" w:line="276" w:lineRule="auto"/>
        <w:ind w:left="567"/>
        <w:rPr>
          <w:rFonts w:ascii="Arial" w:eastAsia="Times New Roman" w:hAnsi="Arial" w:cs="Arial"/>
          <w:color w:val="404040" w:themeColor="text1" w:themeTint="BF"/>
          <w:sz w:val="14"/>
          <w:szCs w:val="16"/>
          <w:lang w:eastAsia="es-MX"/>
        </w:rPr>
      </w:pPr>
    </w:p>
    <w:p w14:paraId="472FA9F1" w14:textId="77777777" w:rsidR="009D1AEF" w:rsidRPr="009D1AEF" w:rsidRDefault="009D1AEF" w:rsidP="009D1AEF">
      <w:pPr>
        <w:keepNext/>
        <w:keepLines/>
        <w:spacing w:before="40" w:after="0"/>
        <w:ind w:left="284"/>
        <w:outlineLvl w:val="3"/>
        <w:rPr>
          <w:rFonts w:ascii="Arial" w:eastAsiaTheme="majorEastAsia" w:hAnsi="Arial" w:cs="Arial"/>
          <w:b/>
          <w:iCs/>
          <w:sz w:val="24"/>
          <w:lang w:val="es-ES" w:eastAsia="es-ES" w:bidi="es-ES"/>
        </w:rPr>
      </w:pPr>
      <w:r w:rsidRPr="009D1AEF">
        <w:rPr>
          <w:rFonts w:ascii="Arial" w:eastAsiaTheme="majorEastAsia" w:hAnsi="Arial" w:cs="Arial"/>
          <w:b/>
          <w:iCs/>
          <w:sz w:val="24"/>
          <w:lang w:val="es-ES" w:eastAsia="es-ES" w:bidi="es-ES"/>
        </w:rPr>
        <w:t>I.V.- Conclusiones</w:t>
      </w:r>
    </w:p>
    <w:p w14:paraId="0A975C2B" w14:textId="77777777" w:rsidR="009D1AEF" w:rsidRPr="009D1AEF" w:rsidRDefault="009D1AEF" w:rsidP="009D1AEF">
      <w:pPr>
        <w:ind w:left="567"/>
        <w:rPr>
          <w:rFonts w:ascii="Arial" w:hAnsi="Arial" w:cs="Arial"/>
          <w:lang w:val="es-ES" w:eastAsia="es-ES" w:bidi="es-ES"/>
        </w:rPr>
      </w:pPr>
    </w:p>
    <w:p w14:paraId="6BB79A63" w14:textId="77777777" w:rsidR="009D1AEF" w:rsidRPr="009D1AEF" w:rsidRDefault="009D1AEF" w:rsidP="009D1AEF">
      <w:pPr>
        <w:widowControl w:val="0"/>
        <w:tabs>
          <w:tab w:val="left" w:pos="9356"/>
        </w:tabs>
        <w:autoSpaceDE w:val="0"/>
        <w:autoSpaceDN w:val="0"/>
        <w:spacing w:after="0" w:line="276" w:lineRule="auto"/>
        <w:ind w:left="284"/>
        <w:jc w:val="both"/>
        <w:rPr>
          <w:rFonts w:ascii="Arial" w:eastAsia="Arial" w:hAnsi="Arial" w:cs="Arial"/>
          <w:sz w:val="24"/>
          <w:szCs w:val="24"/>
          <w:lang w:val="es-ES" w:eastAsia="es-ES" w:bidi="es-ES"/>
        </w:rPr>
      </w:pPr>
      <w:r w:rsidRPr="009D1AEF">
        <w:rPr>
          <w:rFonts w:ascii="Arial" w:eastAsia="Arial" w:hAnsi="Arial" w:cs="Arial"/>
          <w:sz w:val="24"/>
          <w:szCs w:val="24"/>
          <w:lang w:val="es-ES" w:eastAsia="es-ES" w:bidi="es-ES"/>
        </w:rPr>
        <w:t>En términos generales, se constató que la Comisión de Agua Potable y Alcantarillado del Estado de Quintana Roo con obligaciones financieras a largo plazo, contempló el pago de intereses, asimismo, se tomaron las previsiones para el pago de las respectivas amortizaciones en cumplimiento a la deuda pública contratada en apego a las disposiciones establecidas en la Ley General de Contabilidad Gubernamental y a la normatividad emitida por el Consejo Nacional de Armonización Contable, la Ley de Deuda Pública del Estado de Quintana Roo y a la Ley de Disciplina Financiera de las Entidades Federativas y los Municipios.</w:t>
      </w:r>
    </w:p>
    <w:p w14:paraId="7DAAADB7" w14:textId="77777777" w:rsidR="00742B42" w:rsidRDefault="009D1AEF" w:rsidP="00A75B38">
      <w:pPr>
        <w:spacing w:line="276" w:lineRule="auto"/>
        <w:jc w:val="both"/>
        <w:rPr>
          <w:rFonts w:ascii="Arial" w:hAnsi="Arial" w:cs="Arial"/>
          <w:sz w:val="24"/>
          <w:szCs w:val="24"/>
        </w:rPr>
      </w:pPr>
      <w:r w:rsidRPr="009D1AEF">
        <w:rPr>
          <w:rFonts w:ascii="Arial" w:eastAsia="Arial" w:hAnsi="Arial" w:cs="Arial"/>
          <w:sz w:val="24"/>
          <w:szCs w:val="24"/>
          <w:lang w:val="es-ES" w:eastAsia="es-ES" w:bidi="es-ES"/>
        </w:rPr>
        <w:tab/>
      </w:r>
    </w:p>
    <w:p w14:paraId="17D73919" w14:textId="77777777" w:rsidR="003C4EAC" w:rsidRPr="00F7194B" w:rsidRDefault="003C4EAC" w:rsidP="003C4EAC">
      <w:pPr>
        <w:widowControl w:val="0"/>
        <w:autoSpaceDE w:val="0"/>
        <w:autoSpaceDN w:val="0"/>
        <w:spacing w:before="161" w:after="0" w:line="276" w:lineRule="auto"/>
        <w:jc w:val="both"/>
        <w:rPr>
          <w:rFonts w:ascii="Arial" w:eastAsia="Arial" w:hAnsi="Arial" w:cs="Arial"/>
          <w:sz w:val="24"/>
          <w:szCs w:val="24"/>
          <w:lang w:val="es-ES" w:eastAsia="es-ES" w:bidi="es-ES"/>
        </w:rPr>
      </w:pPr>
    </w:p>
    <w:p w14:paraId="36B6320C" w14:textId="77777777" w:rsidR="0025731E" w:rsidRPr="0025731E" w:rsidRDefault="0025731E" w:rsidP="0025731E">
      <w:pPr>
        <w:keepNext/>
        <w:keepLines/>
        <w:numPr>
          <w:ilvl w:val="0"/>
          <w:numId w:val="22"/>
        </w:numPr>
        <w:spacing w:before="40" w:after="0"/>
        <w:jc w:val="both"/>
        <w:outlineLvl w:val="1"/>
        <w:rPr>
          <w:rFonts w:ascii="Arial" w:eastAsiaTheme="majorEastAsia" w:hAnsi="Arial" w:cs="Arial"/>
          <w:b/>
          <w:sz w:val="26"/>
          <w:szCs w:val="26"/>
        </w:rPr>
      </w:pPr>
      <w:bookmarkStart w:id="49" w:name="_Toc64067641"/>
      <w:bookmarkStart w:id="50" w:name="_Toc95496682"/>
      <w:bookmarkStart w:id="51" w:name="_Toc158567491"/>
      <w:r w:rsidRPr="0025731E">
        <w:rPr>
          <w:rFonts w:ascii="Arial" w:eastAsiaTheme="majorEastAsia" w:hAnsi="Arial" w:cs="Arial"/>
          <w:b/>
          <w:sz w:val="26"/>
          <w:szCs w:val="26"/>
        </w:rPr>
        <w:t>Informe de la Deuda Pública Fiscalizada de los Municipios del Estado de Quintana Roo</w:t>
      </w:r>
      <w:bookmarkEnd w:id="49"/>
      <w:bookmarkEnd w:id="50"/>
      <w:bookmarkEnd w:id="51"/>
    </w:p>
    <w:p w14:paraId="06AAD885" w14:textId="77777777" w:rsidR="0025731E" w:rsidRPr="0025731E" w:rsidRDefault="0025731E" w:rsidP="0025731E">
      <w:pPr>
        <w:ind w:left="-142"/>
        <w:jc w:val="both"/>
        <w:rPr>
          <w:rFonts w:ascii="Arial" w:eastAsia="Arial" w:hAnsi="Arial" w:cs="Arial"/>
          <w:b/>
          <w:sz w:val="24"/>
          <w:szCs w:val="24"/>
          <w:lang w:val="es-ES" w:eastAsia="es-ES" w:bidi="es-ES"/>
        </w:rPr>
      </w:pPr>
    </w:p>
    <w:p w14:paraId="634117D8" w14:textId="77777777" w:rsidR="0025731E" w:rsidRPr="0025731E" w:rsidRDefault="0025731E" w:rsidP="0025731E">
      <w:pPr>
        <w:keepNext/>
        <w:keepLines/>
        <w:spacing w:before="40" w:after="0"/>
        <w:ind w:left="283"/>
        <w:outlineLvl w:val="2"/>
        <w:rPr>
          <w:rFonts w:ascii="Arial" w:eastAsiaTheme="majorEastAsia" w:hAnsi="Arial" w:cs="Arial"/>
          <w:b/>
          <w:sz w:val="24"/>
          <w:szCs w:val="24"/>
          <w:lang w:eastAsia="es-ES" w:bidi="es-ES"/>
        </w:rPr>
      </w:pPr>
      <w:bookmarkStart w:id="52" w:name="_Toc64067642"/>
      <w:bookmarkStart w:id="53" w:name="_Toc95496683"/>
      <w:bookmarkStart w:id="54" w:name="_Toc158567492"/>
      <w:r w:rsidRPr="0025731E">
        <w:rPr>
          <w:rFonts w:ascii="Arial" w:eastAsiaTheme="majorEastAsia" w:hAnsi="Arial" w:cs="Arial"/>
          <w:b/>
          <w:sz w:val="24"/>
          <w:szCs w:val="24"/>
          <w:lang w:eastAsia="es-ES" w:bidi="es-ES"/>
        </w:rPr>
        <w:t>I.- Deuda Pública del Sector Municipal</w:t>
      </w:r>
      <w:bookmarkEnd w:id="52"/>
      <w:bookmarkEnd w:id="53"/>
      <w:bookmarkEnd w:id="54"/>
    </w:p>
    <w:p w14:paraId="533C95C8" w14:textId="77777777" w:rsidR="0025731E" w:rsidRPr="0025731E" w:rsidRDefault="0025731E" w:rsidP="0025731E">
      <w:pPr>
        <w:ind w:left="-142"/>
        <w:jc w:val="both"/>
        <w:rPr>
          <w:rFonts w:ascii="Arial" w:eastAsia="Arial" w:hAnsi="Arial" w:cs="Arial"/>
          <w:sz w:val="20"/>
          <w:szCs w:val="24"/>
          <w:lang w:val="es-ES" w:eastAsia="es-ES" w:bidi="es-ES"/>
        </w:rPr>
      </w:pPr>
    </w:p>
    <w:p w14:paraId="564AEB1A" w14:textId="77777777" w:rsidR="0025731E" w:rsidRPr="0025731E" w:rsidRDefault="0025731E" w:rsidP="0025731E">
      <w:pPr>
        <w:ind w:left="283"/>
        <w:jc w:val="both"/>
        <w:rPr>
          <w:rFonts w:ascii="Arial" w:eastAsia="Arial" w:hAnsi="Arial" w:cs="Arial"/>
          <w:sz w:val="24"/>
          <w:szCs w:val="24"/>
          <w:lang w:val="es-ES" w:eastAsia="es-ES" w:bidi="es-ES"/>
        </w:rPr>
      </w:pPr>
      <w:r w:rsidRPr="0025731E">
        <w:rPr>
          <w:rFonts w:ascii="Arial" w:eastAsia="Arial" w:hAnsi="Arial" w:cs="Arial"/>
          <w:sz w:val="24"/>
          <w:szCs w:val="24"/>
          <w:lang w:val="es-ES" w:eastAsia="es-ES" w:bidi="es-ES"/>
        </w:rPr>
        <w:t xml:space="preserve">En términos de los artículos 1, fracción IV; 2, fracción I; 6, fracción XII; 16, fracción I, inciso g), y 19, fracción VII, de la Ley de Fiscalización y Rendición de Cuentas del Estado de Quintana Roo, la Auditoría Superior del Estado de Quintana Roo </w:t>
      </w:r>
      <w:r w:rsidRPr="0025731E">
        <w:rPr>
          <w:rFonts w:ascii="Arial" w:eastAsia="Arial" w:hAnsi="Arial" w:cs="Arial"/>
          <w:sz w:val="24"/>
          <w:szCs w:val="24"/>
          <w:lang w:val="es-ES" w:eastAsia="es-ES" w:bidi="es-ES"/>
        </w:rPr>
        <w:lastRenderedPageBreak/>
        <w:t>revisa la gestión financiera de los recursos provenientes de financiamientos contratados por el estado y los municipios que lo integran.</w:t>
      </w:r>
    </w:p>
    <w:p w14:paraId="132A2F4C" w14:textId="77777777" w:rsidR="0025731E" w:rsidRPr="0025731E" w:rsidRDefault="0025731E" w:rsidP="0025731E">
      <w:pPr>
        <w:ind w:left="283"/>
        <w:jc w:val="both"/>
        <w:rPr>
          <w:rFonts w:ascii="Arial" w:eastAsia="Arial" w:hAnsi="Arial" w:cs="Arial"/>
          <w:sz w:val="24"/>
          <w:szCs w:val="24"/>
          <w:lang w:val="es-ES" w:eastAsia="es-ES" w:bidi="es-ES"/>
        </w:rPr>
      </w:pPr>
      <w:r w:rsidRPr="0025731E">
        <w:rPr>
          <w:rFonts w:ascii="Arial" w:eastAsia="Arial" w:hAnsi="Arial" w:cs="Arial"/>
          <w:sz w:val="24"/>
          <w:szCs w:val="24"/>
          <w:lang w:val="es-ES" w:eastAsia="es-ES" w:bidi="es-ES"/>
        </w:rPr>
        <w:t>A continuación, se presenta el resultado del análisis general y agregado de la dinámica de la deuda pública de los municipios, registrada en la Secretaría de Hacienda y Crédito Público, así como los resultados de las auditorías practicadas por la ASEQROO al respecto.</w:t>
      </w:r>
    </w:p>
    <w:p w14:paraId="54652AD5" w14:textId="77777777" w:rsidR="0025731E" w:rsidRPr="0025731E" w:rsidRDefault="0025731E" w:rsidP="0025731E">
      <w:pPr>
        <w:ind w:left="283"/>
        <w:jc w:val="both"/>
        <w:rPr>
          <w:rFonts w:ascii="Arial" w:eastAsia="Arial" w:hAnsi="Arial" w:cs="Arial"/>
          <w:sz w:val="10"/>
          <w:szCs w:val="10"/>
          <w:lang w:val="es-ES" w:eastAsia="es-ES" w:bidi="es-ES"/>
        </w:rPr>
      </w:pPr>
    </w:p>
    <w:p w14:paraId="48291E5F" w14:textId="77777777" w:rsidR="0025731E" w:rsidRPr="0025731E" w:rsidRDefault="0025731E" w:rsidP="0025731E">
      <w:pPr>
        <w:keepNext/>
        <w:keepLines/>
        <w:spacing w:before="40" w:after="0"/>
        <w:ind w:left="567"/>
        <w:outlineLvl w:val="3"/>
        <w:rPr>
          <w:rFonts w:ascii="Arial" w:eastAsiaTheme="majorEastAsia" w:hAnsi="Arial" w:cs="Arial"/>
          <w:b/>
          <w:iCs/>
          <w:sz w:val="24"/>
          <w:lang w:val="es-ES" w:eastAsia="es-ES" w:bidi="es-ES"/>
        </w:rPr>
      </w:pPr>
      <w:r w:rsidRPr="0025731E">
        <w:rPr>
          <w:rFonts w:ascii="Arial" w:eastAsiaTheme="majorEastAsia" w:hAnsi="Arial" w:cs="Arial"/>
          <w:b/>
          <w:iCs/>
          <w:sz w:val="24"/>
          <w:lang w:val="es-ES" w:eastAsia="es-ES" w:bidi="es-ES"/>
        </w:rPr>
        <w:t>I.I.- Deuda Pública Municipal Contratada</w:t>
      </w:r>
    </w:p>
    <w:p w14:paraId="6C7EF90D" w14:textId="77777777" w:rsidR="0025731E" w:rsidRPr="0025731E" w:rsidRDefault="0025731E" w:rsidP="0025731E">
      <w:pPr>
        <w:ind w:left="283"/>
        <w:jc w:val="both"/>
        <w:rPr>
          <w:rFonts w:ascii="Arial" w:eastAsia="Arial" w:hAnsi="Arial" w:cs="Arial"/>
          <w:sz w:val="10"/>
          <w:szCs w:val="10"/>
          <w:lang w:val="es-ES" w:eastAsia="es-ES" w:bidi="es-ES"/>
        </w:rPr>
      </w:pPr>
    </w:p>
    <w:p w14:paraId="5E25600E" w14:textId="77777777" w:rsidR="0025731E" w:rsidRPr="0025731E" w:rsidRDefault="0025731E" w:rsidP="0025731E">
      <w:pPr>
        <w:ind w:left="567"/>
        <w:jc w:val="both"/>
        <w:rPr>
          <w:rFonts w:ascii="Arial" w:eastAsia="Arial" w:hAnsi="Arial" w:cs="Arial"/>
          <w:sz w:val="24"/>
          <w:szCs w:val="24"/>
          <w:lang w:val="es-ES" w:eastAsia="es-ES" w:bidi="es-ES"/>
        </w:rPr>
      </w:pPr>
      <w:r w:rsidRPr="0025731E">
        <w:rPr>
          <w:rFonts w:ascii="Arial" w:eastAsia="Arial" w:hAnsi="Arial" w:cs="Arial"/>
          <w:sz w:val="24"/>
          <w:szCs w:val="24"/>
          <w:lang w:val="es-ES" w:eastAsia="es-ES" w:bidi="es-ES"/>
        </w:rPr>
        <w:t xml:space="preserve">Durante el ejercicio fiscal 2022, </w:t>
      </w:r>
      <w:r w:rsidRPr="005E3843">
        <w:rPr>
          <w:rFonts w:ascii="Arial" w:eastAsia="Arial" w:hAnsi="Arial" w:cs="Arial"/>
          <w:sz w:val="24"/>
          <w:szCs w:val="24"/>
          <w:lang w:val="es-ES" w:eastAsia="es-ES" w:bidi="es-ES"/>
        </w:rPr>
        <w:t>no se contrató financiamiento a corto y largo plazo por parte de los municipios del estado;</w:t>
      </w:r>
      <w:r w:rsidRPr="0025731E">
        <w:rPr>
          <w:rFonts w:ascii="Arial" w:eastAsia="Arial" w:hAnsi="Arial" w:cs="Arial"/>
          <w:sz w:val="24"/>
          <w:szCs w:val="24"/>
          <w:lang w:val="es-ES" w:eastAsia="es-ES" w:bidi="es-ES"/>
        </w:rPr>
        <w:t xml:space="preserve"> únicamente Felipe Carrillo Puerto, Solidaridad, Benito Juárez, Othón P. Blanco y Cozumel, realizaron el pago de intereses y amortizaciones de capital por financiamientos contratados en ejercicios anteriores.</w:t>
      </w:r>
    </w:p>
    <w:p w14:paraId="5AE2EE7F" w14:textId="77777777" w:rsidR="0025731E" w:rsidRPr="0025731E" w:rsidRDefault="0025731E" w:rsidP="0025731E">
      <w:pPr>
        <w:ind w:left="567"/>
        <w:jc w:val="both"/>
        <w:rPr>
          <w:rFonts w:ascii="Arial" w:eastAsia="Arial" w:hAnsi="Arial" w:cs="Arial"/>
          <w:sz w:val="24"/>
          <w:szCs w:val="24"/>
          <w:lang w:val="es-ES" w:eastAsia="es-ES" w:bidi="es-ES"/>
        </w:rPr>
      </w:pPr>
      <w:r w:rsidRPr="0025731E">
        <w:rPr>
          <w:rFonts w:ascii="Arial" w:eastAsia="Arial" w:hAnsi="Arial" w:cs="Arial"/>
          <w:sz w:val="24"/>
          <w:szCs w:val="24"/>
          <w:lang w:val="es-ES" w:eastAsia="es-ES" w:bidi="es-ES"/>
        </w:rPr>
        <w:t>Los municipios de Bacalar, Tulum, Puerto Morelos, Isla Mujeres, Lázaro Cárdenas y José María Morelos no presentan saldos de deuda pública provenientes de ejercicios anteriores.</w:t>
      </w:r>
    </w:p>
    <w:p w14:paraId="4EE4702D" w14:textId="77777777" w:rsidR="0025731E" w:rsidRPr="0025731E" w:rsidRDefault="0025731E" w:rsidP="0025731E">
      <w:pPr>
        <w:ind w:left="567"/>
        <w:jc w:val="both"/>
        <w:rPr>
          <w:rFonts w:ascii="Arial" w:eastAsia="Arial" w:hAnsi="Arial" w:cs="Arial"/>
          <w:sz w:val="14"/>
          <w:szCs w:val="24"/>
          <w:lang w:val="es-ES" w:eastAsia="es-ES" w:bidi="es-ES"/>
        </w:rPr>
      </w:pPr>
    </w:p>
    <w:p w14:paraId="2CB059B9" w14:textId="77777777" w:rsidR="0025731E" w:rsidRPr="0025731E" w:rsidRDefault="0025731E" w:rsidP="0025731E">
      <w:pPr>
        <w:keepNext/>
        <w:keepLines/>
        <w:spacing w:before="40" w:after="0"/>
        <w:ind w:left="567"/>
        <w:outlineLvl w:val="3"/>
        <w:rPr>
          <w:rFonts w:ascii="Arial" w:eastAsiaTheme="majorEastAsia" w:hAnsi="Arial" w:cs="Arial"/>
          <w:b/>
          <w:iCs/>
          <w:sz w:val="24"/>
          <w:lang w:val="es-ES" w:eastAsia="es-ES" w:bidi="es-ES"/>
        </w:rPr>
      </w:pPr>
      <w:r w:rsidRPr="0025731E">
        <w:rPr>
          <w:rFonts w:ascii="Arial" w:eastAsiaTheme="majorEastAsia" w:hAnsi="Arial" w:cs="Arial"/>
          <w:b/>
          <w:iCs/>
          <w:sz w:val="24"/>
          <w:lang w:val="es-ES" w:eastAsia="es-ES" w:bidi="es-ES"/>
        </w:rPr>
        <w:t>I.II.- Deuda Pública Municipal Fiscalizada</w:t>
      </w:r>
    </w:p>
    <w:p w14:paraId="046ECCDA" w14:textId="77777777" w:rsidR="0025731E" w:rsidRPr="0025731E" w:rsidRDefault="0025731E" w:rsidP="0025731E">
      <w:pPr>
        <w:widowControl w:val="0"/>
        <w:autoSpaceDE w:val="0"/>
        <w:autoSpaceDN w:val="0"/>
        <w:spacing w:before="7" w:after="0" w:line="240" w:lineRule="auto"/>
        <w:rPr>
          <w:rFonts w:ascii="Arial" w:eastAsia="Arial" w:hAnsi="Arial" w:cs="Arial"/>
          <w:b/>
          <w:sz w:val="30"/>
          <w:szCs w:val="24"/>
          <w:lang w:val="es-ES"/>
        </w:rPr>
      </w:pPr>
    </w:p>
    <w:p w14:paraId="29B574FA" w14:textId="77777777" w:rsidR="0025731E" w:rsidRPr="0025731E" w:rsidRDefault="0025731E" w:rsidP="0025731E">
      <w:pPr>
        <w:widowControl w:val="0"/>
        <w:autoSpaceDE w:val="0"/>
        <w:autoSpaceDN w:val="0"/>
        <w:spacing w:after="0" w:line="276" w:lineRule="auto"/>
        <w:ind w:left="567"/>
        <w:jc w:val="both"/>
        <w:rPr>
          <w:rFonts w:ascii="Arial" w:eastAsia="Arial" w:hAnsi="Arial" w:cs="Arial"/>
          <w:sz w:val="24"/>
          <w:szCs w:val="24"/>
          <w:lang w:val="es-ES"/>
        </w:rPr>
      </w:pPr>
      <w:r w:rsidRPr="0025731E">
        <w:rPr>
          <w:rFonts w:ascii="Arial" w:eastAsia="Arial" w:hAnsi="Arial" w:cs="Arial"/>
          <w:sz w:val="24"/>
          <w:szCs w:val="24"/>
          <w:lang w:val="es-ES"/>
        </w:rPr>
        <w:t>En</w:t>
      </w:r>
      <w:r w:rsidRPr="0025731E">
        <w:rPr>
          <w:rFonts w:ascii="Arial" w:eastAsia="Arial" w:hAnsi="Arial" w:cs="Arial"/>
          <w:spacing w:val="-12"/>
          <w:sz w:val="24"/>
          <w:szCs w:val="24"/>
          <w:lang w:val="es-ES"/>
        </w:rPr>
        <w:t xml:space="preserve"> </w:t>
      </w:r>
      <w:r w:rsidRPr="0025731E">
        <w:rPr>
          <w:rFonts w:ascii="Arial" w:eastAsia="Arial" w:hAnsi="Arial" w:cs="Arial"/>
          <w:sz w:val="24"/>
          <w:szCs w:val="24"/>
          <w:lang w:val="es-ES"/>
        </w:rPr>
        <w:t>el</w:t>
      </w:r>
      <w:r w:rsidRPr="0025731E">
        <w:rPr>
          <w:rFonts w:ascii="Arial" w:eastAsia="Arial" w:hAnsi="Arial" w:cs="Arial"/>
          <w:spacing w:val="-7"/>
          <w:sz w:val="24"/>
          <w:szCs w:val="24"/>
          <w:lang w:val="es-ES"/>
        </w:rPr>
        <w:t xml:space="preserve"> </w:t>
      </w:r>
      <w:r w:rsidRPr="0025731E">
        <w:rPr>
          <w:rFonts w:ascii="Arial" w:eastAsia="Arial" w:hAnsi="Arial" w:cs="Arial"/>
          <w:sz w:val="24"/>
          <w:szCs w:val="24"/>
          <w:lang w:val="es-ES"/>
        </w:rPr>
        <w:t>ejercicio</w:t>
      </w:r>
      <w:r w:rsidRPr="0025731E">
        <w:rPr>
          <w:rFonts w:ascii="Arial" w:eastAsia="Arial" w:hAnsi="Arial" w:cs="Arial"/>
          <w:spacing w:val="-8"/>
          <w:sz w:val="24"/>
          <w:szCs w:val="24"/>
          <w:lang w:val="es-ES"/>
        </w:rPr>
        <w:t xml:space="preserve"> </w:t>
      </w:r>
      <w:r w:rsidRPr="0025731E">
        <w:rPr>
          <w:rFonts w:ascii="Arial" w:eastAsia="Arial" w:hAnsi="Arial" w:cs="Arial"/>
          <w:sz w:val="24"/>
          <w:szCs w:val="24"/>
          <w:lang w:val="es-ES"/>
        </w:rPr>
        <w:t>fiscal</w:t>
      </w:r>
      <w:r w:rsidRPr="0025731E">
        <w:rPr>
          <w:rFonts w:ascii="Arial" w:eastAsia="Arial" w:hAnsi="Arial" w:cs="Arial"/>
          <w:spacing w:val="-6"/>
          <w:sz w:val="24"/>
          <w:szCs w:val="24"/>
          <w:lang w:val="es-ES"/>
        </w:rPr>
        <w:t xml:space="preserve"> </w:t>
      </w:r>
      <w:r w:rsidRPr="0025731E">
        <w:rPr>
          <w:rFonts w:ascii="Arial" w:eastAsia="Arial" w:hAnsi="Arial" w:cs="Arial"/>
          <w:sz w:val="24"/>
          <w:szCs w:val="24"/>
          <w:lang w:val="es-ES"/>
        </w:rPr>
        <w:t>2022</w:t>
      </w:r>
      <w:r w:rsidRPr="0025731E">
        <w:rPr>
          <w:rFonts w:ascii="Arial" w:eastAsia="Arial" w:hAnsi="Arial" w:cs="Arial"/>
          <w:spacing w:val="-10"/>
          <w:sz w:val="24"/>
          <w:szCs w:val="24"/>
          <w:lang w:val="es-ES"/>
        </w:rPr>
        <w:t xml:space="preserve"> </w:t>
      </w:r>
      <w:r w:rsidRPr="0025731E">
        <w:rPr>
          <w:rFonts w:ascii="Arial" w:eastAsia="Arial" w:hAnsi="Arial" w:cs="Arial"/>
          <w:sz w:val="24"/>
          <w:szCs w:val="24"/>
          <w:lang w:val="es-ES"/>
        </w:rPr>
        <w:t>se</w:t>
      </w:r>
      <w:r w:rsidRPr="0025731E">
        <w:rPr>
          <w:rFonts w:ascii="Arial" w:eastAsia="Arial" w:hAnsi="Arial" w:cs="Arial"/>
          <w:spacing w:val="-8"/>
          <w:sz w:val="24"/>
          <w:szCs w:val="24"/>
          <w:lang w:val="es-ES"/>
        </w:rPr>
        <w:t xml:space="preserve"> </w:t>
      </w:r>
      <w:r w:rsidRPr="0025731E">
        <w:rPr>
          <w:rFonts w:ascii="Arial" w:eastAsia="Arial" w:hAnsi="Arial" w:cs="Arial"/>
          <w:sz w:val="24"/>
          <w:szCs w:val="24"/>
          <w:lang w:val="es-ES"/>
        </w:rPr>
        <w:t>practicaron</w:t>
      </w:r>
      <w:r w:rsidRPr="0025731E">
        <w:rPr>
          <w:rFonts w:ascii="Arial" w:eastAsia="Arial" w:hAnsi="Arial" w:cs="Arial"/>
          <w:spacing w:val="-10"/>
          <w:sz w:val="24"/>
          <w:szCs w:val="24"/>
          <w:lang w:val="es-ES"/>
        </w:rPr>
        <w:t xml:space="preserve"> cinco</w:t>
      </w:r>
      <w:r w:rsidRPr="0025731E">
        <w:rPr>
          <w:rFonts w:ascii="Arial" w:eastAsia="Arial" w:hAnsi="Arial" w:cs="Arial"/>
          <w:spacing w:val="-8"/>
          <w:sz w:val="24"/>
          <w:szCs w:val="24"/>
          <w:lang w:val="es-ES"/>
        </w:rPr>
        <w:t xml:space="preserve"> </w:t>
      </w:r>
      <w:r w:rsidRPr="0025731E">
        <w:rPr>
          <w:rFonts w:ascii="Arial" w:eastAsia="Arial" w:hAnsi="Arial" w:cs="Arial"/>
          <w:sz w:val="24"/>
          <w:szCs w:val="24"/>
          <w:lang w:val="es-ES"/>
        </w:rPr>
        <w:t>auditorías</w:t>
      </w:r>
      <w:r w:rsidRPr="0025731E">
        <w:rPr>
          <w:rFonts w:ascii="Arial" w:eastAsia="Arial" w:hAnsi="Arial" w:cs="Arial"/>
          <w:spacing w:val="-9"/>
          <w:sz w:val="24"/>
          <w:szCs w:val="24"/>
          <w:lang w:val="es-ES"/>
        </w:rPr>
        <w:t xml:space="preserve"> </w:t>
      </w:r>
      <w:r w:rsidRPr="0025731E">
        <w:rPr>
          <w:rFonts w:ascii="Arial" w:eastAsia="Arial" w:hAnsi="Arial" w:cs="Arial"/>
          <w:sz w:val="24"/>
          <w:szCs w:val="24"/>
          <w:lang w:val="es-ES"/>
        </w:rPr>
        <w:t>de</w:t>
      </w:r>
      <w:r w:rsidRPr="0025731E">
        <w:rPr>
          <w:rFonts w:ascii="Arial" w:eastAsia="Arial" w:hAnsi="Arial" w:cs="Arial"/>
          <w:spacing w:val="-11"/>
          <w:sz w:val="24"/>
          <w:szCs w:val="24"/>
          <w:lang w:val="es-ES"/>
        </w:rPr>
        <w:t xml:space="preserve"> </w:t>
      </w:r>
      <w:r w:rsidRPr="0025731E">
        <w:rPr>
          <w:rFonts w:ascii="Arial" w:eastAsia="Arial" w:hAnsi="Arial" w:cs="Arial"/>
          <w:sz w:val="24"/>
          <w:szCs w:val="24"/>
          <w:lang w:val="es-ES"/>
        </w:rPr>
        <w:t>cumplimiento</w:t>
      </w:r>
      <w:r w:rsidRPr="0025731E">
        <w:rPr>
          <w:rFonts w:ascii="Arial" w:eastAsia="Arial" w:hAnsi="Arial" w:cs="Arial"/>
          <w:spacing w:val="-11"/>
          <w:sz w:val="24"/>
          <w:szCs w:val="24"/>
          <w:lang w:val="es-ES"/>
        </w:rPr>
        <w:t xml:space="preserve"> </w:t>
      </w:r>
      <w:r w:rsidRPr="0025731E">
        <w:rPr>
          <w:rFonts w:ascii="Arial" w:eastAsia="Arial" w:hAnsi="Arial" w:cs="Arial"/>
          <w:sz w:val="24"/>
          <w:szCs w:val="24"/>
          <w:lang w:val="es-ES"/>
        </w:rPr>
        <w:t>financiero</w:t>
      </w:r>
      <w:r w:rsidRPr="0025731E">
        <w:rPr>
          <w:rFonts w:ascii="Arial" w:eastAsia="Arial" w:hAnsi="Arial" w:cs="Arial"/>
          <w:spacing w:val="-4"/>
          <w:sz w:val="24"/>
          <w:szCs w:val="24"/>
          <w:lang w:val="es-ES"/>
        </w:rPr>
        <w:t xml:space="preserve"> </w:t>
      </w:r>
      <w:r w:rsidRPr="0025731E">
        <w:rPr>
          <w:rFonts w:ascii="Arial" w:eastAsia="Arial" w:hAnsi="Arial" w:cs="Arial"/>
          <w:sz w:val="24"/>
          <w:szCs w:val="24"/>
          <w:lang w:val="es-ES"/>
        </w:rPr>
        <w:t>de financiamientos, otras obligaciones y empréstitos; las cuales se enfocaron a constatar el pago de amortizaciones e intereses,</w:t>
      </w:r>
      <w:r w:rsidRPr="0025731E">
        <w:rPr>
          <w:rFonts w:ascii="Arial" w:eastAsia="Arial" w:hAnsi="Arial" w:cs="Arial"/>
          <w:sz w:val="24"/>
          <w:szCs w:val="24"/>
          <w:lang w:val="es-ES" w:eastAsia="es-ES" w:bidi="es-ES"/>
        </w:rPr>
        <w:t xml:space="preserve"> de deuda pública contratada en ejercicios anteriores,</w:t>
      </w:r>
      <w:r w:rsidRPr="0025731E">
        <w:rPr>
          <w:rFonts w:ascii="Arial" w:eastAsia="Arial" w:hAnsi="Arial" w:cs="Arial"/>
          <w:sz w:val="24"/>
          <w:szCs w:val="24"/>
          <w:lang w:val="es-ES"/>
        </w:rPr>
        <w:t xml:space="preserve"> únicamente. Derivado de las auditorías realizadas, se obtuvieron los siguientes</w:t>
      </w:r>
      <w:r w:rsidRPr="0025731E">
        <w:rPr>
          <w:rFonts w:ascii="Arial" w:eastAsia="Arial" w:hAnsi="Arial" w:cs="Arial"/>
          <w:spacing w:val="-1"/>
          <w:sz w:val="24"/>
          <w:szCs w:val="24"/>
          <w:lang w:val="es-ES"/>
        </w:rPr>
        <w:t xml:space="preserve"> </w:t>
      </w:r>
      <w:r w:rsidRPr="0025731E">
        <w:rPr>
          <w:rFonts w:ascii="Arial" w:eastAsia="Arial" w:hAnsi="Arial" w:cs="Arial"/>
          <w:sz w:val="24"/>
          <w:szCs w:val="24"/>
          <w:lang w:val="es-ES"/>
        </w:rPr>
        <w:t>resultados:</w:t>
      </w:r>
    </w:p>
    <w:p w14:paraId="315573FC" w14:textId="77777777" w:rsidR="0025731E" w:rsidRPr="0025731E" w:rsidRDefault="0025731E" w:rsidP="0025731E">
      <w:pPr>
        <w:widowControl w:val="0"/>
        <w:autoSpaceDE w:val="0"/>
        <w:autoSpaceDN w:val="0"/>
        <w:spacing w:after="0" w:line="276" w:lineRule="auto"/>
        <w:ind w:left="111" w:right="101"/>
        <w:jc w:val="both"/>
        <w:rPr>
          <w:rFonts w:ascii="Arial" w:eastAsia="Arial" w:hAnsi="Arial" w:cs="Arial"/>
          <w:sz w:val="24"/>
          <w:szCs w:val="24"/>
          <w:lang w:val="es-ES"/>
        </w:rPr>
      </w:pPr>
    </w:p>
    <w:tbl>
      <w:tblPr>
        <w:tblStyle w:val="Tabladecuadrcula4-nfasis32"/>
        <w:tblW w:w="5788" w:type="pct"/>
        <w:jc w:val="center"/>
        <w:tblCellMar>
          <w:right w:w="57" w:type="dxa"/>
        </w:tblCellMar>
        <w:tblLook w:val="01E0" w:firstRow="1" w:lastRow="1" w:firstColumn="1" w:lastColumn="1" w:noHBand="0" w:noVBand="0"/>
      </w:tblPr>
      <w:tblGrid>
        <w:gridCol w:w="2973"/>
        <w:gridCol w:w="1405"/>
        <w:gridCol w:w="1408"/>
        <w:gridCol w:w="1217"/>
        <w:gridCol w:w="1029"/>
        <w:gridCol w:w="998"/>
        <w:gridCol w:w="1189"/>
      </w:tblGrid>
      <w:tr w:rsidR="0025731E" w:rsidRPr="0025731E" w14:paraId="68F66E18" w14:textId="77777777" w:rsidTr="00EE243C">
        <w:trPr>
          <w:cnfStyle w:val="100000000000" w:firstRow="1" w:lastRow="0" w:firstColumn="0" w:lastColumn="0" w:oddVBand="0" w:evenVBand="0" w:oddHBand="0" w:evenHBand="0" w:firstRowFirstColumn="0" w:firstRowLastColumn="0" w:lastRowFirstColumn="0" w:lastRowLastColumn="0"/>
          <w:trHeight w:val="757"/>
          <w:tblHeader/>
          <w:jc w:val="center"/>
        </w:trPr>
        <w:tc>
          <w:tcPr>
            <w:cnfStyle w:val="001000000000" w:firstRow="0" w:lastRow="0" w:firstColumn="1" w:lastColumn="0" w:oddVBand="0" w:evenVBand="0" w:oddHBand="0" w:evenHBand="0" w:firstRowFirstColumn="0" w:firstRowLastColumn="0" w:lastRowFirstColumn="0" w:lastRowLastColumn="0"/>
            <w:tcW w:w="1455" w:type="pct"/>
            <w:tcBorders>
              <w:top w:val="single" w:sz="4" w:space="0" w:color="BFBFBF"/>
              <w:left w:val="single" w:sz="4" w:space="0" w:color="BFBFBF"/>
              <w:bottom w:val="single" w:sz="4" w:space="0" w:color="BFBFBF"/>
              <w:right w:val="single" w:sz="4" w:space="0" w:color="BFBFBF"/>
            </w:tcBorders>
            <w:vAlign w:val="center"/>
          </w:tcPr>
          <w:p w14:paraId="364F6A3B" w14:textId="77777777" w:rsidR="0025731E" w:rsidRPr="0025731E" w:rsidRDefault="0025731E" w:rsidP="0025731E">
            <w:pPr>
              <w:widowControl w:val="0"/>
              <w:autoSpaceDE w:val="0"/>
              <w:autoSpaceDN w:val="0"/>
              <w:jc w:val="center"/>
              <w:rPr>
                <w:rFonts w:ascii="Arial" w:eastAsia="Arial" w:hAnsi="Arial" w:cs="Arial"/>
                <w:sz w:val="14"/>
                <w:szCs w:val="14"/>
                <w:lang w:val="es-ES"/>
              </w:rPr>
            </w:pPr>
            <w:r w:rsidRPr="0025731E">
              <w:rPr>
                <w:rFonts w:ascii="Arial" w:eastAsia="Arial" w:hAnsi="Arial" w:cs="Arial"/>
                <w:sz w:val="14"/>
                <w:szCs w:val="14"/>
                <w:lang w:val="es-ES"/>
              </w:rPr>
              <w:t>Ente Fiscalizado</w:t>
            </w:r>
          </w:p>
        </w:tc>
        <w:tc>
          <w:tcPr>
            <w:cnfStyle w:val="000010000000" w:firstRow="0" w:lastRow="0" w:firstColumn="0" w:lastColumn="0" w:oddVBand="1" w:evenVBand="0" w:oddHBand="0" w:evenHBand="0" w:firstRowFirstColumn="0" w:firstRowLastColumn="0" w:lastRowFirstColumn="0" w:lastRowLastColumn="0"/>
            <w:tcW w:w="688" w:type="pct"/>
            <w:tcBorders>
              <w:top w:val="single" w:sz="4" w:space="0" w:color="BFBFBF"/>
              <w:left w:val="single" w:sz="4" w:space="0" w:color="BFBFBF"/>
              <w:bottom w:val="single" w:sz="4" w:space="0" w:color="BFBFBF"/>
              <w:right w:val="single" w:sz="4" w:space="0" w:color="BFBFBF"/>
            </w:tcBorders>
            <w:vAlign w:val="center"/>
          </w:tcPr>
          <w:p w14:paraId="1FAB318D" w14:textId="77777777" w:rsidR="0025731E" w:rsidRPr="0025731E" w:rsidRDefault="0025731E" w:rsidP="0025731E">
            <w:pPr>
              <w:widowControl w:val="0"/>
              <w:autoSpaceDE w:val="0"/>
              <w:autoSpaceDN w:val="0"/>
              <w:spacing w:line="205" w:lineRule="exact"/>
              <w:jc w:val="center"/>
              <w:rPr>
                <w:rFonts w:ascii="Arial" w:eastAsia="Arial" w:hAnsi="Arial" w:cs="Arial"/>
                <w:sz w:val="14"/>
                <w:szCs w:val="14"/>
                <w:lang w:val="es-ES"/>
              </w:rPr>
            </w:pPr>
            <w:r w:rsidRPr="0025731E">
              <w:rPr>
                <w:rFonts w:ascii="Arial" w:eastAsia="Arial" w:hAnsi="Arial" w:cs="Arial"/>
                <w:sz w:val="14"/>
                <w:szCs w:val="14"/>
                <w:lang w:val="es-ES"/>
              </w:rPr>
              <w:t>Monto Contratado</w:t>
            </w:r>
          </w:p>
        </w:tc>
        <w:tc>
          <w:tcPr>
            <w:tcW w:w="689" w:type="pct"/>
            <w:tcBorders>
              <w:top w:val="single" w:sz="4" w:space="0" w:color="BFBFBF"/>
              <w:left w:val="single" w:sz="4" w:space="0" w:color="BFBFBF"/>
              <w:bottom w:val="single" w:sz="4" w:space="0" w:color="BFBFBF"/>
              <w:right w:val="single" w:sz="4" w:space="0" w:color="BFBFBF"/>
            </w:tcBorders>
            <w:vAlign w:val="center"/>
          </w:tcPr>
          <w:p w14:paraId="0598B914" w14:textId="77777777" w:rsidR="0025731E" w:rsidRPr="0025731E" w:rsidRDefault="0025731E" w:rsidP="0025731E">
            <w:pPr>
              <w:widowControl w:val="0"/>
              <w:autoSpaceDE w:val="0"/>
              <w:autoSpaceDN w:val="0"/>
              <w:spacing w:line="205" w:lineRule="exact"/>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Saldo de la</w:t>
            </w:r>
          </w:p>
          <w:p w14:paraId="4F00F959" w14:textId="77777777" w:rsidR="0025731E" w:rsidRPr="0025731E" w:rsidRDefault="0025731E" w:rsidP="0025731E">
            <w:pPr>
              <w:widowControl w:val="0"/>
              <w:autoSpaceDE w:val="0"/>
              <w:autoSpaceDN w:val="0"/>
              <w:spacing w:line="205" w:lineRule="exact"/>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Deuda al</w:t>
            </w:r>
          </w:p>
          <w:p w14:paraId="736AB74D" w14:textId="77777777" w:rsidR="0025731E" w:rsidRPr="0025731E" w:rsidRDefault="0025731E" w:rsidP="0025731E">
            <w:pPr>
              <w:widowControl w:val="0"/>
              <w:autoSpaceDE w:val="0"/>
              <w:autoSpaceDN w:val="0"/>
              <w:spacing w:line="205" w:lineRule="exact"/>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31/12/2022</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BFBFBF"/>
              <w:left w:val="single" w:sz="4" w:space="0" w:color="BFBFBF"/>
              <w:bottom w:val="single" w:sz="4" w:space="0" w:color="BFBFBF"/>
              <w:right w:val="single" w:sz="4" w:space="0" w:color="BFBFBF"/>
            </w:tcBorders>
            <w:vAlign w:val="center"/>
          </w:tcPr>
          <w:p w14:paraId="6006FB5C" w14:textId="77777777" w:rsidR="0025731E" w:rsidRPr="0025731E" w:rsidRDefault="0025731E" w:rsidP="0025731E">
            <w:pPr>
              <w:widowControl w:val="0"/>
              <w:autoSpaceDE w:val="0"/>
              <w:autoSpaceDN w:val="0"/>
              <w:spacing w:line="205" w:lineRule="exact"/>
              <w:jc w:val="center"/>
              <w:rPr>
                <w:rFonts w:ascii="Arial" w:eastAsia="Arial" w:hAnsi="Arial" w:cs="Arial"/>
                <w:sz w:val="14"/>
                <w:szCs w:val="14"/>
                <w:lang w:val="es-ES"/>
              </w:rPr>
            </w:pPr>
            <w:r w:rsidRPr="0025731E">
              <w:rPr>
                <w:rFonts w:ascii="Arial" w:eastAsia="Arial" w:hAnsi="Arial" w:cs="Arial"/>
                <w:sz w:val="14"/>
                <w:szCs w:val="14"/>
                <w:lang w:val="es-ES"/>
              </w:rPr>
              <w:t>Muestra Auditada</w:t>
            </w:r>
          </w:p>
        </w:tc>
        <w:tc>
          <w:tcPr>
            <w:tcW w:w="503" w:type="pct"/>
            <w:tcBorders>
              <w:top w:val="single" w:sz="4" w:space="0" w:color="BFBFBF"/>
              <w:left w:val="single" w:sz="4" w:space="0" w:color="BFBFBF"/>
              <w:bottom w:val="single" w:sz="4" w:space="0" w:color="BFBFBF"/>
              <w:right w:val="single" w:sz="4" w:space="0" w:color="BFBFBF"/>
            </w:tcBorders>
            <w:vAlign w:val="center"/>
          </w:tcPr>
          <w:p w14:paraId="06E5D1F7" w14:textId="77777777" w:rsidR="0025731E" w:rsidRPr="0025731E" w:rsidRDefault="0025731E" w:rsidP="0025731E">
            <w:pPr>
              <w:widowControl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Fecha de Contratación</w:t>
            </w:r>
          </w:p>
        </w:tc>
        <w:tc>
          <w:tcPr>
            <w:cnfStyle w:val="000010000000" w:firstRow="0" w:lastRow="0" w:firstColumn="0" w:lastColumn="0" w:oddVBand="1" w:evenVBand="0" w:oddHBand="0" w:evenHBand="0" w:firstRowFirstColumn="0" w:firstRowLastColumn="0" w:lastRowFirstColumn="0" w:lastRowLastColumn="0"/>
            <w:tcW w:w="488" w:type="pct"/>
            <w:tcBorders>
              <w:top w:val="single" w:sz="4" w:space="0" w:color="BFBFBF"/>
              <w:left w:val="single" w:sz="4" w:space="0" w:color="BFBFBF"/>
              <w:bottom w:val="single" w:sz="4" w:space="0" w:color="BFBFBF"/>
              <w:right w:val="single" w:sz="4" w:space="0" w:color="BFBFBF"/>
            </w:tcBorders>
            <w:vAlign w:val="center"/>
          </w:tcPr>
          <w:p w14:paraId="39B4A688" w14:textId="77777777" w:rsidR="0025731E" w:rsidRPr="0025731E" w:rsidRDefault="0025731E" w:rsidP="0025731E">
            <w:pPr>
              <w:widowControl w:val="0"/>
              <w:autoSpaceDE w:val="0"/>
              <w:autoSpaceDN w:val="0"/>
              <w:jc w:val="center"/>
              <w:rPr>
                <w:rFonts w:ascii="Arial" w:eastAsia="Arial" w:hAnsi="Arial" w:cs="Arial"/>
                <w:sz w:val="14"/>
                <w:szCs w:val="14"/>
                <w:lang w:val="es-ES"/>
              </w:rPr>
            </w:pPr>
            <w:r w:rsidRPr="0025731E">
              <w:rPr>
                <w:rFonts w:ascii="Arial" w:eastAsia="Arial" w:hAnsi="Arial" w:cs="Arial"/>
                <w:sz w:val="14"/>
                <w:szCs w:val="14"/>
                <w:lang w:val="es-ES"/>
              </w:rPr>
              <w:t>Plazo de Vencimiento</w:t>
            </w:r>
          </w:p>
        </w:tc>
        <w:tc>
          <w:tcPr>
            <w:cnfStyle w:val="000100000000" w:firstRow="0" w:lastRow="0" w:firstColumn="0" w:lastColumn="1" w:oddVBand="0" w:evenVBand="0" w:oddHBand="0" w:evenHBand="0" w:firstRowFirstColumn="0" w:firstRowLastColumn="0" w:lastRowFirstColumn="0" w:lastRowLastColumn="0"/>
            <w:tcW w:w="581" w:type="pct"/>
            <w:tcBorders>
              <w:top w:val="single" w:sz="4" w:space="0" w:color="BFBFBF"/>
              <w:left w:val="single" w:sz="4" w:space="0" w:color="BFBFBF"/>
              <w:bottom w:val="single" w:sz="4" w:space="0" w:color="BFBFBF"/>
              <w:right w:val="single" w:sz="4" w:space="0" w:color="BFBFBF"/>
            </w:tcBorders>
            <w:vAlign w:val="center"/>
          </w:tcPr>
          <w:p w14:paraId="626572EA" w14:textId="77777777" w:rsidR="0025731E" w:rsidRPr="0025731E" w:rsidRDefault="0025731E" w:rsidP="0025731E">
            <w:pPr>
              <w:widowControl w:val="0"/>
              <w:autoSpaceDE w:val="0"/>
              <w:autoSpaceDN w:val="0"/>
              <w:spacing w:line="229" w:lineRule="exact"/>
              <w:jc w:val="center"/>
              <w:rPr>
                <w:rFonts w:ascii="Arial" w:eastAsia="Arial" w:hAnsi="Arial" w:cs="Arial"/>
                <w:sz w:val="14"/>
                <w:szCs w:val="14"/>
                <w:lang w:val="es-ES"/>
              </w:rPr>
            </w:pPr>
            <w:r w:rsidRPr="0025731E">
              <w:rPr>
                <w:rFonts w:ascii="Arial" w:eastAsia="Arial" w:hAnsi="Arial" w:cs="Arial"/>
                <w:sz w:val="14"/>
                <w:szCs w:val="14"/>
                <w:lang w:val="es-ES"/>
              </w:rPr>
              <w:t>Observaciones</w:t>
            </w:r>
          </w:p>
        </w:tc>
      </w:tr>
      <w:tr w:rsidR="0025731E" w:rsidRPr="0025731E" w14:paraId="3A2D9002" w14:textId="77777777" w:rsidTr="00EE243C">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455" w:type="pct"/>
            <w:tcBorders>
              <w:top w:val="single" w:sz="4" w:space="0" w:color="BFBFBF"/>
              <w:left w:val="single" w:sz="4" w:space="0" w:color="BFBFBF"/>
              <w:bottom w:val="single" w:sz="4" w:space="0" w:color="BFBFBF"/>
              <w:right w:val="single" w:sz="4" w:space="0" w:color="BFBFBF"/>
            </w:tcBorders>
            <w:shd w:val="clear" w:color="auto" w:fill="auto"/>
          </w:tcPr>
          <w:p w14:paraId="50EA8EEC" w14:textId="77777777" w:rsidR="0025731E" w:rsidRPr="0025731E" w:rsidRDefault="0025731E" w:rsidP="0025731E">
            <w:pPr>
              <w:widowControl w:val="0"/>
              <w:autoSpaceDE w:val="0"/>
              <w:autoSpaceDN w:val="0"/>
              <w:spacing w:before="1" w:line="237" w:lineRule="auto"/>
              <w:ind w:left="111"/>
              <w:rPr>
                <w:rFonts w:ascii="Arial" w:eastAsia="Arial" w:hAnsi="Arial" w:cs="Arial"/>
                <w:sz w:val="14"/>
                <w:szCs w:val="14"/>
                <w:lang w:val="es-ES"/>
              </w:rPr>
            </w:pPr>
            <w:r w:rsidRPr="0025731E">
              <w:rPr>
                <w:rFonts w:ascii="Arial" w:eastAsia="Arial" w:hAnsi="Arial" w:cs="Arial"/>
                <w:sz w:val="14"/>
                <w:szCs w:val="14"/>
                <w:lang w:val="es-ES"/>
              </w:rPr>
              <w:t>H. Ayuntamiento de Felipe Carrillo Puerto</w:t>
            </w:r>
          </w:p>
          <w:p w14:paraId="5179C568" w14:textId="77777777" w:rsidR="0025731E" w:rsidRPr="0025731E" w:rsidRDefault="0025731E" w:rsidP="0025731E">
            <w:pPr>
              <w:widowControl w:val="0"/>
              <w:autoSpaceDE w:val="0"/>
              <w:autoSpaceDN w:val="0"/>
              <w:spacing w:before="1" w:line="237" w:lineRule="auto"/>
              <w:ind w:left="111"/>
              <w:rPr>
                <w:rFonts w:ascii="Arial" w:eastAsia="Arial" w:hAnsi="Arial" w:cs="Arial"/>
                <w:sz w:val="14"/>
                <w:szCs w:val="14"/>
                <w:lang w:val="es-ES"/>
              </w:rPr>
            </w:pPr>
          </w:p>
          <w:p w14:paraId="4797002C" w14:textId="77777777" w:rsidR="0025731E" w:rsidRPr="0025731E" w:rsidRDefault="0025731E" w:rsidP="0025731E">
            <w:pPr>
              <w:widowControl w:val="0"/>
              <w:autoSpaceDE w:val="0"/>
              <w:autoSpaceDN w:val="0"/>
              <w:spacing w:before="1" w:line="237" w:lineRule="auto"/>
              <w:ind w:left="111"/>
              <w:rPr>
                <w:rFonts w:ascii="Arial" w:eastAsia="Arial" w:hAnsi="Arial" w:cs="Arial"/>
                <w:b w:val="0"/>
                <w:sz w:val="14"/>
                <w:szCs w:val="14"/>
                <w:lang w:val="es-ES"/>
              </w:rPr>
            </w:pPr>
            <w:r w:rsidRPr="0025731E">
              <w:rPr>
                <w:rFonts w:ascii="Arial" w:eastAsia="Arial" w:hAnsi="Arial" w:cs="Arial"/>
                <w:b w:val="0"/>
                <w:sz w:val="14"/>
                <w:szCs w:val="14"/>
                <w:lang w:val="es-ES"/>
              </w:rPr>
              <w:t>Banco Multiva, S.A. de C.V., Institución de Banca Múltiple, Grupo Financiero Multiva.</w:t>
            </w:r>
          </w:p>
          <w:p w14:paraId="06EE6637" w14:textId="77777777" w:rsidR="0025731E" w:rsidRPr="0025731E" w:rsidRDefault="0025731E" w:rsidP="0025731E">
            <w:pPr>
              <w:widowControl w:val="0"/>
              <w:autoSpaceDE w:val="0"/>
              <w:autoSpaceDN w:val="0"/>
              <w:spacing w:before="1" w:line="237" w:lineRule="auto"/>
              <w:ind w:left="111"/>
              <w:rPr>
                <w:rFonts w:ascii="Arial" w:eastAsia="Arial" w:hAnsi="Arial" w:cs="Arial"/>
                <w:sz w:val="14"/>
                <w:szCs w:val="14"/>
                <w:lang w:val="es-ES"/>
              </w:rPr>
            </w:pPr>
          </w:p>
        </w:tc>
        <w:tc>
          <w:tcPr>
            <w:cnfStyle w:val="000010000000" w:firstRow="0" w:lastRow="0" w:firstColumn="0" w:lastColumn="0" w:oddVBand="1" w:evenVBand="0" w:oddHBand="0" w:evenHBand="0" w:firstRowFirstColumn="0" w:firstRowLastColumn="0" w:lastRowFirstColumn="0" w:lastRowLastColumn="0"/>
            <w:tcW w:w="688" w:type="pct"/>
            <w:tcBorders>
              <w:top w:val="single" w:sz="4" w:space="0" w:color="BFBFBF"/>
              <w:left w:val="single" w:sz="4" w:space="0" w:color="BFBFBF"/>
              <w:bottom w:val="single" w:sz="4" w:space="0" w:color="BFBFBF"/>
              <w:right w:val="single" w:sz="4" w:space="0" w:color="BFBFBF"/>
            </w:tcBorders>
            <w:shd w:val="clear" w:color="auto" w:fill="auto"/>
          </w:tcPr>
          <w:p w14:paraId="02D3F160" w14:textId="77777777" w:rsidR="0025731E" w:rsidRPr="0025731E" w:rsidRDefault="0025731E" w:rsidP="0025731E">
            <w:pPr>
              <w:widowControl w:val="0"/>
              <w:autoSpaceDE w:val="0"/>
              <w:autoSpaceDN w:val="0"/>
              <w:spacing w:line="190" w:lineRule="exact"/>
              <w:jc w:val="right"/>
              <w:rPr>
                <w:rFonts w:ascii="Arial" w:eastAsia="Arial" w:hAnsi="Arial" w:cs="Arial"/>
                <w:sz w:val="14"/>
                <w:szCs w:val="14"/>
                <w:lang w:val="es-ES"/>
              </w:rPr>
            </w:pPr>
            <w:r w:rsidRPr="0025731E">
              <w:rPr>
                <w:rFonts w:ascii="Arial" w:eastAsia="Arial" w:hAnsi="Arial" w:cs="Arial"/>
                <w:sz w:val="14"/>
                <w:szCs w:val="14"/>
                <w:lang w:val="es-ES"/>
              </w:rPr>
              <w:t>25,000,000.00</w:t>
            </w:r>
          </w:p>
          <w:p w14:paraId="17DF957E" w14:textId="77777777" w:rsidR="0025731E" w:rsidRPr="0025731E" w:rsidRDefault="0025731E" w:rsidP="0025731E">
            <w:pPr>
              <w:widowControl w:val="0"/>
              <w:autoSpaceDE w:val="0"/>
              <w:autoSpaceDN w:val="0"/>
              <w:spacing w:line="206" w:lineRule="exact"/>
              <w:jc w:val="right"/>
              <w:rPr>
                <w:rFonts w:ascii="Arial" w:eastAsia="Arial" w:hAnsi="Arial" w:cs="Arial"/>
                <w:sz w:val="14"/>
                <w:szCs w:val="14"/>
                <w:lang w:val="es-ES"/>
              </w:rPr>
            </w:pPr>
          </w:p>
        </w:tc>
        <w:tc>
          <w:tcPr>
            <w:tcW w:w="689" w:type="pct"/>
            <w:tcBorders>
              <w:top w:val="single" w:sz="4" w:space="0" w:color="BFBFBF"/>
              <w:left w:val="single" w:sz="4" w:space="0" w:color="BFBFBF"/>
              <w:bottom w:val="single" w:sz="4" w:space="0" w:color="BFBFBF"/>
              <w:right w:val="single" w:sz="4" w:space="0" w:color="BFBFBF"/>
            </w:tcBorders>
            <w:shd w:val="clear" w:color="auto" w:fill="auto"/>
          </w:tcPr>
          <w:p w14:paraId="7776BD4B" w14:textId="77777777" w:rsidR="0025731E" w:rsidRPr="0025731E" w:rsidRDefault="0025731E" w:rsidP="0025731E">
            <w:pPr>
              <w:widowControl w:val="0"/>
              <w:autoSpaceDE w:val="0"/>
              <w:autoSpaceDN w:val="0"/>
              <w:spacing w:line="202" w:lineRule="exact"/>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 xml:space="preserve">$0.00 </w:t>
            </w:r>
            <w:r w:rsidRPr="001B1D02">
              <w:rPr>
                <w:rFonts w:ascii="Arial" w:eastAsia="Arial" w:hAnsi="Arial" w:cs="Arial"/>
                <w:sz w:val="14"/>
                <w:szCs w:val="14"/>
                <w:vertAlign w:val="superscript"/>
                <w:lang w:val="es-ES"/>
              </w:rPr>
              <w:t>(1)</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BFBFBF"/>
              <w:left w:val="single" w:sz="4" w:space="0" w:color="BFBFBF"/>
              <w:bottom w:val="single" w:sz="4" w:space="0" w:color="BFBFBF"/>
              <w:right w:val="single" w:sz="4" w:space="0" w:color="BFBFBF"/>
            </w:tcBorders>
            <w:shd w:val="clear" w:color="auto" w:fill="auto"/>
          </w:tcPr>
          <w:p w14:paraId="2148D1C5" w14:textId="77777777" w:rsidR="0025731E" w:rsidRPr="0025731E" w:rsidRDefault="0025731E" w:rsidP="0025731E">
            <w:pPr>
              <w:widowControl w:val="0"/>
              <w:autoSpaceDE w:val="0"/>
              <w:autoSpaceDN w:val="0"/>
              <w:spacing w:line="206" w:lineRule="exact"/>
              <w:jc w:val="right"/>
              <w:rPr>
                <w:rFonts w:ascii="Arial" w:eastAsia="Arial" w:hAnsi="Arial" w:cs="Arial"/>
                <w:sz w:val="14"/>
                <w:szCs w:val="14"/>
                <w:lang w:val="es-ES"/>
              </w:rPr>
            </w:pPr>
            <w:r w:rsidRPr="0025731E">
              <w:rPr>
                <w:rFonts w:ascii="Arial" w:eastAsia="Arial" w:hAnsi="Arial" w:cs="Arial"/>
                <w:sz w:val="14"/>
                <w:szCs w:val="14"/>
                <w:lang w:val="es-ES"/>
              </w:rPr>
              <w:t>21,875,106.93</w:t>
            </w:r>
          </w:p>
        </w:tc>
        <w:tc>
          <w:tcPr>
            <w:tcW w:w="503" w:type="pct"/>
            <w:tcBorders>
              <w:top w:val="single" w:sz="4" w:space="0" w:color="BFBFBF"/>
              <w:left w:val="single" w:sz="4" w:space="0" w:color="BFBFBF"/>
              <w:bottom w:val="single" w:sz="4" w:space="0" w:color="BFBFBF"/>
              <w:right w:val="single" w:sz="4" w:space="0" w:color="BFBFBF"/>
            </w:tcBorders>
            <w:shd w:val="clear" w:color="auto" w:fill="auto"/>
          </w:tcPr>
          <w:p w14:paraId="01A43F39" w14:textId="77777777" w:rsidR="0025731E" w:rsidRPr="0025731E" w:rsidRDefault="0025731E" w:rsidP="0025731E">
            <w:pPr>
              <w:widowControl w:val="0"/>
              <w:autoSpaceDE w:val="0"/>
              <w:autoSpaceDN w:val="0"/>
              <w:spacing w:line="190" w:lineRule="exact"/>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06/12/2021</w:t>
            </w:r>
          </w:p>
          <w:p w14:paraId="151A1A38" w14:textId="77777777" w:rsidR="0025731E" w:rsidRPr="0025731E" w:rsidRDefault="0025731E" w:rsidP="0025731E">
            <w:pPr>
              <w:widowControl w:val="0"/>
              <w:autoSpaceDE w:val="0"/>
              <w:autoSpaceDN w:val="0"/>
              <w:spacing w:line="206" w:lineRule="exact"/>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lang w:val="es-ES"/>
              </w:rPr>
            </w:pPr>
          </w:p>
        </w:tc>
        <w:tc>
          <w:tcPr>
            <w:cnfStyle w:val="000010000000" w:firstRow="0" w:lastRow="0" w:firstColumn="0" w:lastColumn="0" w:oddVBand="1" w:evenVBand="0" w:oddHBand="0" w:evenHBand="0" w:firstRowFirstColumn="0" w:firstRowLastColumn="0" w:lastRowFirstColumn="0" w:lastRowLastColumn="0"/>
            <w:tcW w:w="488" w:type="pct"/>
            <w:tcBorders>
              <w:top w:val="single" w:sz="4" w:space="0" w:color="BFBFBF"/>
              <w:left w:val="single" w:sz="4" w:space="0" w:color="BFBFBF"/>
              <w:bottom w:val="single" w:sz="4" w:space="0" w:color="BFBFBF"/>
              <w:right w:val="single" w:sz="4" w:space="0" w:color="BFBFBF"/>
            </w:tcBorders>
            <w:shd w:val="clear" w:color="auto" w:fill="auto"/>
          </w:tcPr>
          <w:p w14:paraId="256C85C7" w14:textId="77777777" w:rsidR="0025731E" w:rsidRPr="0025731E" w:rsidRDefault="0025731E" w:rsidP="0025731E">
            <w:pPr>
              <w:widowControl w:val="0"/>
              <w:autoSpaceDE w:val="0"/>
              <w:autoSpaceDN w:val="0"/>
              <w:spacing w:line="190" w:lineRule="exact"/>
              <w:jc w:val="center"/>
              <w:rPr>
                <w:rFonts w:ascii="Arial" w:eastAsia="Arial" w:hAnsi="Arial" w:cs="Arial"/>
                <w:sz w:val="14"/>
                <w:szCs w:val="14"/>
                <w:lang w:val="es-ES"/>
              </w:rPr>
            </w:pPr>
            <w:r w:rsidRPr="0025731E">
              <w:rPr>
                <w:rFonts w:ascii="Arial" w:eastAsia="Arial" w:hAnsi="Arial" w:cs="Arial"/>
                <w:sz w:val="14"/>
                <w:szCs w:val="14"/>
                <w:lang w:val="es-ES"/>
              </w:rPr>
              <w:t>12 meses</w:t>
            </w:r>
          </w:p>
          <w:p w14:paraId="4F54E172" w14:textId="77777777" w:rsidR="0025731E" w:rsidRPr="0025731E" w:rsidRDefault="0025731E" w:rsidP="0025731E">
            <w:pPr>
              <w:widowControl w:val="0"/>
              <w:autoSpaceDE w:val="0"/>
              <w:autoSpaceDN w:val="0"/>
              <w:spacing w:line="206" w:lineRule="exact"/>
              <w:ind w:left="275"/>
              <w:jc w:val="center"/>
              <w:rPr>
                <w:rFonts w:ascii="Arial" w:eastAsia="Arial" w:hAnsi="Arial" w:cs="Arial"/>
                <w:sz w:val="14"/>
                <w:szCs w:val="14"/>
                <w:lang w:val="es-ES"/>
              </w:rPr>
            </w:pPr>
          </w:p>
        </w:tc>
        <w:tc>
          <w:tcPr>
            <w:cnfStyle w:val="000100000000" w:firstRow="0" w:lastRow="0" w:firstColumn="0" w:lastColumn="1" w:oddVBand="0" w:evenVBand="0" w:oddHBand="0" w:evenHBand="0" w:firstRowFirstColumn="0" w:firstRowLastColumn="0" w:lastRowFirstColumn="0" w:lastRowLastColumn="0"/>
            <w:tcW w:w="581" w:type="pct"/>
            <w:tcBorders>
              <w:top w:val="single" w:sz="4" w:space="0" w:color="BFBFBF"/>
              <w:left w:val="single" w:sz="4" w:space="0" w:color="BFBFBF"/>
              <w:bottom w:val="single" w:sz="4" w:space="0" w:color="BFBFBF"/>
              <w:right w:val="single" w:sz="4" w:space="0" w:color="BFBFBF"/>
            </w:tcBorders>
            <w:shd w:val="clear" w:color="auto" w:fill="auto"/>
          </w:tcPr>
          <w:p w14:paraId="0659B2D0" w14:textId="77777777" w:rsidR="0025731E" w:rsidRPr="0025731E" w:rsidRDefault="0025731E" w:rsidP="0025731E">
            <w:pPr>
              <w:widowControl w:val="0"/>
              <w:autoSpaceDE w:val="0"/>
              <w:autoSpaceDN w:val="0"/>
              <w:spacing w:line="206" w:lineRule="exact"/>
              <w:jc w:val="center"/>
              <w:rPr>
                <w:rFonts w:ascii="Arial" w:eastAsia="Arial" w:hAnsi="Arial" w:cs="Arial"/>
                <w:sz w:val="14"/>
                <w:szCs w:val="14"/>
                <w:lang w:val="es-ES"/>
              </w:rPr>
            </w:pPr>
            <w:r w:rsidRPr="0025731E">
              <w:rPr>
                <w:rFonts w:ascii="Arial" w:eastAsia="Arial" w:hAnsi="Arial" w:cs="Arial"/>
                <w:sz w:val="14"/>
                <w:szCs w:val="14"/>
                <w:lang w:val="es-ES"/>
              </w:rPr>
              <w:t>Sin observaciones</w:t>
            </w:r>
          </w:p>
        </w:tc>
      </w:tr>
      <w:tr w:rsidR="0025731E" w:rsidRPr="0025731E" w14:paraId="209C1E5C" w14:textId="77777777" w:rsidTr="00EE243C">
        <w:trPr>
          <w:trHeight w:val="452"/>
          <w:jc w:val="center"/>
        </w:trPr>
        <w:tc>
          <w:tcPr>
            <w:cnfStyle w:val="001000000000" w:firstRow="0" w:lastRow="0" w:firstColumn="1" w:lastColumn="0" w:oddVBand="0" w:evenVBand="0" w:oddHBand="0" w:evenHBand="0" w:firstRowFirstColumn="0" w:firstRowLastColumn="0" w:lastRowFirstColumn="0" w:lastRowLastColumn="0"/>
            <w:tcW w:w="1455" w:type="pct"/>
            <w:tcBorders>
              <w:top w:val="single" w:sz="4" w:space="0" w:color="BFBFBF"/>
              <w:left w:val="single" w:sz="4" w:space="0" w:color="BFBFBF"/>
              <w:bottom w:val="single" w:sz="4" w:space="0" w:color="BFBFBF"/>
              <w:right w:val="single" w:sz="4" w:space="0" w:color="BFBFBF"/>
            </w:tcBorders>
            <w:shd w:val="clear" w:color="auto" w:fill="auto"/>
          </w:tcPr>
          <w:p w14:paraId="00FA6A48" w14:textId="77777777" w:rsidR="0025731E" w:rsidRPr="0025731E" w:rsidRDefault="0025731E" w:rsidP="0025731E">
            <w:pPr>
              <w:widowControl w:val="0"/>
              <w:autoSpaceDE w:val="0"/>
              <w:autoSpaceDN w:val="0"/>
              <w:spacing w:line="242" w:lineRule="auto"/>
              <w:ind w:left="111"/>
              <w:rPr>
                <w:rFonts w:ascii="Arial" w:eastAsia="Arial" w:hAnsi="Arial" w:cs="Arial"/>
                <w:sz w:val="14"/>
                <w:szCs w:val="14"/>
                <w:lang w:val="es-ES"/>
              </w:rPr>
            </w:pPr>
            <w:r w:rsidRPr="0025731E">
              <w:rPr>
                <w:rFonts w:ascii="Arial" w:eastAsia="Arial" w:hAnsi="Arial" w:cs="Arial"/>
                <w:sz w:val="14"/>
                <w:szCs w:val="14"/>
                <w:lang w:val="es-ES"/>
              </w:rPr>
              <w:t>H. Ayuntamiento de Solidaridad</w:t>
            </w:r>
          </w:p>
          <w:p w14:paraId="21CBFF8F" w14:textId="77777777" w:rsidR="0025731E" w:rsidRPr="0025731E" w:rsidRDefault="0025731E" w:rsidP="0025731E">
            <w:pPr>
              <w:widowControl w:val="0"/>
              <w:autoSpaceDE w:val="0"/>
              <w:autoSpaceDN w:val="0"/>
              <w:spacing w:line="242" w:lineRule="auto"/>
              <w:ind w:left="111"/>
              <w:rPr>
                <w:rFonts w:ascii="Arial" w:eastAsia="Arial" w:hAnsi="Arial" w:cs="Arial"/>
                <w:sz w:val="14"/>
                <w:szCs w:val="14"/>
                <w:lang w:val="es-ES"/>
              </w:rPr>
            </w:pPr>
          </w:p>
          <w:p w14:paraId="2A17DBA8" w14:textId="77777777" w:rsidR="0025731E" w:rsidRPr="0025731E" w:rsidRDefault="0025731E" w:rsidP="0025731E">
            <w:pPr>
              <w:widowControl w:val="0"/>
              <w:autoSpaceDE w:val="0"/>
              <w:autoSpaceDN w:val="0"/>
              <w:spacing w:line="242" w:lineRule="auto"/>
              <w:ind w:left="111"/>
              <w:rPr>
                <w:rFonts w:ascii="Arial" w:eastAsia="Arial" w:hAnsi="Arial" w:cs="Arial"/>
                <w:b w:val="0"/>
                <w:sz w:val="14"/>
                <w:szCs w:val="14"/>
                <w:lang w:val="es-ES"/>
              </w:rPr>
            </w:pPr>
            <w:r w:rsidRPr="0025731E">
              <w:rPr>
                <w:rFonts w:ascii="Arial" w:eastAsia="Arial" w:hAnsi="Arial" w:cs="Arial"/>
                <w:b w:val="0"/>
                <w:sz w:val="14"/>
                <w:szCs w:val="14"/>
                <w:lang w:val="es-ES"/>
              </w:rPr>
              <w:t>Banorte</w:t>
            </w:r>
          </w:p>
          <w:p w14:paraId="70527EAD" w14:textId="77777777" w:rsidR="0025731E" w:rsidRPr="0025731E" w:rsidRDefault="0025731E" w:rsidP="0025731E">
            <w:pPr>
              <w:widowControl w:val="0"/>
              <w:autoSpaceDE w:val="0"/>
              <w:autoSpaceDN w:val="0"/>
              <w:spacing w:line="242" w:lineRule="auto"/>
              <w:ind w:left="111"/>
              <w:rPr>
                <w:rFonts w:ascii="Arial" w:eastAsia="Arial" w:hAnsi="Arial" w:cs="Arial"/>
                <w:b w:val="0"/>
                <w:sz w:val="14"/>
                <w:szCs w:val="14"/>
                <w:lang w:val="es-ES"/>
              </w:rPr>
            </w:pPr>
          </w:p>
        </w:tc>
        <w:tc>
          <w:tcPr>
            <w:cnfStyle w:val="000010000000" w:firstRow="0" w:lastRow="0" w:firstColumn="0" w:lastColumn="0" w:oddVBand="1" w:evenVBand="0" w:oddHBand="0" w:evenHBand="0" w:firstRowFirstColumn="0" w:firstRowLastColumn="0" w:lastRowFirstColumn="0" w:lastRowLastColumn="0"/>
            <w:tcW w:w="688" w:type="pct"/>
            <w:tcBorders>
              <w:top w:val="single" w:sz="4" w:space="0" w:color="BFBFBF"/>
              <w:left w:val="single" w:sz="4" w:space="0" w:color="BFBFBF"/>
              <w:bottom w:val="single" w:sz="4" w:space="0" w:color="BFBFBF"/>
              <w:right w:val="single" w:sz="4" w:space="0" w:color="BFBFBF"/>
            </w:tcBorders>
            <w:shd w:val="clear" w:color="auto" w:fill="auto"/>
          </w:tcPr>
          <w:p w14:paraId="27D2B5B6" w14:textId="77777777" w:rsidR="0025731E" w:rsidRPr="0025731E" w:rsidRDefault="0025731E" w:rsidP="0025731E">
            <w:pPr>
              <w:widowControl w:val="0"/>
              <w:autoSpaceDE w:val="0"/>
              <w:autoSpaceDN w:val="0"/>
              <w:spacing w:line="202" w:lineRule="exact"/>
              <w:jc w:val="right"/>
              <w:rPr>
                <w:rFonts w:ascii="Arial" w:eastAsia="Arial" w:hAnsi="Arial" w:cs="Arial"/>
                <w:sz w:val="14"/>
                <w:szCs w:val="14"/>
                <w:lang w:val="es-ES"/>
              </w:rPr>
            </w:pPr>
            <w:r w:rsidRPr="0025731E">
              <w:rPr>
                <w:rFonts w:ascii="Arial" w:eastAsia="Arial" w:hAnsi="Arial" w:cs="Arial"/>
                <w:sz w:val="14"/>
                <w:szCs w:val="14"/>
                <w:lang w:val="es-ES"/>
              </w:rPr>
              <w:t>780,000,000.00</w:t>
            </w:r>
          </w:p>
        </w:tc>
        <w:tc>
          <w:tcPr>
            <w:tcW w:w="689" w:type="pct"/>
            <w:tcBorders>
              <w:top w:val="single" w:sz="4" w:space="0" w:color="BFBFBF"/>
              <w:left w:val="single" w:sz="4" w:space="0" w:color="BFBFBF"/>
              <w:bottom w:val="single" w:sz="4" w:space="0" w:color="BFBFBF"/>
              <w:right w:val="single" w:sz="4" w:space="0" w:color="BFBFBF"/>
            </w:tcBorders>
            <w:shd w:val="clear" w:color="auto" w:fill="auto"/>
          </w:tcPr>
          <w:p w14:paraId="5991D6EA" w14:textId="77777777" w:rsidR="0025731E" w:rsidRPr="0025731E" w:rsidRDefault="0025731E" w:rsidP="0025731E">
            <w:pPr>
              <w:widowControl w:val="0"/>
              <w:autoSpaceDE w:val="0"/>
              <w:autoSpaceDN w:val="0"/>
              <w:spacing w:line="202" w:lineRule="exact"/>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570,470,366.45</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BFBFBF"/>
              <w:left w:val="single" w:sz="4" w:space="0" w:color="BFBFBF"/>
              <w:bottom w:val="single" w:sz="4" w:space="0" w:color="BFBFBF"/>
              <w:right w:val="single" w:sz="4" w:space="0" w:color="BFBFBF"/>
            </w:tcBorders>
            <w:shd w:val="clear" w:color="auto" w:fill="auto"/>
          </w:tcPr>
          <w:p w14:paraId="4AEEBA01" w14:textId="77777777" w:rsidR="0025731E" w:rsidRPr="0025731E" w:rsidRDefault="0025731E" w:rsidP="0025731E">
            <w:pPr>
              <w:widowControl w:val="0"/>
              <w:autoSpaceDE w:val="0"/>
              <w:autoSpaceDN w:val="0"/>
              <w:spacing w:line="202" w:lineRule="exact"/>
              <w:jc w:val="right"/>
              <w:rPr>
                <w:rFonts w:ascii="Arial" w:eastAsia="Arial" w:hAnsi="Arial" w:cs="Arial"/>
                <w:sz w:val="14"/>
                <w:szCs w:val="14"/>
                <w:lang w:val="es-ES"/>
              </w:rPr>
            </w:pPr>
            <w:r w:rsidRPr="0025731E">
              <w:rPr>
                <w:rFonts w:ascii="Arial" w:eastAsia="Arial" w:hAnsi="Arial" w:cs="Arial"/>
                <w:sz w:val="14"/>
                <w:szCs w:val="14"/>
                <w:lang w:val="es-ES"/>
              </w:rPr>
              <w:t>89,437,917.35*</w:t>
            </w:r>
          </w:p>
        </w:tc>
        <w:tc>
          <w:tcPr>
            <w:tcW w:w="503" w:type="pct"/>
            <w:tcBorders>
              <w:top w:val="single" w:sz="4" w:space="0" w:color="BFBFBF"/>
              <w:left w:val="single" w:sz="4" w:space="0" w:color="BFBFBF"/>
              <w:bottom w:val="single" w:sz="4" w:space="0" w:color="BFBFBF"/>
              <w:right w:val="single" w:sz="4" w:space="0" w:color="BFBFBF"/>
            </w:tcBorders>
            <w:shd w:val="clear" w:color="auto" w:fill="auto"/>
          </w:tcPr>
          <w:p w14:paraId="4362A0E3" w14:textId="77777777" w:rsidR="0025731E" w:rsidRPr="0025731E" w:rsidRDefault="0025731E" w:rsidP="0025731E">
            <w:pPr>
              <w:widowControl w:val="0"/>
              <w:autoSpaceDE w:val="0"/>
              <w:autoSpaceDN w:val="0"/>
              <w:spacing w:line="202" w:lineRule="exact"/>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26/02/2014</w:t>
            </w:r>
          </w:p>
        </w:tc>
        <w:tc>
          <w:tcPr>
            <w:cnfStyle w:val="000010000000" w:firstRow="0" w:lastRow="0" w:firstColumn="0" w:lastColumn="0" w:oddVBand="1" w:evenVBand="0" w:oddHBand="0" w:evenHBand="0" w:firstRowFirstColumn="0" w:firstRowLastColumn="0" w:lastRowFirstColumn="0" w:lastRowLastColumn="0"/>
            <w:tcW w:w="488" w:type="pct"/>
            <w:tcBorders>
              <w:top w:val="single" w:sz="4" w:space="0" w:color="BFBFBF"/>
              <w:left w:val="single" w:sz="4" w:space="0" w:color="BFBFBF"/>
              <w:bottom w:val="single" w:sz="4" w:space="0" w:color="BFBFBF"/>
              <w:right w:val="single" w:sz="4" w:space="0" w:color="BFBFBF"/>
            </w:tcBorders>
            <w:shd w:val="clear" w:color="auto" w:fill="auto"/>
          </w:tcPr>
          <w:p w14:paraId="39C30D37" w14:textId="77777777" w:rsidR="0025731E" w:rsidRPr="0025731E" w:rsidRDefault="0025731E" w:rsidP="0025731E">
            <w:pPr>
              <w:widowControl w:val="0"/>
              <w:autoSpaceDE w:val="0"/>
              <w:autoSpaceDN w:val="0"/>
              <w:spacing w:line="202" w:lineRule="exact"/>
              <w:jc w:val="center"/>
              <w:rPr>
                <w:rFonts w:ascii="Arial" w:eastAsia="Arial" w:hAnsi="Arial" w:cs="Arial"/>
                <w:sz w:val="14"/>
                <w:szCs w:val="14"/>
                <w:lang w:val="es-ES"/>
              </w:rPr>
            </w:pPr>
            <w:r w:rsidRPr="0025731E">
              <w:rPr>
                <w:rFonts w:ascii="Arial" w:eastAsia="Arial" w:hAnsi="Arial" w:cs="Arial"/>
                <w:sz w:val="14"/>
                <w:szCs w:val="14"/>
                <w:lang w:val="es-ES"/>
              </w:rPr>
              <w:t>20 años</w:t>
            </w:r>
          </w:p>
        </w:tc>
        <w:tc>
          <w:tcPr>
            <w:cnfStyle w:val="000100000000" w:firstRow="0" w:lastRow="0" w:firstColumn="0" w:lastColumn="1" w:oddVBand="0" w:evenVBand="0" w:oddHBand="0" w:evenHBand="0" w:firstRowFirstColumn="0" w:firstRowLastColumn="0" w:lastRowFirstColumn="0" w:lastRowLastColumn="0"/>
            <w:tcW w:w="581" w:type="pct"/>
            <w:tcBorders>
              <w:top w:val="single" w:sz="4" w:space="0" w:color="BFBFBF"/>
              <w:left w:val="single" w:sz="4" w:space="0" w:color="BFBFBF"/>
              <w:bottom w:val="single" w:sz="4" w:space="0" w:color="BFBFBF"/>
              <w:right w:val="single" w:sz="4" w:space="0" w:color="BFBFBF"/>
            </w:tcBorders>
            <w:shd w:val="clear" w:color="auto" w:fill="auto"/>
          </w:tcPr>
          <w:p w14:paraId="0ADECE47" w14:textId="77777777" w:rsidR="0025731E" w:rsidRPr="0025731E" w:rsidRDefault="0025731E" w:rsidP="0025731E">
            <w:pPr>
              <w:widowControl w:val="0"/>
              <w:autoSpaceDE w:val="0"/>
              <w:autoSpaceDN w:val="0"/>
              <w:spacing w:line="202" w:lineRule="exact"/>
              <w:jc w:val="center"/>
              <w:rPr>
                <w:rFonts w:ascii="Arial" w:eastAsia="Arial" w:hAnsi="Arial" w:cs="Arial"/>
                <w:sz w:val="14"/>
                <w:szCs w:val="14"/>
                <w:lang w:val="es-ES"/>
              </w:rPr>
            </w:pPr>
            <w:r w:rsidRPr="0025731E">
              <w:rPr>
                <w:rFonts w:ascii="Arial" w:eastAsia="Arial" w:hAnsi="Arial" w:cs="Arial"/>
                <w:sz w:val="14"/>
                <w:szCs w:val="14"/>
                <w:lang w:val="es-ES"/>
              </w:rPr>
              <w:t>Sin observaciones</w:t>
            </w:r>
          </w:p>
        </w:tc>
      </w:tr>
      <w:tr w:rsidR="0025731E" w:rsidRPr="0025731E" w14:paraId="381C74C3" w14:textId="77777777" w:rsidTr="00EE243C">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455" w:type="pct"/>
            <w:tcBorders>
              <w:top w:val="single" w:sz="4" w:space="0" w:color="BFBFBF"/>
              <w:left w:val="single" w:sz="4" w:space="0" w:color="BFBFBF"/>
              <w:bottom w:val="single" w:sz="4" w:space="0" w:color="BFBFBF"/>
              <w:right w:val="single" w:sz="4" w:space="0" w:color="BFBFBF"/>
            </w:tcBorders>
            <w:shd w:val="clear" w:color="auto" w:fill="auto"/>
          </w:tcPr>
          <w:p w14:paraId="20457B7A" w14:textId="77777777" w:rsidR="0025731E" w:rsidRPr="0025731E" w:rsidRDefault="0025731E" w:rsidP="0025731E">
            <w:pPr>
              <w:widowControl w:val="0"/>
              <w:autoSpaceDE w:val="0"/>
              <w:autoSpaceDN w:val="0"/>
              <w:spacing w:line="190" w:lineRule="exact"/>
              <w:ind w:left="113"/>
              <w:rPr>
                <w:rFonts w:ascii="Arial" w:eastAsia="Arial" w:hAnsi="Arial" w:cs="Arial"/>
                <w:sz w:val="14"/>
                <w:szCs w:val="14"/>
                <w:lang w:val="es-ES"/>
              </w:rPr>
            </w:pPr>
            <w:r w:rsidRPr="0025731E">
              <w:rPr>
                <w:rFonts w:ascii="Arial" w:eastAsia="Arial" w:hAnsi="Arial" w:cs="Arial"/>
                <w:sz w:val="14"/>
                <w:szCs w:val="14"/>
                <w:lang w:val="es-ES"/>
              </w:rPr>
              <w:t>H. Ayuntamiento de Benito Juárez</w:t>
            </w:r>
          </w:p>
        </w:tc>
        <w:tc>
          <w:tcPr>
            <w:cnfStyle w:val="000010000000" w:firstRow="0" w:lastRow="0" w:firstColumn="0" w:lastColumn="0" w:oddVBand="1" w:evenVBand="0" w:oddHBand="0" w:evenHBand="0" w:firstRowFirstColumn="0" w:firstRowLastColumn="0" w:lastRowFirstColumn="0" w:lastRowLastColumn="0"/>
            <w:tcW w:w="688" w:type="pct"/>
            <w:tcBorders>
              <w:top w:val="single" w:sz="3" w:space="0" w:color="BFBFBF"/>
              <w:left w:val="single" w:sz="3" w:space="0" w:color="BFBFBF"/>
              <w:bottom w:val="single" w:sz="3" w:space="0" w:color="BFBFBF"/>
              <w:right w:val="single" w:sz="3" w:space="0" w:color="BFBFBF"/>
            </w:tcBorders>
            <w:shd w:val="clear" w:color="auto" w:fill="auto"/>
          </w:tcPr>
          <w:p w14:paraId="249EB8CF" w14:textId="77777777" w:rsidR="0025731E" w:rsidRPr="0025731E" w:rsidRDefault="0025731E" w:rsidP="0025731E">
            <w:pPr>
              <w:widowControl w:val="0"/>
              <w:autoSpaceDE w:val="0"/>
              <w:autoSpaceDN w:val="0"/>
              <w:spacing w:line="202" w:lineRule="exact"/>
              <w:jc w:val="right"/>
              <w:rPr>
                <w:rFonts w:ascii="Arial" w:eastAsia="Arial" w:hAnsi="Arial" w:cs="Arial"/>
                <w:sz w:val="14"/>
                <w:szCs w:val="14"/>
                <w:lang w:val="es-ES"/>
              </w:rPr>
            </w:pPr>
            <w:r w:rsidRPr="0025731E">
              <w:rPr>
                <w:rFonts w:ascii="Arial" w:eastAsia="Arial" w:hAnsi="Arial" w:cs="Arial"/>
                <w:sz w:val="14"/>
                <w:szCs w:val="14"/>
                <w:lang w:val="es-ES"/>
              </w:rPr>
              <w:t>1,000,000,000.00</w:t>
            </w:r>
          </w:p>
        </w:tc>
        <w:tc>
          <w:tcPr>
            <w:tcW w:w="689" w:type="pct"/>
            <w:tcBorders>
              <w:top w:val="single" w:sz="3" w:space="0" w:color="BFBFBF"/>
              <w:left w:val="single" w:sz="3" w:space="0" w:color="BFBFBF"/>
              <w:bottom w:val="single" w:sz="3" w:space="0" w:color="BFBFBF"/>
              <w:right w:val="single" w:sz="3" w:space="0" w:color="BFBFBF"/>
            </w:tcBorders>
            <w:shd w:val="clear" w:color="auto" w:fill="auto"/>
          </w:tcPr>
          <w:p w14:paraId="7824AD98" w14:textId="77777777" w:rsidR="0025731E" w:rsidRPr="0025731E" w:rsidRDefault="0025731E" w:rsidP="0025731E">
            <w:pPr>
              <w:widowControl w:val="0"/>
              <w:autoSpaceDE w:val="0"/>
              <w:autoSpaceDN w:val="0"/>
              <w:spacing w:line="202" w:lineRule="exact"/>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898,492,644.73</w:t>
            </w:r>
          </w:p>
        </w:tc>
        <w:tc>
          <w:tcPr>
            <w:cnfStyle w:val="000010000000" w:firstRow="0" w:lastRow="0" w:firstColumn="0" w:lastColumn="0" w:oddVBand="1" w:evenVBand="0" w:oddHBand="0" w:evenHBand="0" w:firstRowFirstColumn="0" w:firstRowLastColumn="0" w:lastRowFirstColumn="0" w:lastRowLastColumn="0"/>
            <w:tcW w:w="595" w:type="pct"/>
            <w:tcBorders>
              <w:top w:val="single" w:sz="3" w:space="0" w:color="BFBFBF"/>
              <w:left w:val="single" w:sz="3" w:space="0" w:color="BFBFBF"/>
              <w:bottom w:val="single" w:sz="3" w:space="0" w:color="BFBFBF"/>
              <w:right w:val="single" w:sz="3" w:space="0" w:color="BFBFBF"/>
            </w:tcBorders>
            <w:shd w:val="clear" w:color="auto" w:fill="auto"/>
          </w:tcPr>
          <w:p w14:paraId="32249C9A" w14:textId="77777777" w:rsidR="0025731E" w:rsidRPr="0025731E" w:rsidRDefault="0025731E" w:rsidP="0025731E">
            <w:pPr>
              <w:widowControl w:val="0"/>
              <w:autoSpaceDE w:val="0"/>
              <w:autoSpaceDN w:val="0"/>
              <w:spacing w:line="206" w:lineRule="exact"/>
              <w:jc w:val="right"/>
              <w:rPr>
                <w:rFonts w:ascii="Arial" w:eastAsia="Arial" w:hAnsi="Arial" w:cs="Arial"/>
                <w:sz w:val="14"/>
                <w:szCs w:val="14"/>
                <w:lang w:val="es-ES"/>
              </w:rPr>
            </w:pPr>
            <w:r w:rsidRPr="0025731E">
              <w:rPr>
                <w:rFonts w:ascii="Arial" w:eastAsia="Arial" w:hAnsi="Arial" w:cs="Arial"/>
                <w:sz w:val="14"/>
                <w:szCs w:val="14"/>
                <w:lang w:val="es-ES"/>
              </w:rPr>
              <w:t>106,623,978.17*</w:t>
            </w:r>
          </w:p>
          <w:p w14:paraId="41988781" w14:textId="77777777" w:rsidR="0025731E" w:rsidRPr="0025731E" w:rsidRDefault="0025731E" w:rsidP="0025731E">
            <w:pPr>
              <w:widowControl w:val="0"/>
              <w:autoSpaceDE w:val="0"/>
              <w:autoSpaceDN w:val="0"/>
              <w:spacing w:line="206" w:lineRule="exact"/>
              <w:jc w:val="right"/>
              <w:rPr>
                <w:rFonts w:ascii="Arial" w:eastAsia="Arial" w:hAnsi="Arial" w:cs="Arial"/>
                <w:sz w:val="14"/>
                <w:szCs w:val="14"/>
                <w:lang w:val="es-ES"/>
              </w:rPr>
            </w:pPr>
          </w:p>
        </w:tc>
        <w:tc>
          <w:tcPr>
            <w:tcW w:w="503" w:type="pct"/>
            <w:tcBorders>
              <w:top w:val="single" w:sz="3" w:space="0" w:color="BFBFBF"/>
              <w:left w:val="single" w:sz="3" w:space="0" w:color="BFBFBF"/>
              <w:bottom w:val="single" w:sz="3" w:space="0" w:color="BFBFBF"/>
              <w:right w:val="single" w:sz="3" w:space="0" w:color="BFBFBF"/>
            </w:tcBorders>
            <w:shd w:val="clear" w:color="auto" w:fill="auto"/>
          </w:tcPr>
          <w:p w14:paraId="13932540" w14:textId="77777777" w:rsidR="0025731E" w:rsidRPr="0025731E" w:rsidRDefault="0025731E" w:rsidP="0025731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lang w:val="es-ES"/>
              </w:rPr>
            </w:pPr>
          </w:p>
        </w:tc>
        <w:tc>
          <w:tcPr>
            <w:cnfStyle w:val="000010000000" w:firstRow="0" w:lastRow="0" w:firstColumn="0" w:lastColumn="0" w:oddVBand="1" w:evenVBand="0" w:oddHBand="0" w:evenHBand="0" w:firstRowFirstColumn="0" w:firstRowLastColumn="0" w:lastRowFirstColumn="0" w:lastRowLastColumn="0"/>
            <w:tcW w:w="488" w:type="pct"/>
            <w:tcBorders>
              <w:top w:val="single" w:sz="3" w:space="0" w:color="BFBFBF"/>
              <w:left w:val="single" w:sz="3" w:space="0" w:color="BFBFBF"/>
              <w:bottom w:val="single" w:sz="3" w:space="0" w:color="BFBFBF"/>
              <w:right w:val="single" w:sz="3" w:space="0" w:color="BFBFBF"/>
            </w:tcBorders>
            <w:shd w:val="clear" w:color="auto" w:fill="auto"/>
          </w:tcPr>
          <w:p w14:paraId="0F08C35F" w14:textId="77777777" w:rsidR="0025731E" w:rsidRPr="0025731E" w:rsidRDefault="0025731E" w:rsidP="0025731E">
            <w:pPr>
              <w:widowControl w:val="0"/>
              <w:autoSpaceDE w:val="0"/>
              <w:autoSpaceDN w:val="0"/>
              <w:jc w:val="center"/>
              <w:rPr>
                <w:rFonts w:ascii="Arial" w:eastAsia="Arial" w:hAnsi="Arial" w:cs="Arial"/>
                <w:sz w:val="14"/>
                <w:szCs w:val="14"/>
                <w:lang w:val="es-ES"/>
              </w:rPr>
            </w:pPr>
          </w:p>
        </w:tc>
        <w:tc>
          <w:tcPr>
            <w:cnfStyle w:val="000100000000" w:firstRow="0" w:lastRow="0" w:firstColumn="0" w:lastColumn="1" w:oddVBand="0" w:evenVBand="0" w:oddHBand="0" w:evenHBand="0" w:firstRowFirstColumn="0" w:firstRowLastColumn="0" w:lastRowFirstColumn="0" w:lastRowLastColumn="0"/>
            <w:tcW w:w="581" w:type="pct"/>
            <w:tcBorders>
              <w:top w:val="single" w:sz="3" w:space="0" w:color="BFBFBF"/>
              <w:left w:val="single" w:sz="3" w:space="0" w:color="BFBFBF"/>
              <w:bottom w:val="single" w:sz="3" w:space="0" w:color="BFBFBF"/>
              <w:right w:val="single" w:sz="3" w:space="0" w:color="BFBFBF"/>
            </w:tcBorders>
            <w:shd w:val="clear" w:color="auto" w:fill="auto"/>
          </w:tcPr>
          <w:p w14:paraId="5E3BD30D" w14:textId="77777777" w:rsidR="0025731E" w:rsidRPr="0025731E" w:rsidRDefault="0025731E" w:rsidP="0025731E">
            <w:pPr>
              <w:widowControl w:val="0"/>
              <w:autoSpaceDE w:val="0"/>
              <w:autoSpaceDN w:val="0"/>
              <w:spacing w:line="202" w:lineRule="exact"/>
              <w:jc w:val="center"/>
              <w:rPr>
                <w:rFonts w:ascii="Arial" w:eastAsia="Arial" w:hAnsi="Arial" w:cs="Arial"/>
                <w:sz w:val="14"/>
                <w:szCs w:val="14"/>
                <w:lang w:val="es-ES"/>
              </w:rPr>
            </w:pPr>
            <w:r w:rsidRPr="0025731E">
              <w:rPr>
                <w:rFonts w:ascii="Arial" w:eastAsia="Arial" w:hAnsi="Arial" w:cs="Arial"/>
                <w:sz w:val="14"/>
                <w:szCs w:val="14"/>
                <w:lang w:val="es-ES"/>
              </w:rPr>
              <w:t>Sin observaciones</w:t>
            </w:r>
          </w:p>
        </w:tc>
      </w:tr>
      <w:tr w:rsidR="0025731E" w:rsidRPr="0025731E" w14:paraId="2FB4734E" w14:textId="77777777" w:rsidTr="00EE243C">
        <w:trPr>
          <w:trHeight w:val="708"/>
          <w:jc w:val="center"/>
        </w:trPr>
        <w:tc>
          <w:tcPr>
            <w:cnfStyle w:val="001000000000" w:firstRow="0" w:lastRow="0" w:firstColumn="1" w:lastColumn="0" w:oddVBand="0" w:evenVBand="0" w:oddHBand="0" w:evenHBand="0" w:firstRowFirstColumn="0" w:firstRowLastColumn="0" w:lastRowFirstColumn="0" w:lastRowLastColumn="0"/>
            <w:tcW w:w="1455" w:type="pct"/>
            <w:tcBorders>
              <w:top w:val="single" w:sz="4" w:space="0" w:color="BFBFBF"/>
              <w:left w:val="single" w:sz="4" w:space="0" w:color="BFBFBF"/>
              <w:bottom w:val="single" w:sz="4" w:space="0" w:color="BFBFBF"/>
              <w:right w:val="single" w:sz="4" w:space="0" w:color="BFBFBF"/>
            </w:tcBorders>
            <w:shd w:val="clear" w:color="auto" w:fill="auto"/>
          </w:tcPr>
          <w:p w14:paraId="36B82AEB" w14:textId="77777777" w:rsidR="0025731E" w:rsidRPr="0025731E" w:rsidRDefault="0025731E" w:rsidP="0025731E">
            <w:pPr>
              <w:widowControl w:val="0"/>
              <w:autoSpaceDE w:val="0"/>
              <w:autoSpaceDN w:val="0"/>
              <w:ind w:left="142" w:right="367"/>
              <w:rPr>
                <w:rFonts w:ascii="Arial" w:eastAsia="Arial" w:hAnsi="Arial" w:cs="Arial"/>
                <w:b w:val="0"/>
                <w:sz w:val="14"/>
                <w:szCs w:val="14"/>
                <w:lang w:val="es-ES"/>
              </w:rPr>
            </w:pPr>
            <w:r w:rsidRPr="0025731E">
              <w:rPr>
                <w:rFonts w:ascii="Arial" w:eastAsia="Arial" w:hAnsi="Arial" w:cs="Arial"/>
                <w:b w:val="0"/>
                <w:sz w:val="14"/>
                <w:szCs w:val="14"/>
                <w:lang w:val="es-ES"/>
              </w:rPr>
              <w:t xml:space="preserve">Desagregado: </w:t>
            </w:r>
          </w:p>
          <w:p w14:paraId="52533730" w14:textId="77777777" w:rsidR="0025731E" w:rsidRPr="0025731E" w:rsidRDefault="0025731E" w:rsidP="0025731E">
            <w:pPr>
              <w:widowControl w:val="0"/>
              <w:autoSpaceDE w:val="0"/>
              <w:autoSpaceDN w:val="0"/>
              <w:ind w:left="142" w:right="367"/>
              <w:rPr>
                <w:rFonts w:ascii="Arial" w:eastAsia="Arial" w:hAnsi="Arial" w:cs="Arial"/>
                <w:b w:val="0"/>
                <w:sz w:val="14"/>
                <w:szCs w:val="14"/>
                <w:lang w:val="es-ES"/>
              </w:rPr>
            </w:pPr>
            <w:r w:rsidRPr="0025731E">
              <w:rPr>
                <w:rFonts w:ascii="Arial" w:eastAsia="Arial" w:hAnsi="Arial" w:cs="Arial"/>
                <w:b w:val="0"/>
                <w:sz w:val="14"/>
                <w:szCs w:val="14"/>
                <w:lang w:val="es-ES"/>
              </w:rPr>
              <w:t>Banco Azteca</w:t>
            </w:r>
          </w:p>
          <w:p w14:paraId="5D7900A8" w14:textId="77777777" w:rsidR="0025731E" w:rsidRPr="0025731E" w:rsidRDefault="0025731E" w:rsidP="0025731E">
            <w:pPr>
              <w:widowControl w:val="0"/>
              <w:autoSpaceDE w:val="0"/>
              <w:autoSpaceDN w:val="0"/>
              <w:ind w:left="142" w:right="367"/>
              <w:rPr>
                <w:rFonts w:ascii="Arial" w:eastAsia="Arial" w:hAnsi="Arial" w:cs="Arial"/>
                <w:sz w:val="14"/>
                <w:szCs w:val="14"/>
                <w:lang w:val="es-ES"/>
              </w:rPr>
            </w:pPr>
            <w:r w:rsidRPr="0025731E">
              <w:rPr>
                <w:rFonts w:ascii="Arial" w:eastAsia="Arial" w:hAnsi="Arial" w:cs="Arial"/>
                <w:b w:val="0"/>
                <w:sz w:val="14"/>
                <w:szCs w:val="14"/>
                <w:lang w:val="es-ES"/>
              </w:rPr>
              <w:t>Banco BBVA</w:t>
            </w:r>
          </w:p>
        </w:tc>
        <w:tc>
          <w:tcPr>
            <w:cnfStyle w:val="000010000000" w:firstRow="0" w:lastRow="0" w:firstColumn="0" w:lastColumn="0" w:oddVBand="1" w:evenVBand="0" w:oddHBand="0" w:evenHBand="0" w:firstRowFirstColumn="0" w:firstRowLastColumn="0" w:lastRowFirstColumn="0" w:lastRowLastColumn="0"/>
            <w:tcW w:w="688" w:type="pct"/>
            <w:tcBorders>
              <w:top w:val="single" w:sz="3" w:space="0" w:color="BFBFBF"/>
              <w:left w:val="single" w:sz="3" w:space="0" w:color="BFBFBF"/>
              <w:bottom w:val="single" w:sz="3" w:space="0" w:color="BFBFBF"/>
              <w:right w:val="single" w:sz="3" w:space="0" w:color="BFBFBF"/>
            </w:tcBorders>
            <w:shd w:val="clear" w:color="auto" w:fill="auto"/>
          </w:tcPr>
          <w:p w14:paraId="061B0D2B" w14:textId="77777777" w:rsidR="0025731E" w:rsidRPr="0025731E" w:rsidRDefault="0025731E" w:rsidP="0025731E">
            <w:pPr>
              <w:widowControl w:val="0"/>
              <w:autoSpaceDE w:val="0"/>
              <w:autoSpaceDN w:val="0"/>
              <w:spacing w:before="4"/>
              <w:rPr>
                <w:rFonts w:ascii="Arial" w:eastAsia="Arial" w:hAnsi="Arial" w:cs="Arial"/>
                <w:b/>
                <w:sz w:val="14"/>
                <w:szCs w:val="14"/>
                <w:lang w:val="es-ES"/>
              </w:rPr>
            </w:pPr>
          </w:p>
          <w:p w14:paraId="56D4DFD2" w14:textId="77777777" w:rsidR="0025731E" w:rsidRPr="0025731E" w:rsidRDefault="0025731E" w:rsidP="0025731E">
            <w:pPr>
              <w:widowControl w:val="0"/>
              <w:autoSpaceDE w:val="0"/>
              <w:autoSpaceDN w:val="0"/>
              <w:spacing w:before="1"/>
              <w:jc w:val="right"/>
              <w:rPr>
                <w:rFonts w:ascii="Arial" w:eastAsia="Arial" w:hAnsi="Arial" w:cs="Arial"/>
                <w:spacing w:val="-1"/>
                <w:sz w:val="14"/>
                <w:szCs w:val="14"/>
                <w:lang w:val="es-ES"/>
              </w:rPr>
            </w:pPr>
            <w:r w:rsidRPr="0025731E">
              <w:rPr>
                <w:rFonts w:ascii="Arial" w:eastAsia="Arial" w:hAnsi="Arial" w:cs="Arial"/>
                <w:spacing w:val="-1"/>
                <w:sz w:val="14"/>
                <w:szCs w:val="14"/>
                <w:lang w:val="es-ES"/>
              </w:rPr>
              <w:t>500,000,000.00</w:t>
            </w:r>
          </w:p>
          <w:p w14:paraId="3F9B53C8" w14:textId="77777777" w:rsidR="0025731E" w:rsidRPr="0025731E" w:rsidRDefault="0025731E" w:rsidP="0025731E">
            <w:pPr>
              <w:widowControl w:val="0"/>
              <w:autoSpaceDE w:val="0"/>
              <w:autoSpaceDN w:val="0"/>
              <w:spacing w:before="1"/>
              <w:jc w:val="right"/>
              <w:rPr>
                <w:rFonts w:ascii="Arial" w:eastAsia="Arial" w:hAnsi="Arial" w:cs="Arial"/>
                <w:sz w:val="14"/>
                <w:szCs w:val="14"/>
                <w:lang w:val="es-ES"/>
              </w:rPr>
            </w:pPr>
            <w:r w:rsidRPr="0025731E">
              <w:rPr>
                <w:rFonts w:ascii="Arial" w:eastAsia="Arial" w:hAnsi="Arial" w:cs="Arial"/>
                <w:spacing w:val="-1"/>
                <w:sz w:val="14"/>
                <w:szCs w:val="14"/>
                <w:lang w:val="es-ES"/>
              </w:rPr>
              <w:t>500,000,000.00</w:t>
            </w:r>
          </w:p>
        </w:tc>
        <w:tc>
          <w:tcPr>
            <w:tcW w:w="689" w:type="pct"/>
            <w:tcBorders>
              <w:top w:val="single" w:sz="3" w:space="0" w:color="BFBFBF"/>
              <w:left w:val="single" w:sz="3" w:space="0" w:color="BFBFBF"/>
              <w:bottom w:val="single" w:sz="3" w:space="0" w:color="BFBFBF"/>
              <w:right w:val="single" w:sz="3" w:space="0" w:color="BFBFBF"/>
            </w:tcBorders>
            <w:shd w:val="clear" w:color="auto" w:fill="auto"/>
          </w:tcPr>
          <w:p w14:paraId="44E9E6FD" w14:textId="77777777" w:rsidR="0025731E" w:rsidRPr="0025731E" w:rsidRDefault="0025731E" w:rsidP="0025731E">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p>
          <w:p w14:paraId="5C4F4EC0" w14:textId="77777777" w:rsidR="0025731E" w:rsidRPr="0025731E" w:rsidRDefault="0025731E" w:rsidP="0025731E">
            <w:pPr>
              <w:widowControl w:val="0"/>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428,207,636.53</w:t>
            </w:r>
          </w:p>
          <w:p w14:paraId="698D0998" w14:textId="77777777" w:rsidR="0025731E" w:rsidRPr="0025731E" w:rsidRDefault="0025731E" w:rsidP="0025731E">
            <w:pPr>
              <w:widowControl w:val="0"/>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470,285,008.20</w:t>
            </w:r>
          </w:p>
          <w:p w14:paraId="62B5F0FF" w14:textId="77777777" w:rsidR="0025731E" w:rsidRPr="0025731E" w:rsidRDefault="0025731E" w:rsidP="0025731E">
            <w:pPr>
              <w:widowControl w:val="0"/>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p>
        </w:tc>
        <w:tc>
          <w:tcPr>
            <w:cnfStyle w:val="000010000000" w:firstRow="0" w:lastRow="0" w:firstColumn="0" w:lastColumn="0" w:oddVBand="1" w:evenVBand="0" w:oddHBand="0" w:evenHBand="0" w:firstRowFirstColumn="0" w:firstRowLastColumn="0" w:lastRowFirstColumn="0" w:lastRowLastColumn="0"/>
            <w:tcW w:w="595" w:type="pct"/>
            <w:tcBorders>
              <w:top w:val="single" w:sz="3" w:space="0" w:color="BFBFBF"/>
              <w:left w:val="single" w:sz="3" w:space="0" w:color="BFBFBF"/>
              <w:bottom w:val="single" w:sz="3" w:space="0" w:color="BFBFBF"/>
              <w:right w:val="single" w:sz="3" w:space="0" w:color="BFBFBF"/>
            </w:tcBorders>
            <w:shd w:val="clear" w:color="auto" w:fill="auto"/>
          </w:tcPr>
          <w:p w14:paraId="78EB4C3D" w14:textId="77777777" w:rsidR="0025731E" w:rsidRPr="0025731E" w:rsidRDefault="0025731E" w:rsidP="0025731E">
            <w:pPr>
              <w:widowControl w:val="0"/>
              <w:autoSpaceDE w:val="0"/>
              <w:autoSpaceDN w:val="0"/>
              <w:rPr>
                <w:rFonts w:ascii="Arial" w:eastAsia="Arial" w:hAnsi="Arial" w:cs="Arial"/>
                <w:sz w:val="14"/>
                <w:szCs w:val="14"/>
                <w:lang w:val="es-ES"/>
              </w:rPr>
            </w:pPr>
          </w:p>
          <w:p w14:paraId="75D8A5AF" w14:textId="77777777" w:rsidR="0025731E" w:rsidRPr="0025731E" w:rsidRDefault="0025731E" w:rsidP="0025731E">
            <w:pPr>
              <w:widowControl w:val="0"/>
              <w:autoSpaceDE w:val="0"/>
              <w:autoSpaceDN w:val="0"/>
              <w:rPr>
                <w:rFonts w:ascii="Arial" w:eastAsia="Arial" w:hAnsi="Arial" w:cs="Arial"/>
                <w:sz w:val="14"/>
                <w:szCs w:val="14"/>
                <w:lang w:val="es-ES"/>
              </w:rPr>
            </w:pPr>
          </w:p>
        </w:tc>
        <w:tc>
          <w:tcPr>
            <w:tcW w:w="503" w:type="pct"/>
            <w:tcBorders>
              <w:top w:val="single" w:sz="3" w:space="0" w:color="BFBFBF"/>
              <w:left w:val="single" w:sz="3" w:space="0" w:color="BFBFBF"/>
              <w:bottom w:val="single" w:sz="3" w:space="0" w:color="BFBFBF"/>
              <w:right w:val="single" w:sz="3" w:space="0" w:color="BFBFBF"/>
            </w:tcBorders>
            <w:shd w:val="clear" w:color="auto" w:fill="auto"/>
          </w:tcPr>
          <w:p w14:paraId="13592F93" w14:textId="77777777" w:rsidR="0025731E" w:rsidRPr="0025731E" w:rsidRDefault="0025731E" w:rsidP="0025731E">
            <w:pPr>
              <w:widowControl w:val="0"/>
              <w:autoSpaceDE w:val="0"/>
              <w:autoSpaceDN w:val="0"/>
              <w:spacing w:before="4"/>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4"/>
                <w:szCs w:val="14"/>
                <w:lang w:val="es-ES"/>
              </w:rPr>
            </w:pPr>
          </w:p>
          <w:p w14:paraId="5F82DDC3" w14:textId="77777777" w:rsidR="0025731E" w:rsidRPr="0025731E" w:rsidRDefault="0025731E" w:rsidP="0025731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15/10/2019</w:t>
            </w:r>
          </w:p>
          <w:p w14:paraId="3A8266FE" w14:textId="77777777" w:rsidR="0025731E" w:rsidRPr="0025731E" w:rsidRDefault="0025731E" w:rsidP="0025731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15/10/2019</w:t>
            </w:r>
          </w:p>
          <w:p w14:paraId="37B6005B" w14:textId="77777777" w:rsidR="0025731E" w:rsidRPr="0025731E" w:rsidRDefault="0025731E" w:rsidP="0025731E">
            <w:pPr>
              <w:widowControl w:val="0"/>
              <w:autoSpaceDE w:val="0"/>
              <w:autoSpaceDN w:val="0"/>
              <w:spacing w:before="1"/>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p>
        </w:tc>
        <w:tc>
          <w:tcPr>
            <w:cnfStyle w:val="000010000000" w:firstRow="0" w:lastRow="0" w:firstColumn="0" w:lastColumn="0" w:oddVBand="1" w:evenVBand="0" w:oddHBand="0" w:evenHBand="0" w:firstRowFirstColumn="0" w:firstRowLastColumn="0" w:lastRowFirstColumn="0" w:lastRowLastColumn="0"/>
            <w:tcW w:w="488" w:type="pct"/>
            <w:tcBorders>
              <w:top w:val="single" w:sz="3" w:space="0" w:color="BFBFBF"/>
              <w:left w:val="single" w:sz="3" w:space="0" w:color="BFBFBF"/>
              <w:bottom w:val="single" w:sz="3" w:space="0" w:color="BFBFBF"/>
              <w:right w:val="single" w:sz="3" w:space="0" w:color="BFBFBF"/>
            </w:tcBorders>
            <w:shd w:val="clear" w:color="auto" w:fill="auto"/>
          </w:tcPr>
          <w:p w14:paraId="5C3873FB" w14:textId="77777777" w:rsidR="0025731E" w:rsidRPr="0025731E" w:rsidRDefault="0025731E" w:rsidP="0025731E">
            <w:pPr>
              <w:widowControl w:val="0"/>
              <w:autoSpaceDE w:val="0"/>
              <w:autoSpaceDN w:val="0"/>
              <w:spacing w:before="4"/>
              <w:jc w:val="center"/>
              <w:rPr>
                <w:rFonts w:ascii="Arial" w:eastAsia="Arial" w:hAnsi="Arial" w:cs="Arial"/>
                <w:b/>
                <w:sz w:val="14"/>
                <w:szCs w:val="14"/>
                <w:lang w:val="es-ES"/>
              </w:rPr>
            </w:pPr>
          </w:p>
          <w:p w14:paraId="7CC6449D" w14:textId="77777777" w:rsidR="0025731E" w:rsidRPr="0025731E" w:rsidRDefault="0025731E" w:rsidP="0025731E">
            <w:pPr>
              <w:widowControl w:val="0"/>
              <w:autoSpaceDE w:val="0"/>
              <w:autoSpaceDN w:val="0"/>
              <w:jc w:val="center"/>
              <w:rPr>
                <w:rFonts w:ascii="Arial" w:eastAsia="Arial" w:hAnsi="Arial" w:cs="Arial"/>
                <w:sz w:val="14"/>
                <w:szCs w:val="14"/>
                <w:lang w:val="es-ES"/>
              </w:rPr>
            </w:pPr>
            <w:r w:rsidRPr="0025731E">
              <w:rPr>
                <w:rFonts w:ascii="Arial" w:eastAsia="Arial" w:hAnsi="Arial" w:cs="Arial"/>
                <w:sz w:val="14"/>
                <w:szCs w:val="14"/>
                <w:lang w:val="es-ES"/>
              </w:rPr>
              <w:t>15</w:t>
            </w:r>
            <w:r w:rsidRPr="0025731E">
              <w:rPr>
                <w:rFonts w:ascii="Arial" w:eastAsia="Arial" w:hAnsi="Arial" w:cs="Arial"/>
                <w:spacing w:val="-4"/>
                <w:sz w:val="14"/>
                <w:szCs w:val="14"/>
                <w:lang w:val="es-ES"/>
              </w:rPr>
              <w:t xml:space="preserve"> </w:t>
            </w:r>
            <w:r w:rsidRPr="0025731E">
              <w:rPr>
                <w:rFonts w:ascii="Arial" w:eastAsia="Arial" w:hAnsi="Arial" w:cs="Arial"/>
                <w:sz w:val="14"/>
                <w:szCs w:val="14"/>
                <w:lang w:val="es-ES"/>
              </w:rPr>
              <w:t>años</w:t>
            </w:r>
          </w:p>
          <w:p w14:paraId="5D433278" w14:textId="77777777" w:rsidR="0025731E" w:rsidRPr="0025731E" w:rsidRDefault="0025731E" w:rsidP="0025731E">
            <w:pPr>
              <w:widowControl w:val="0"/>
              <w:autoSpaceDE w:val="0"/>
              <w:autoSpaceDN w:val="0"/>
              <w:spacing w:before="1"/>
              <w:jc w:val="center"/>
              <w:rPr>
                <w:rFonts w:ascii="Arial" w:eastAsia="Arial" w:hAnsi="Arial" w:cs="Arial"/>
                <w:sz w:val="14"/>
                <w:szCs w:val="14"/>
                <w:lang w:val="es-ES"/>
              </w:rPr>
            </w:pPr>
            <w:r w:rsidRPr="0025731E">
              <w:rPr>
                <w:rFonts w:ascii="Arial" w:eastAsia="Arial" w:hAnsi="Arial" w:cs="Arial"/>
                <w:sz w:val="14"/>
                <w:szCs w:val="14"/>
                <w:lang w:val="es-ES"/>
              </w:rPr>
              <w:t>15 años</w:t>
            </w:r>
          </w:p>
        </w:tc>
        <w:tc>
          <w:tcPr>
            <w:cnfStyle w:val="000100000000" w:firstRow="0" w:lastRow="0" w:firstColumn="0" w:lastColumn="1" w:oddVBand="0" w:evenVBand="0" w:oddHBand="0" w:evenHBand="0" w:firstRowFirstColumn="0" w:firstRowLastColumn="0" w:lastRowFirstColumn="0" w:lastRowLastColumn="0"/>
            <w:tcW w:w="581" w:type="pct"/>
            <w:tcBorders>
              <w:top w:val="single" w:sz="3" w:space="0" w:color="BFBFBF"/>
              <w:left w:val="single" w:sz="3" w:space="0" w:color="BFBFBF"/>
              <w:bottom w:val="single" w:sz="3" w:space="0" w:color="BFBFBF"/>
              <w:right w:val="single" w:sz="3" w:space="0" w:color="BFBFBF"/>
            </w:tcBorders>
            <w:shd w:val="clear" w:color="auto" w:fill="auto"/>
          </w:tcPr>
          <w:p w14:paraId="75F4141C" w14:textId="77777777" w:rsidR="0025731E" w:rsidRPr="0025731E" w:rsidRDefault="0025731E" w:rsidP="0025731E">
            <w:pPr>
              <w:widowControl w:val="0"/>
              <w:autoSpaceDE w:val="0"/>
              <w:autoSpaceDN w:val="0"/>
              <w:jc w:val="center"/>
              <w:rPr>
                <w:rFonts w:ascii="Arial" w:eastAsia="Arial" w:hAnsi="Arial" w:cs="Arial"/>
                <w:sz w:val="14"/>
                <w:szCs w:val="14"/>
                <w:lang w:val="es-ES"/>
              </w:rPr>
            </w:pPr>
          </w:p>
        </w:tc>
      </w:tr>
      <w:tr w:rsidR="0025731E" w:rsidRPr="0025731E" w14:paraId="7F9D7B3A" w14:textId="77777777" w:rsidTr="00EE243C">
        <w:trPr>
          <w:cnfStyle w:val="000000100000" w:firstRow="0" w:lastRow="0" w:firstColumn="0" w:lastColumn="0" w:oddVBand="0" w:evenVBand="0" w:oddHBand="1"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1455" w:type="pct"/>
            <w:tcBorders>
              <w:top w:val="single" w:sz="4" w:space="0" w:color="BFBFBF"/>
              <w:left w:val="single" w:sz="4" w:space="0" w:color="BFBFBF"/>
              <w:bottom w:val="single" w:sz="4" w:space="0" w:color="BFBFBF"/>
              <w:right w:val="single" w:sz="4" w:space="0" w:color="BFBFBF"/>
            </w:tcBorders>
            <w:shd w:val="clear" w:color="auto" w:fill="auto"/>
          </w:tcPr>
          <w:p w14:paraId="38B83800" w14:textId="77777777" w:rsidR="0025731E" w:rsidRPr="0025731E" w:rsidRDefault="0025731E" w:rsidP="0025731E">
            <w:pPr>
              <w:widowControl w:val="0"/>
              <w:autoSpaceDE w:val="0"/>
              <w:autoSpaceDN w:val="0"/>
              <w:ind w:left="111"/>
              <w:rPr>
                <w:rFonts w:ascii="Arial" w:eastAsia="Arial" w:hAnsi="Arial" w:cs="Arial"/>
                <w:sz w:val="14"/>
                <w:szCs w:val="14"/>
                <w:lang w:val="es-ES"/>
              </w:rPr>
            </w:pPr>
            <w:r w:rsidRPr="0025731E">
              <w:rPr>
                <w:rFonts w:ascii="Arial" w:eastAsia="Arial" w:hAnsi="Arial" w:cs="Arial"/>
                <w:sz w:val="14"/>
                <w:szCs w:val="14"/>
                <w:lang w:val="es-ES"/>
              </w:rPr>
              <w:t>H. Ayuntamiento de Othón P. Blanco</w:t>
            </w:r>
          </w:p>
        </w:tc>
        <w:tc>
          <w:tcPr>
            <w:cnfStyle w:val="000010000000" w:firstRow="0" w:lastRow="0" w:firstColumn="0" w:lastColumn="0" w:oddVBand="1" w:evenVBand="0" w:oddHBand="0" w:evenHBand="0" w:firstRowFirstColumn="0" w:firstRowLastColumn="0" w:lastRowFirstColumn="0" w:lastRowLastColumn="0"/>
            <w:tcW w:w="688" w:type="pct"/>
            <w:tcBorders>
              <w:top w:val="single" w:sz="3" w:space="0" w:color="BFBFBF"/>
              <w:left w:val="single" w:sz="3" w:space="0" w:color="BFBFBF"/>
              <w:bottom w:val="single" w:sz="3" w:space="0" w:color="BFBFBF"/>
              <w:right w:val="single" w:sz="3" w:space="0" w:color="BFBFBF"/>
            </w:tcBorders>
            <w:shd w:val="clear" w:color="auto" w:fill="auto"/>
          </w:tcPr>
          <w:p w14:paraId="0E49287A" w14:textId="77777777" w:rsidR="0025731E" w:rsidRPr="0025731E" w:rsidRDefault="0025731E" w:rsidP="0025731E">
            <w:pPr>
              <w:widowControl w:val="0"/>
              <w:autoSpaceDE w:val="0"/>
              <w:autoSpaceDN w:val="0"/>
              <w:spacing w:line="205" w:lineRule="exact"/>
              <w:jc w:val="right"/>
              <w:rPr>
                <w:rFonts w:ascii="Arial" w:eastAsia="Arial" w:hAnsi="Arial" w:cs="Arial"/>
                <w:sz w:val="14"/>
                <w:szCs w:val="14"/>
                <w:lang w:val="es-ES"/>
              </w:rPr>
            </w:pPr>
            <w:r w:rsidRPr="0025731E">
              <w:rPr>
                <w:rFonts w:ascii="Arial" w:eastAsia="Arial" w:hAnsi="Arial" w:cs="Arial"/>
                <w:sz w:val="14"/>
                <w:szCs w:val="14"/>
                <w:lang w:val="es-ES"/>
              </w:rPr>
              <w:t>448,725,073.00</w:t>
            </w:r>
          </w:p>
        </w:tc>
        <w:tc>
          <w:tcPr>
            <w:tcW w:w="689" w:type="pct"/>
            <w:tcBorders>
              <w:top w:val="single" w:sz="3" w:space="0" w:color="BFBFBF"/>
              <w:left w:val="single" w:sz="3" w:space="0" w:color="BFBFBF"/>
              <w:bottom w:val="single" w:sz="3" w:space="0" w:color="BFBFBF"/>
              <w:right w:val="single" w:sz="3" w:space="0" w:color="BFBFBF"/>
            </w:tcBorders>
            <w:shd w:val="clear" w:color="auto" w:fill="auto"/>
          </w:tcPr>
          <w:p w14:paraId="27A286F2" w14:textId="77777777" w:rsidR="0025731E" w:rsidRPr="0025731E" w:rsidRDefault="0025731E" w:rsidP="0025731E">
            <w:pPr>
              <w:widowControl w:val="0"/>
              <w:autoSpaceDE w:val="0"/>
              <w:autoSpaceDN w:val="0"/>
              <w:spacing w:line="205" w:lineRule="exact"/>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298,935,299.66</w:t>
            </w:r>
          </w:p>
        </w:tc>
        <w:tc>
          <w:tcPr>
            <w:cnfStyle w:val="000010000000" w:firstRow="0" w:lastRow="0" w:firstColumn="0" w:lastColumn="0" w:oddVBand="1" w:evenVBand="0" w:oddHBand="0" w:evenHBand="0" w:firstRowFirstColumn="0" w:firstRowLastColumn="0" w:lastRowFirstColumn="0" w:lastRowLastColumn="0"/>
            <w:tcW w:w="595" w:type="pct"/>
            <w:tcBorders>
              <w:top w:val="single" w:sz="3" w:space="0" w:color="BFBFBF"/>
              <w:left w:val="single" w:sz="3" w:space="0" w:color="BFBFBF"/>
              <w:bottom w:val="single" w:sz="3" w:space="0" w:color="BFBFBF"/>
              <w:right w:val="single" w:sz="3" w:space="0" w:color="BFBFBF"/>
            </w:tcBorders>
            <w:shd w:val="clear" w:color="auto" w:fill="auto"/>
          </w:tcPr>
          <w:p w14:paraId="211FB55A" w14:textId="77777777" w:rsidR="0025731E" w:rsidRPr="0025731E" w:rsidRDefault="0025731E" w:rsidP="0025731E">
            <w:pPr>
              <w:jc w:val="center"/>
              <w:rPr>
                <w:rFonts w:ascii="Arial" w:hAnsi="Arial" w:cs="Arial"/>
                <w:bCs/>
                <w:sz w:val="14"/>
                <w:szCs w:val="14"/>
              </w:rPr>
            </w:pPr>
            <w:r w:rsidRPr="0025731E">
              <w:rPr>
                <w:rFonts w:ascii="Arial" w:hAnsi="Arial" w:cs="Arial"/>
                <w:bCs/>
                <w:sz w:val="14"/>
                <w:szCs w:val="14"/>
              </w:rPr>
              <w:t>62,283,373.90</w:t>
            </w:r>
          </w:p>
          <w:p w14:paraId="587D0374" w14:textId="77777777" w:rsidR="0025731E" w:rsidRPr="0025731E" w:rsidRDefault="0025731E" w:rsidP="0025731E">
            <w:pPr>
              <w:jc w:val="right"/>
              <w:rPr>
                <w:rFonts w:ascii="Arial" w:hAnsi="Arial" w:cs="Arial"/>
                <w:sz w:val="14"/>
                <w:szCs w:val="14"/>
              </w:rPr>
            </w:pPr>
          </w:p>
        </w:tc>
        <w:tc>
          <w:tcPr>
            <w:tcW w:w="503" w:type="pct"/>
            <w:tcBorders>
              <w:top w:val="single" w:sz="3" w:space="0" w:color="BFBFBF"/>
              <w:left w:val="single" w:sz="3" w:space="0" w:color="BFBFBF"/>
              <w:bottom w:val="single" w:sz="3" w:space="0" w:color="BFBFBF"/>
              <w:right w:val="single" w:sz="3" w:space="0" w:color="BFBFBF"/>
            </w:tcBorders>
            <w:shd w:val="clear" w:color="auto" w:fill="auto"/>
          </w:tcPr>
          <w:p w14:paraId="4EFA571A" w14:textId="77777777" w:rsidR="0025731E" w:rsidRPr="0025731E" w:rsidRDefault="0025731E" w:rsidP="0025731E">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4"/>
                <w:szCs w:val="14"/>
                <w:lang w:val="es-ES"/>
              </w:rPr>
            </w:pPr>
          </w:p>
          <w:p w14:paraId="74EC51BD" w14:textId="77777777" w:rsidR="0025731E" w:rsidRPr="0025731E" w:rsidRDefault="0025731E" w:rsidP="0025731E">
            <w:pPr>
              <w:widowControl w:val="0"/>
              <w:autoSpaceDE w:val="0"/>
              <w:autoSpaceDN w:val="0"/>
              <w:spacing w:before="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lang w:val="es-ES"/>
              </w:rPr>
            </w:pPr>
          </w:p>
        </w:tc>
        <w:tc>
          <w:tcPr>
            <w:cnfStyle w:val="000010000000" w:firstRow="0" w:lastRow="0" w:firstColumn="0" w:lastColumn="0" w:oddVBand="1" w:evenVBand="0" w:oddHBand="0" w:evenHBand="0" w:firstRowFirstColumn="0" w:firstRowLastColumn="0" w:lastRowFirstColumn="0" w:lastRowLastColumn="0"/>
            <w:tcW w:w="488" w:type="pct"/>
            <w:tcBorders>
              <w:top w:val="single" w:sz="3" w:space="0" w:color="BFBFBF"/>
              <w:left w:val="single" w:sz="3" w:space="0" w:color="BFBFBF"/>
              <w:bottom w:val="single" w:sz="3" w:space="0" w:color="BFBFBF"/>
              <w:right w:val="single" w:sz="3" w:space="0" w:color="BFBFBF"/>
            </w:tcBorders>
            <w:shd w:val="clear" w:color="auto" w:fill="auto"/>
          </w:tcPr>
          <w:p w14:paraId="2908C2F0" w14:textId="77777777" w:rsidR="0025731E" w:rsidRPr="0025731E" w:rsidRDefault="0025731E" w:rsidP="0025731E">
            <w:pPr>
              <w:widowControl w:val="0"/>
              <w:autoSpaceDE w:val="0"/>
              <w:autoSpaceDN w:val="0"/>
              <w:jc w:val="center"/>
              <w:rPr>
                <w:rFonts w:ascii="Arial" w:eastAsia="Arial" w:hAnsi="Arial" w:cs="Arial"/>
                <w:b/>
                <w:sz w:val="14"/>
                <w:szCs w:val="14"/>
                <w:lang w:val="es-ES"/>
              </w:rPr>
            </w:pPr>
          </w:p>
          <w:p w14:paraId="502B2DA7" w14:textId="77777777" w:rsidR="0025731E" w:rsidRPr="0025731E" w:rsidRDefault="0025731E" w:rsidP="0025731E">
            <w:pPr>
              <w:widowControl w:val="0"/>
              <w:autoSpaceDE w:val="0"/>
              <w:autoSpaceDN w:val="0"/>
              <w:spacing w:before="1"/>
              <w:ind w:left="295"/>
              <w:jc w:val="center"/>
              <w:rPr>
                <w:rFonts w:ascii="Arial" w:eastAsia="Arial" w:hAnsi="Arial" w:cs="Arial"/>
                <w:sz w:val="14"/>
                <w:szCs w:val="14"/>
                <w:lang w:val="es-ES"/>
              </w:rPr>
            </w:pPr>
          </w:p>
        </w:tc>
        <w:tc>
          <w:tcPr>
            <w:cnfStyle w:val="000100000000" w:firstRow="0" w:lastRow="0" w:firstColumn="0" w:lastColumn="1" w:oddVBand="0" w:evenVBand="0" w:oddHBand="0" w:evenHBand="0" w:firstRowFirstColumn="0" w:firstRowLastColumn="0" w:lastRowFirstColumn="0" w:lastRowLastColumn="0"/>
            <w:tcW w:w="581" w:type="pct"/>
            <w:tcBorders>
              <w:top w:val="single" w:sz="3" w:space="0" w:color="BFBFBF"/>
              <w:left w:val="single" w:sz="3" w:space="0" w:color="BFBFBF"/>
              <w:bottom w:val="single" w:sz="3" w:space="0" w:color="BFBFBF"/>
              <w:right w:val="single" w:sz="3" w:space="0" w:color="BFBFBF"/>
            </w:tcBorders>
            <w:shd w:val="clear" w:color="auto" w:fill="auto"/>
          </w:tcPr>
          <w:p w14:paraId="23834FEA" w14:textId="77777777" w:rsidR="0025731E" w:rsidRPr="0025731E" w:rsidRDefault="0025731E" w:rsidP="0025731E">
            <w:pPr>
              <w:widowControl w:val="0"/>
              <w:autoSpaceDE w:val="0"/>
              <w:autoSpaceDN w:val="0"/>
              <w:spacing w:line="229" w:lineRule="exact"/>
              <w:jc w:val="center"/>
              <w:rPr>
                <w:rFonts w:ascii="Arial" w:eastAsia="Arial" w:hAnsi="Arial" w:cs="Arial"/>
                <w:sz w:val="14"/>
                <w:szCs w:val="14"/>
                <w:lang w:val="es-ES"/>
              </w:rPr>
            </w:pPr>
            <w:r w:rsidRPr="0025731E">
              <w:rPr>
                <w:rFonts w:ascii="Arial" w:eastAsia="Arial" w:hAnsi="Arial" w:cs="Arial"/>
                <w:sz w:val="14"/>
                <w:szCs w:val="14"/>
                <w:lang w:val="es-ES"/>
              </w:rPr>
              <w:t>Sin observaciones</w:t>
            </w:r>
          </w:p>
        </w:tc>
      </w:tr>
      <w:tr w:rsidR="0025731E" w:rsidRPr="0025731E" w14:paraId="1465B7F7" w14:textId="77777777" w:rsidTr="00EE243C">
        <w:trPr>
          <w:trHeight w:val="708"/>
          <w:jc w:val="center"/>
        </w:trPr>
        <w:tc>
          <w:tcPr>
            <w:cnfStyle w:val="001000000000" w:firstRow="0" w:lastRow="0" w:firstColumn="1" w:lastColumn="0" w:oddVBand="0" w:evenVBand="0" w:oddHBand="0" w:evenHBand="0" w:firstRowFirstColumn="0" w:firstRowLastColumn="0" w:lastRowFirstColumn="0" w:lastRowLastColumn="0"/>
            <w:tcW w:w="1455" w:type="pct"/>
            <w:tcBorders>
              <w:top w:val="single" w:sz="4" w:space="0" w:color="BFBFBF"/>
              <w:left w:val="single" w:sz="4" w:space="0" w:color="BFBFBF"/>
              <w:bottom w:val="single" w:sz="4" w:space="0" w:color="BFBFBF"/>
              <w:right w:val="single" w:sz="4" w:space="0" w:color="BFBFBF"/>
            </w:tcBorders>
            <w:shd w:val="clear" w:color="auto" w:fill="auto"/>
          </w:tcPr>
          <w:p w14:paraId="578D5B40" w14:textId="77777777" w:rsidR="0025731E" w:rsidRPr="0025731E" w:rsidRDefault="0025731E" w:rsidP="0025731E">
            <w:pPr>
              <w:widowControl w:val="0"/>
              <w:autoSpaceDE w:val="0"/>
              <w:autoSpaceDN w:val="0"/>
              <w:ind w:left="142" w:right="84"/>
              <w:rPr>
                <w:rFonts w:ascii="Arial" w:eastAsia="Arial" w:hAnsi="Arial" w:cs="Arial"/>
                <w:b w:val="0"/>
                <w:sz w:val="14"/>
                <w:szCs w:val="14"/>
                <w:lang w:val="es-ES"/>
              </w:rPr>
            </w:pPr>
            <w:r w:rsidRPr="0025731E">
              <w:rPr>
                <w:rFonts w:ascii="Arial" w:eastAsia="Arial" w:hAnsi="Arial" w:cs="Arial"/>
                <w:b w:val="0"/>
                <w:sz w:val="14"/>
                <w:szCs w:val="14"/>
                <w:lang w:val="es-ES"/>
              </w:rPr>
              <w:lastRenderedPageBreak/>
              <w:t xml:space="preserve">Desagregado: </w:t>
            </w:r>
          </w:p>
          <w:p w14:paraId="64F297C4" w14:textId="77777777" w:rsidR="0025731E" w:rsidRPr="0025731E" w:rsidRDefault="0025731E" w:rsidP="0025731E">
            <w:pPr>
              <w:widowControl w:val="0"/>
              <w:autoSpaceDE w:val="0"/>
              <w:autoSpaceDN w:val="0"/>
              <w:ind w:left="142" w:right="84"/>
              <w:rPr>
                <w:rFonts w:ascii="Arial" w:eastAsia="Arial" w:hAnsi="Arial" w:cs="Arial"/>
                <w:b w:val="0"/>
                <w:sz w:val="14"/>
                <w:szCs w:val="14"/>
                <w:lang w:val="es-ES"/>
              </w:rPr>
            </w:pPr>
            <w:r w:rsidRPr="0025731E">
              <w:rPr>
                <w:rFonts w:ascii="Arial" w:eastAsia="Arial" w:hAnsi="Arial" w:cs="Arial"/>
                <w:b w:val="0"/>
                <w:sz w:val="14"/>
                <w:szCs w:val="14"/>
                <w:lang w:val="es-ES"/>
              </w:rPr>
              <w:t>Banobras S.N.C.</w:t>
            </w:r>
          </w:p>
          <w:p w14:paraId="49B51B29" w14:textId="77777777" w:rsidR="0025731E" w:rsidRPr="0025731E" w:rsidRDefault="0025731E" w:rsidP="0025731E">
            <w:pPr>
              <w:widowControl w:val="0"/>
              <w:autoSpaceDE w:val="0"/>
              <w:autoSpaceDN w:val="0"/>
              <w:ind w:left="142" w:right="84"/>
              <w:rPr>
                <w:rFonts w:ascii="Arial" w:eastAsia="Arial" w:hAnsi="Arial" w:cs="Arial"/>
                <w:b w:val="0"/>
                <w:sz w:val="14"/>
                <w:szCs w:val="14"/>
                <w:lang w:val="es-ES"/>
              </w:rPr>
            </w:pPr>
            <w:r w:rsidRPr="0025731E">
              <w:rPr>
                <w:rFonts w:ascii="Arial" w:eastAsia="Arial" w:hAnsi="Arial" w:cs="Arial"/>
                <w:b w:val="0"/>
                <w:sz w:val="14"/>
                <w:szCs w:val="14"/>
                <w:lang w:val="es-ES"/>
              </w:rPr>
              <w:t>IDEFIN</w:t>
            </w:r>
          </w:p>
          <w:p w14:paraId="43DFCF62" w14:textId="77777777" w:rsidR="0025731E" w:rsidRPr="0025731E" w:rsidRDefault="0025731E" w:rsidP="0025731E">
            <w:pPr>
              <w:widowControl w:val="0"/>
              <w:autoSpaceDE w:val="0"/>
              <w:autoSpaceDN w:val="0"/>
              <w:ind w:left="142" w:right="84"/>
              <w:rPr>
                <w:rFonts w:ascii="Arial" w:eastAsia="Arial" w:hAnsi="Arial" w:cs="Arial"/>
                <w:b w:val="0"/>
                <w:sz w:val="14"/>
                <w:szCs w:val="14"/>
                <w:lang w:val="es-ES"/>
              </w:rPr>
            </w:pPr>
          </w:p>
        </w:tc>
        <w:tc>
          <w:tcPr>
            <w:cnfStyle w:val="000010000000" w:firstRow="0" w:lastRow="0" w:firstColumn="0" w:lastColumn="0" w:oddVBand="1" w:evenVBand="0" w:oddHBand="0" w:evenHBand="0" w:firstRowFirstColumn="0" w:firstRowLastColumn="0" w:lastRowFirstColumn="0" w:lastRowLastColumn="0"/>
            <w:tcW w:w="688" w:type="pct"/>
            <w:tcBorders>
              <w:top w:val="single" w:sz="3" w:space="0" w:color="BFBFBF"/>
              <w:left w:val="single" w:sz="3" w:space="0" w:color="BFBFBF"/>
              <w:bottom w:val="single" w:sz="3" w:space="0" w:color="BFBFBF"/>
              <w:right w:val="single" w:sz="3" w:space="0" w:color="BFBFBF"/>
            </w:tcBorders>
            <w:shd w:val="clear" w:color="auto" w:fill="auto"/>
          </w:tcPr>
          <w:p w14:paraId="7C23B41F" w14:textId="77777777" w:rsidR="0025731E" w:rsidRPr="0025731E" w:rsidRDefault="0025731E" w:rsidP="0025731E">
            <w:pPr>
              <w:widowControl w:val="0"/>
              <w:autoSpaceDE w:val="0"/>
              <w:autoSpaceDN w:val="0"/>
              <w:jc w:val="right"/>
              <w:rPr>
                <w:rFonts w:ascii="Arial" w:eastAsia="Arial" w:hAnsi="Arial" w:cs="Arial"/>
                <w:sz w:val="14"/>
                <w:szCs w:val="14"/>
                <w:lang w:val="es-ES"/>
              </w:rPr>
            </w:pPr>
          </w:p>
          <w:p w14:paraId="00C1FB15" w14:textId="77777777" w:rsidR="0025731E" w:rsidRPr="0025731E" w:rsidRDefault="0025731E" w:rsidP="0025731E">
            <w:pPr>
              <w:widowControl w:val="0"/>
              <w:autoSpaceDE w:val="0"/>
              <w:autoSpaceDN w:val="0"/>
              <w:jc w:val="right"/>
              <w:rPr>
                <w:rFonts w:ascii="Arial" w:eastAsia="Arial" w:hAnsi="Arial" w:cs="Arial"/>
                <w:sz w:val="14"/>
                <w:szCs w:val="14"/>
                <w:lang w:val="es-ES"/>
              </w:rPr>
            </w:pPr>
            <w:r w:rsidRPr="0025731E">
              <w:rPr>
                <w:rFonts w:ascii="Arial" w:eastAsia="Arial" w:hAnsi="Arial" w:cs="Arial"/>
                <w:sz w:val="14"/>
                <w:szCs w:val="14"/>
                <w:lang w:val="es-ES"/>
              </w:rPr>
              <w:t>318,725,073.00</w:t>
            </w:r>
          </w:p>
          <w:p w14:paraId="2CCA04CF" w14:textId="77777777" w:rsidR="0025731E" w:rsidRPr="0025731E" w:rsidRDefault="0025731E" w:rsidP="0025731E">
            <w:pPr>
              <w:widowControl w:val="0"/>
              <w:autoSpaceDE w:val="0"/>
              <w:autoSpaceDN w:val="0"/>
              <w:spacing w:line="205" w:lineRule="exact"/>
              <w:jc w:val="right"/>
              <w:rPr>
                <w:rFonts w:ascii="Arial" w:eastAsia="Arial" w:hAnsi="Arial" w:cs="Arial"/>
                <w:sz w:val="14"/>
                <w:szCs w:val="14"/>
                <w:lang w:val="es-ES"/>
              </w:rPr>
            </w:pPr>
            <w:r w:rsidRPr="0025731E">
              <w:rPr>
                <w:rFonts w:ascii="Arial" w:eastAsia="Arial" w:hAnsi="Arial" w:cs="Arial"/>
                <w:sz w:val="14"/>
                <w:szCs w:val="14"/>
                <w:lang w:val="es-ES"/>
              </w:rPr>
              <w:t>130,000,000.00</w:t>
            </w:r>
          </w:p>
        </w:tc>
        <w:tc>
          <w:tcPr>
            <w:tcW w:w="689" w:type="pct"/>
            <w:tcBorders>
              <w:top w:val="single" w:sz="3" w:space="0" w:color="BFBFBF"/>
              <w:left w:val="single" w:sz="3" w:space="0" w:color="BFBFBF"/>
              <w:bottom w:val="single" w:sz="3" w:space="0" w:color="BFBFBF"/>
              <w:right w:val="single" w:sz="3" w:space="0" w:color="BFBFBF"/>
            </w:tcBorders>
            <w:shd w:val="clear" w:color="auto" w:fill="auto"/>
          </w:tcPr>
          <w:p w14:paraId="5D274B2C" w14:textId="77777777" w:rsidR="0025731E" w:rsidRPr="0025731E" w:rsidRDefault="0025731E" w:rsidP="0025731E">
            <w:pPr>
              <w:widowControl w:val="0"/>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p>
          <w:p w14:paraId="477BB163" w14:textId="77777777" w:rsidR="0025731E" w:rsidRPr="0025731E" w:rsidRDefault="0025731E" w:rsidP="0025731E">
            <w:pPr>
              <w:widowControl w:val="0"/>
              <w:autoSpaceDE w:val="0"/>
              <w:autoSpaceDN w:val="0"/>
              <w:spacing w:line="205" w:lineRule="exact"/>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208,301,289.00</w:t>
            </w:r>
          </w:p>
          <w:p w14:paraId="6F50EF64" w14:textId="77777777" w:rsidR="0025731E" w:rsidRPr="0025731E" w:rsidRDefault="0025731E" w:rsidP="0025731E">
            <w:pPr>
              <w:widowControl w:val="0"/>
              <w:autoSpaceDE w:val="0"/>
              <w:autoSpaceDN w:val="0"/>
              <w:spacing w:line="205" w:lineRule="exact"/>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90,634,010.66</w:t>
            </w:r>
          </w:p>
        </w:tc>
        <w:tc>
          <w:tcPr>
            <w:cnfStyle w:val="000010000000" w:firstRow="0" w:lastRow="0" w:firstColumn="0" w:lastColumn="0" w:oddVBand="1" w:evenVBand="0" w:oddHBand="0" w:evenHBand="0" w:firstRowFirstColumn="0" w:firstRowLastColumn="0" w:lastRowFirstColumn="0" w:lastRowLastColumn="0"/>
            <w:tcW w:w="595" w:type="pct"/>
            <w:tcBorders>
              <w:top w:val="single" w:sz="3" w:space="0" w:color="BFBFBF"/>
              <w:left w:val="single" w:sz="3" w:space="0" w:color="BFBFBF"/>
              <w:bottom w:val="single" w:sz="3" w:space="0" w:color="BFBFBF"/>
              <w:right w:val="single" w:sz="3" w:space="0" w:color="BFBFBF"/>
            </w:tcBorders>
            <w:shd w:val="clear" w:color="auto" w:fill="auto"/>
          </w:tcPr>
          <w:p w14:paraId="0EFCB3A9" w14:textId="77777777" w:rsidR="0025731E" w:rsidRPr="0025731E" w:rsidRDefault="0025731E" w:rsidP="0025731E">
            <w:pPr>
              <w:jc w:val="right"/>
              <w:rPr>
                <w:rFonts w:ascii="Arial" w:hAnsi="Arial" w:cs="Arial"/>
                <w:bCs/>
                <w:color w:val="000000"/>
                <w:sz w:val="14"/>
                <w:szCs w:val="14"/>
              </w:rPr>
            </w:pPr>
          </w:p>
          <w:p w14:paraId="0F851644" w14:textId="77777777" w:rsidR="0025731E" w:rsidRPr="0025731E" w:rsidRDefault="0025731E" w:rsidP="0025731E">
            <w:pPr>
              <w:jc w:val="right"/>
              <w:rPr>
                <w:rFonts w:ascii="Arial" w:hAnsi="Arial" w:cs="Arial"/>
                <w:bCs/>
                <w:color w:val="000000"/>
                <w:sz w:val="14"/>
                <w:szCs w:val="14"/>
              </w:rPr>
            </w:pPr>
            <w:r w:rsidRPr="0025731E">
              <w:rPr>
                <w:rFonts w:ascii="Arial" w:hAnsi="Arial" w:cs="Arial"/>
                <w:bCs/>
                <w:color w:val="000000"/>
                <w:sz w:val="14"/>
                <w:szCs w:val="14"/>
              </w:rPr>
              <w:t>48,563,570.64*</w:t>
            </w:r>
          </w:p>
          <w:p w14:paraId="7FB3E732" w14:textId="77777777" w:rsidR="0025731E" w:rsidRPr="0025731E" w:rsidRDefault="0025731E" w:rsidP="0025731E">
            <w:pPr>
              <w:jc w:val="right"/>
              <w:rPr>
                <w:rFonts w:ascii="Arial" w:hAnsi="Arial" w:cs="Arial"/>
                <w:bCs/>
                <w:color w:val="000000"/>
                <w:sz w:val="14"/>
                <w:szCs w:val="14"/>
              </w:rPr>
            </w:pPr>
            <w:r w:rsidRPr="0025731E">
              <w:rPr>
                <w:rFonts w:ascii="Arial" w:hAnsi="Arial" w:cs="Arial"/>
                <w:bCs/>
                <w:color w:val="000000"/>
                <w:sz w:val="14"/>
                <w:szCs w:val="14"/>
              </w:rPr>
              <w:t>13,719,803.26*</w:t>
            </w:r>
          </w:p>
        </w:tc>
        <w:tc>
          <w:tcPr>
            <w:tcW w:w="503" w:type="pct"/>
            <w:tcBorders>
              <w:top w:val="single" w:sz="3" w:space="0" w:color="BFBFBF"/>
              <w:left w:val="single" w:sz="3" w:space="0" w:color="BFBFBF"/>
              <w:bottom w:val="single" w:sz="3" w:space="0" w:color="BFBFBF"/>
              <w:right w:val="single" w:sz="3" w:space="0" w:color="BFBFBF"/>
            </w:tcBorders>
            <w:shd w:val="clear" w:color="auto" w:fill="auto"/>
          </w:tcPr>
          <w:p w14:paraId="33B967B8" w14:textId="77777777" w:rsidR="0025731E" w:rsidRPr="0025731E" w:rsidRDefault="0025731E" w:rsidP="0025731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p>
          <w:p w14:paraId="6ACCCFBD" w14:textId="77777777" w:rsidR="0025731E" w:rsidRPr="0025731E" w:rsidRDefault="0025731E" w:rsidP="0025731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01/03/2018</w:t>
            </w:r>
          </w:p>
          <w:p w14:paraId="4E4A73F4" w14:textId="77777777" w:rsidR="0025731E" w:rsidRPr="0025731E" w:rsidRDefault="0025731E" w:rsidP="0025731E">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4"/>
                <w:szCs w:val="14"/>
                <w:lang w:val="es-ES"/>
              </w:rPr>
            </w:pPr>
            <w:r w:rsidRPr="0025731E">
              <w:rPr>
                <w:rFonts w:ascii="Arial" w:eastAsia="Arial" w:hAnsi="Arial" w:cs="Arial"/>
                <w:sz w:val="14"/>
                <w:szCs w:val="14"/>
                <w:lang w:val="es-ES"/>
              </w:rPr>
              <w:t>04/02/2011</w:t>
            </w:r>
          </w:p>
        </w:tc>
        <w:tc>
          <w:tcPr>
            <w:cnfStyle w:val="000010000000" w:firstRow="0" w:lastRow="0" w:firstColumn="0" w:lastColumn="0" w:oddVBand="1" w:evenVBand="0" w:oddHBand="0" w:evenHBand="0" w:firstRowFirstColumn="0" w:firstRowLastColumn="0" w:lastRowFirstColumn="0" w:lastRowLastColumn="0"/>
            <w:tcW w:w="488" w:type="pct"/>
            <w:tcBorders>
              <w:top w:val="single" w:sz="3" w:space="0" w:color="BFBFBF"/>
              <w:left w:val="single" w:sz="3" w:space="0" w:color="BFBFBF"/>
              <w:bottom w:val="single" w:sz="3" w:space="0" w:color="BFBFBF"/>
              <w:right w:val="single" w:sz="3" w:space="0" w:color="BFBFBF"/>
            </w:tcBorders>
            <w:shd w:val="clear" w:color="auto" w:fill="auto"/>
          </w:tcPr>
          <w:p w14:paraId="194F3FDE" w14:textId="77777777" w:rsidR="0025731E" w:rsidRPr="0025731E" w:rsidRDefault="0025731E" w:rsidP="0025731E">
            <w:pPr>
              <w:widowControl w:val="0"/>
              <w:autoSpaceDE w:val="0"/>
              <w:autoSpaceDN w:val="0"/>
              <w:ind w:left="90"/>
              <w:jc w:val="center"/>
              <w:rPr>
                <w:rFonts w:ascii="Arial" w:eastAsia="Arial" w:hAnsi="Arial" w:cs="Arial"/>
                <w:spacing w:val="-4"/>
                <w:sz w:val="14"/>
                <w:szCs w:val="14"/>
                <w:lang w:val="es-ES"/>
              </w:rPr>
            </w:pPr>
          </w:p>
          <w:p w14:paraId="1051F487" w14:textId="77777777" w:rsidR="0025731E" w:rsidRPr="0025731E" w:rsidRDefault="0025731E" w:rsidP="0025731E">
            <w:pPr>
              <w:widowControl w:val="0"/>
              <w:autoSpaceDE w:val="0"/>
              <w:autoSpaceDN w:val="0"/>
              <w:ind w:left="90"/>
              <w:jc w:val="center"/>
              <w:rPr>
                <w:rFonts w:ascii="Arial" w:eastAsia="Arial" w:hAnsi="Arial" w:cs="Arial"/>
                <w:sz w:val="14"/>
                <w:szCs w:val="14"/>
                <w:lang w:val="es-ES"/>
              </w:rPr>
            </w:pPr>
            <w:r w:rsidRPr="0025731E">
              <w:rPr>
                <w:rFonts w:ascii="Arial" w:eastAsia="Arial" w:hAnsi="Arial" w:cs="Arial"/>
                <w:spacing w:val="-4"/>
                <w:sz w:val="14"/>
                <w:szCs w:val="14"/>
                <w:lang w:val="es-ES"/>
              </w:rPr>
              <w:t xml:space="preserve">17 </w:t>
            </w:r>
            <w:r w:rsidRPr="0025731E">
              <w:rPr>
                <w:rFonts w:ascii="Arial" w:eastAsia="Arial" w:hAnsi="Arial" w:cs="Arial"/>
                <w:sz w:val="14"/>
                <w:szCs w:val="14"/>
                <w:lang w:val="es-ES"/>
              </w:rPr>
              <w:t>años</w:t>
            </w:r>
          </w:p>
          <w:p w14:paraId="331EA075" w14:textId="77777777" w:rsidR="0025731E" w:rsidRPr="0025731E" w:rsidRDefault="0025731E" w:rsidP="0025731E">
            <w:pPr>
              <w:widowControl w:val="0"/>
              <w:autoSpaceDE w:val="0"/>
              <w:autoSpaceDN w:val="0"/>
              <w:jc w:val="center"/>
              <w:rPr>
                <w:rFonts w:ascii="Arial" w:eastAsia="Arial" w:hAnsi="Arial" w:cs="Arial"/>
                <w:b/>
                <w:sz w:val="14"/>
                <w:szCs w:val="14"/>
                <w:lang w:val="es-ES"/>
              </w:rPr>
            </w:pPr>
            <w:r w:rsidRPr="0025731E">
              <w:rPr>
                <w:rFonts w:ascii="Arial" w:eastAsia="Arial" w:hAnsi="Arial" w:cs="Arial"/>
                <w:sz w:val="14"/>
                <w:szCs w:val="14"/>
                <w:lang w:val="es-ES"/>
              </w:rPr>
              <w:t>20</w:t>
            </w:r>
            <w:r w:rsidRPr="0025731E">
              <w:rPr>
                <w:rFonts w:ascii="Arial" w:eastAsia="Arial" w:hAnsi="Arial" w:cs="Arial"/>
                <w:spacing w:val="-4"/>
                <w:sz w:val="14"/>
                <w:szCs w:val="14"/>
                <w:lang w:val="es-ES"/>
              </w:rPr>
              <w:t xml:space="preserve"> </w:t>
            </w:r>
            <w:r w:rsidRPr="0025731E">
              <w:rPr>
                <w:rFonts w:ascii="Arial" w:eastAsia="Arial" w:hAnsi="Arial" w:cs="Arial"/>
                <w:sz w:val="14"/>
                <w:szCs w:val="14"/>
                <w:lang w:val="es-ES"/>
              </w:rPr>
              <w:t>años</w:t>
            </w:r>
          </w:p>
        </w:tc>
        <w:tc>
          <w:tcPr>
            <w:cnfStyle w:val="000100000000" w:firstRow="0" w:lastRow="0" w:firstColumn="0" w:lastColumn="1" w:oddVBand="0" w:evenVBand="0" w:oddHBand="0" w:evenHBand="0" w:firstRowFirstColumn="0" w:firstRowLastColumn="0" w:lastRowFirstColumn="0" w:lastRowLastColumn="0"/>
            <w:tcW w:w="581" w:type="pct"/>
            <w:tcBorders>
              <w:top w:val="single" w:sz="3" w:space="0" w:color="BFBFBF"/>
              <w:left w:val="single" w:sz="3" w:space="0" w:color="BFBFBF"/>
              <w:bottom w:val="single" w:sz="3" w:space="0" w:color="BFBFBF"/>
              <w:right w:val="single" w:sz="3" w:space="0" w:color="BFBFBF"/>
            </w:tcBorders>
            <w:shd w:val="clear" w:color="auto" w:fill="auto"/>
          </w:tcPr>
          <w:p w14:paraId="38FE71EF" w14:textId="77777777" w:rsidR="0025731E" w:rsidRPr="0025731E" w:rsidRDefault="0025731E" w:rsidP="0025731E">
            <w:pPr>
              <w:widowControl w:val="0"/>
              <w:autoSpaceDE w:val="0"/>
              <w:autoSpaceDN w:val="0"/>
              <w:spacing w:line="229" w:lineRule="exact"/>
              <w:jc w:val="center"/>
              <w:rPr>
                <w:rFonts w:ascii="Arial" w:eastAsia="Arial" w:hAnsi="Arial" w:cs="Arial"/>
                <w:sz w:val="14"/>
                <w:szCs w:val="14"/>
                <w:lang w:val="es-ES"/>
              </w:rPr>
            </w:pPr>
          </w:p>
        </w:tc>
      </w:tr>
      <w:tr w:rsidR="0025731E" w:rsidRPr="0025731E" w14:paraId="4DD6F7E2" w14:textId="77777777" w:rsidTr="00167346">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1455" w:type="pct"/>
            <w:tcBorders>
              <w:top w:val="single" w:sz="4" w:space="0" w:color="BFBFBF"/>
              <w:left w:val="single" w:sz="4" w:space="0" w:color="BFBFBF"/>
              <w:bottom w:val="single" w:sz="4" w:space="0" w:color="BFBFBF"/>
              <w:right w:val="single" w:sz="4" w:space="0" w:color="BFBFBF"/>
            </w:tcBorders>
            <w:shd w:val="clear" w:color="auto" w:fill="auto"/>
          </w:tcPr>
          <w:p w14:paraId="1D4F45EA" w14:textId="77777777" w:rsidR="0025731E" w:rsidRDefault="0025731E" w:rsidP="0025731E">
            <w:pPr>
              <w:widowControl w:val="0"/>
              <w:autoSpaceDE w:val="0"/>
              <w:autoSpaceDN w:val="0"/>
              <w:ind w:left="111"/>
              <w:rPr>
                <w:rFonts w:ascii="Arial" w:eastAsia="Arial" w:hAnsi="Arial" w:cs="Arial"/>
                <w:sz w:val="14"/>
                <w:szCs w:val="14"/>
                <w:lang w:val="es-ES"/>
              </w:rPr>
            </w:pPr>
            <w:r w:rsidRPr="0025731E">
              <w:rPr>
                <w:rFonts w:ascii="Arial" w:eastAsia="Arial" w:hAnsi="Arial" w:cs="Arial"/>
                <w:sz w:val="14"/>
                <w:szCs w:val="14"/>
                <w:lang w:val="es-ES"/>
              </w:rPr>
              <w:t>H. Ayuntamiento de Cozumel</w:t>
            </w:r>
          </w:p>
          <w:p w14:paraId="0539EAEB" w14:textId="77777777" w:rsidR="001B1D02" w:rsidRPr="0025731E" w:rsidRDefault="001B1D02" w:rsidP="0025731E">
            <w:pPr>
              <w:widowControl w:val="0"/>
              <w:autoSpaceDE w:val="0"/>
              <w:autoSpaceDN w:val="0"/>
              <w:ind w:left="111"/>
              <w:rPr>
                <w:rFonts w:ascii="Arial" w:eastAsia="Arial" w:hAnsi="Arial" w:cs="Arial"/>
                <w:sz w:val="14"/>
                <w:szCs w:val="14"/>
                <w:lang w:val="es-ES"/>
              </w:rPr>
            </w:pPr>
          </w:p>
          <w:p w14:paraId="19F5E2BC" w14:textId="77777777" w:rsidR="0025731E" w:rsidRDefault="0025731E" w:rsidP="0025731E">
            <w:pPr>
              <w:widowControl w:val="0"/>
              <w:autoSpaceDE w:val="0"/>
              <w:autoSpaceDN w:val="0"/>
              <w:ind w:left="111"/>
              <w:rPr>
                <w:rFonts w:ascii="Arial" w:eastAsia="Arial" w:hAnsi="Arial" w:cs="Arial"/>
                <w:b w:val="0"/>
                <w:sz w:val="14"/>
                <w:szCs w:val="14"/>
                <w:lang w:val="es-ES"/>
              </w:rPr>
            </w:pPr>
            <w:r w:rsidRPr="0025731E">
              <w:rPr>
                <w:rFonts w:ascii="Arial" w:eastAsia="Arial" w:hAnsi="Arial" w:cs="Arial"/>
                <w:b w:val="0"/>
                <w:sz w:val="14"/>
                <w:szCs w:val="14"/>
                <w:lang w:val="es-ES"/>
              </w:rPr>
              <w:t>Banobras S.N.C.</w:t>
            </w:r>
          </w:p>
          <w:p w14:paraId="090803F7" w14:textId="77777777" w:rsidR="0025731E" w:rsidRPr="0025731E" w:rsidRDefault="001B1D02" w:rsidP="001B1D02">
            <w:pPr>
              <w:widowControl w:val="0"/>
              <w:autoSpaceDE w:val="0"/>
              <w:autoSpaceDN w:val="0"/>
              <w:ind w:left="111"/>
              <w:rPr>
                <w:rFonts w:ascii="Arial" w:eastAsia="Arial" w:hAnsi="Arial" w:cs="Arial"/>
                <w:sz w:val="14"/>
                <w:szCs w:val="14"/>
                <w:lang w:val="es-ES"/>
              </w:rPr>
            </w:pPr>
            <w:r w:rsidRPr="001B1D02">
              <w:rPr>
                <w:rFonts w:ascii="Arial" w:eastAsia="Arial" w:hAnsi="Arial" w:cs="Arial"/>
                <w:b w:val="0"/>
                <w:sz w:val="14"/>
                <w:szCs w:val="14"/>
                <w:lang w:val="es-ES"/>
              </w:rPr>
              <w:t>ADEFAS</w:t>
            </w:r>
          </w:p>
        </w:tc>
        <w:tc>
          <w:tcPr>
            <w:cnfStyle w:val="000010000000" w:firstRow="0" w:lastRow="0" w:firstColumn="0" w:lastColumn="0" w:oddVBand="1" w:evenVBand="0" w:oddHBand="0" w:evenHBand="0" w:firstRowFirstColumn="0" w:firstRowLastColumn="0" w:lastRowFirstColumn="0" w:lastRowLastColumn="0"/>
            <w:tcW w:w="688" w:type="pct"/>
            <w:tcBorders>
              <w:top w:val="single" w:sz="3" w:space="0" w:color="BFBFBF"/>
              <w:left w:val="single" w:sz="3" w:space="0" w:color="BFBFBF"/>
              <w:bottom w:val="single" w:sz="3" w:space="0" w:color="BFBFBF"/>
              <w:right w:val="single" w:sz="3" w:space="0" w:color="BFBFBF"/>
            </w:tcBorders>
            <w:shd w:val="clear" w:color="auto" w:fill="auto"/>
          </w:tcPr>
          <w:p w14:paraId="138CE104" w14:textId="77777777" w:rsidR="0025731E" w:rsidRPr="0025731E" w:rsidRDefault="0025731E" w:rsidP="0025731E">
            <w:pPr>
              <w:widowControl w:val="0"/>
              <w:autoSpaceDE w:val="0"/>
              <w:autoSpaceDN w:val="0"/>
              <w:spacing w:line="206" w:lineRule="exact"/>
              <w:jc w:val="right"/>
              <w:rPr>
                <w:rFonts w:ascii="Arial" w:eastAsia="Arial" w:hAnsi="Arial" w:cs="Arial"/>
                <w:sz w:val="14"/>
                <w:szCs w:val="14"/>
                <w:lang w:val="es-ES"/>
              </w:rPr>
            </w:pPr>
            <w:r w:rsidRPr="0025731E">
              <w:rPr>
                <w:rFonts w:ascii="Arial" w:eastAsia="Arial" w:hAnsi="Arial" w:cs="Arial"/>
                <w:sz w:val="14"/>
                <w:szCs w:val="14"/>
                <w:lang w:val="es-ES"/>
              </w:rPr>
              <w:t>434,885,033.20</w:t>
            </w:r>
          </w:p>
        </w:tc>
        <w:tc>
          <w:tcPr>
            <w:tcW w:w="689" w:type="pct"/>
            <w:tcBorders>
              <w:top w:val="single" w:sz="3" w:space="0" w:color="BFBFBF"/>
              <w:left w:val="single" w:sz="3" w:space="0" w:color="BFBFBF"/>
              <w:bottom w:val="single" w:sz="3" w:space="0" w:color="BFBFBF"/>
              <w:right w:val="single" w:sz="3" w:space="0" w:color="BFBFBF"/>
            </w:tcBorders>
            <w:shd w:val="clear" w:color="auto" w:fill="auto"/>
          </w:tcPr>
          <w:p w14:paraId="1EA11878" w14:textId="77777777" w:rsidR="0025731E" w:rsidRPr="0025731E" w:rsidRDefault="0025731E" w:rsidP="0025731E">
            <w:pPr>
              <w:widowControl w:val="0"/>
              <w:autoSpaceDE w:val="0"/>
              <w:autoSpaceDN w:val="0"/>
              <w:spacing w:line="206" w:lineRule="exact"/>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430,702,960.04</w:t>
            </w:r>
          </w:p>
        </w:tc>
        <w:tc>
          <w:tcPr>
            <w:cnfStyle w:val="000010000000" w:firstRow="0" w:lastRow="0" w:firstColumn="0" w:lastColumn="0" w:oddVBand="1" w:evenVBand="0" w:oddHBand="0" w:evenHBand="0" w:firstRowFirstColumn="0" w:firstRowLastColumn="0" w:lastRowFirstColumn="0" w:lastRowLastColumn="0"/>
            <w:tcW w:w="595" w:type="pct"/>
            <w:tcBorders>
              <w:top w:val="single" w:sz="3" w:space="0" w:color="BFBFBF"/>
              <w:left w:val="single" w:sz="3" w:space="0" w:color="BFBFBF"/>
              <w:bottom w:val="single" w:sz="3" w:space="0" w:color="BFBFBF"/>
              <w:right w:val="single" w:sz="3" w:space="0" w:color="BFBFBF"/>
            </w:tcBorders>
            <w:shd w:val="clear" w:color="auto" w:fill="auto"/>
            <w:vAlign w:val="bottom"/>
          </w:tcPr>
          <w:p w14:paraId="2534680C" w14:textId="77777777" w:rsidR="001B1D02" w:rsidRDefault="001B1D02" w:rsidP="00167346">
            <w:pPr>
              <w:widowControl w:val="0"/>
              <w:autoSpaceDE w:val="0"/>
              <w:autoSpaceDN w:val="0"/>
              <w:jc w:val="right"/>
              <w:rPr>
                <w:rFonts w:ascii="Arial" w:eastAsia="Arial" w:hAnsi="Arial" w:cs="Arial"/>
                <w:sz w:val="14"/>
                <w:szCs w:val="14"/>
                <w:lang w:val="es-ES"/>
              </w:rPr>
            </w:pPr>
            <w:r w:rsidRPr="001B1D02">
              <w:rPr>
                <w:rFonts w:ascii="Arial" w:eastAsia="Arial" w:hAnsi="Arial" w:cs="Arial"/>
                <w:sz w:val="14"/>
                <w:szCs w:val="14"/>
                <w:lang w:val="es-ES"/>
              </w:rPr>
              <w:t>19,214,088.79</w:t>
            </w:r>
          </w:p>
          <w:p w14:paraId="66884D87" w14:textId="77777777" w:rsidR="001B1D02" w:rsidRPr="00167346" w:rsidRDefault="001B1D02" w:rsidP="00167346">
            <w:pPr>
              <w:widowControl w:val="0"/>
              <w:autoSpaceDE w:val="0"/>
              <w:autoSpaceDN w:val="0"/>
              <w:jc w:val="right"/>
              <w:rPr>
                <w:rFonts w:ascii="Arial" w:eastAsia="Arial" w:hAnsi="Arial" w:cs="Arial"/>
                <w:sz w:val="10"/>
                <w:szCs w:val="10"/>
                <w:lang w:val="es-ES"/>
              </w:rPr>
            </w:pPr>
          </w:p>
          <w:p w14:paraId="16132497" w14:textId="77777777" w:rsidR="001B1D02" w:rsidRDefault="0025731E" w:rsidP="00167346">
            <w:pPr>
              <w:widowControl w:val="0"/>
              <w:autoSpaceDE w:val="0"/>
              <w:autoSpaceDN w:val="0"/>
              <w:jc w:val="right"/>
              <w:rPr>
                <w:rFonts w:ascii="Arial" w:eastAsia="Arial" w:hAnsi="Arial" w:cs="Arial"/>
                <w:sz w:val="14"/>
                <w:szCs w:val="14"/>
                <w:lang w:val="es-ES"/>
              </w:rPr>
            </w:pPr>
            <w:r w:rsidRPr="0025731E">
              <w:rPr>
                <w:rFonts w:ascii="Arial" w:eastAsia="Arial" w:hAnsi="Arial" w:cs="Arial"/>
                <w:sz w:val="14"/>
                <w:szCs w:val="14"/>
                <w:lang w:val="es-ES"/>
              </w:rPr>
              <w:t>14,328,367.36*</w:t>
            </w:r>
          </w:p>
          <w:p w14:paraId="776F6196" w14:textId="77777777" w:rsidR="0025731E" w:rsidRPr="0025731E" w:rsidRDefault="001B1D02" w:rsidP="00167346">
            <w:pPr>
              <w:widowControl w:val="0"/>
              <w:autoSpaceDE w:val="0"/>
              <w:autoSpaceDN w:val="0"/>
              <w:jc w:val="right"/>
              <w:rPr>
                <w:rFonts w:ascii="Arial" w:eastAsia="Arial" w:hAnsi="Arial" w:cs="Arial"/>
                <w:sz w:val="14"/>
                <w:szCs w:val="14"/>
                <w:lang w:val="es-ES"/>
              </w:rPr>
            </w:pPr>
            <w:r w:rsidRPr="001B1D02">
              <w:rPr>
                <w:rFonts w:ascii="Arial" w:eastAsia="Arial" w:hAnsi="Arial" w:cs="Arial"/>
                <w:sz w:val="14"/>
                <w:szCs w:val="14"/>
                <w:lang w:val="es-ES"/>
              </w:rPr>
              <w:t xml:space="preserve">4,885,721.43 </w:t>
            </w:r>
            <w:r w:rsidRPr="001B1D02">
              <w:rPr>
                <w:rFonts w:ascii="Arial" w:eastAsia="Arial" w:hAnsi="Arial" w:cs="Arial"/>
                <w:sz w:val="14"/>
                <w:szCs w:val="14"/>
                <w:vertAlign w:val="superscript"/>
                <w:lang w:val="es-ES"/>
              </w:rPr>
              <w:t>(2)</w:t>
            </w:r>
            <w:r w:rsidR="001376C7">
              <w:rPr>
                <w:rFonts w:ascii="Arial" w:eastAsia="Arial" w:hAnsi="Arial" w:cs="Arial"/>
                <w:sz w:val="14"/>
                <w:szCs w:val="14"/>
                <w:lang w:val="es-ES"/>
              </w:rPr>
              <w:t xml:space="preserve"> </w:t>
            </w:r>
          </w:p>
        </w:tc>
        <w:tc>
          <w:tcPr>
            <w:tcW w:w="503" w:type="pct"/>
            <w:tcBorders>
              <w:top w:val="single" w:sz="3" w:space="0" w:color="BFBFBF"/>
              <w:left w:val="single" w:sz="3" w:space="0" w:color="BFBFBF"/>
              <w:bottom w:val="single" w:sz="3" w:space="0" w:color="BFBFBF"/>
              <w:right w:val="single" w:sz="3" w:space="0" w:color="BFBFBF"/>
            </w:tcBorders>
            <w:shd w:val="clear" w:color="auto" w:fill="auto"/>
          </w:tcPr>
          <w:p w14:paraId="06FFA232" w14:textId="77777777" w:rsidR="0025731E" w:rsidRPr="0025731E" w:rsidRDefault="0025731E" w:rsidP="0025731E">
            <w:pPr>
              <w:widowControl w:val="0"/>
              <w:autoSpaceDE w:val="0"/>
              <w:autoSpaceDN w:val="0"/>
              <w:spacing w:line="202" w:lineRule="exact"/>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lang w:val="es-ES"/>
              </w:rPr>
            </w:pPr>
            <w:r w:rsidRPr="0025731E">
              <w:rPr>
                <w:rFonts w:ascii="Arial" w:eastAsia="Arial" w:hAnsi="Arial" w:cs="Arial"/>
                <w:sz w:val="14"/>
                <w:szCs w:val="14"/>
                <w:lang w:val="es-ES"/>
              </w:rPr>
              <w:t>22/11/2018</w:t>
            </w:r>
          </w:p>
        </w:tc>
        <w:tc>
          <w:tcPr>
            <w:cnfStyle w:val="000010000000" w:firstRow="0" w:lastRow="0" w:firstColumn="0" w:lastColumn="0" w:oddVBand="1" w:evenVBand="0" w:oddHBand="0" w:evenHBand="0" w:firstRowFirstColumn="0" w:firstRowLastColumn="0" w:lastRowFirstColumn="0" w:lastRowLastColumn="0"/>
            <w:tcW w:w="488" w:type="pct"/>
            <w:tcBorders>
              <w:top w:val="single" w:sz="3" w:space="0" w:color="BFBFBF"/>
              <w:left w:val="single" w:sz="3" w:space="0" w:color="BFBFBF"/>
              <w:bottom w:val="single" w:sz="3" w:space="0" w:color="BFBFBF"/>
              <w:right w:val="single" w:sz="3" w:space="0" w:color="BFBFBF"/>
            </w:tcBorders>
            <w:shd w:val="clear" w:color="auto" w:fill="auto"/>
          </w:tcPr>
          <w:p w14:paraId="17FDFE75" w14:textId="77777777" w:rsidR="0025731E" w:rsidRPr="0025731E" w:rsidRDefault="0025731E" w:rsidP="0025731E">
            <w:pPr>
              <w:widowControl w:val="0"/>
              <w:autoSpaceDE w:val="0"/>
              <w:autoSpaceDN w:val="0"/>
              <w:spacing w:line="202" w:lineRule="exact"/>
              <w:jc w:val="center"/>
              <w:rPr>
                <w:rFonts w:ascii="Arial" w:eastAsia="Arial" w:hAnsi="Arial" w:cs="Arial"/>
                <w:sz w:val="14"/>
                <w:szCs w:val="14"/>
                <w:lang w:val="es-ES"/>
              </w:rPr>
            </w:pPr>
            <w:r w:rsidRPr="0025731E">
              <w:rPr>
                <w:rFonts w:ascii="Arial" w:eastAsia="Arial" w:hAnsi="Arial" w:cs="Arial"/>
                <w:sz w:val="14"/>
                <w:szCs w:val="14"/>
                <w:lang w:val="es-ES"/>
              </w:rPr>
              <w:t>20 años</w:t>
            </w:r>
          </w:p>
        </w:tc>
        <w:tc>
          <w:tcPr>
            <w:cnfStyle w:val="000100000000" w:firstRow="0" w:lastRow="0" w:firstColumn="0" w:lastColumn="1" w:oddVBand="0" w:evenVBand="0" w:oddHBand="0" w:evenHBand="0" w:firstRowFirstColumn="0" w:firstRowLastColumn="0" w:lastRowFirstColumn="0" w:lastRowLastColumn="0"/>
            <w:tcW w:w="581" w:type="pct"/>
            <w:tcBorders>
              <w:top w:val="single" w:sz="3" w:space="0" w:color="BFBFBF"/>
              <w:left w:val="single" w:sz="3" w:space="0" w:color="BFBFBF"/>
              <w:bottom w:val="single" w:sz="3" w:space="0" w:color="BFBFBF"/>
              <w:right w:val="single" w:sz="3" w:space="0" w:color="BFBFBF"/>
            </w:tcBorders>
            <w:shd w:val="clear" w:color="auto" w:fill="auto"/>
          </w:tcPr>
          <w:p w14:paraId="06177B04" w14:textId="77777777" w:rsidR="0025731E" w:rsidRPr="0025731E" w:rsidRDefault="0025731E" w:rsidP="0025731E">
            <w:pPr>
              <w:widowControl w:val="0"/>
              <w:autoSpaceDE w:val="0"/>
              <w:autoSpaceDN w:val="0"/>
              <w:spacing w:line="206" w:lineRule="exact"/>
              <w:jc w:val="center"/>
              <w:rPr>
                <w:rFonts w:ascii="Arial" w:eastAsia="Arial" w:hAnsi="Arial" w:cs="Arial"/>
                <w:iCs/>
                <w:sz w:val="14"/>
                <w:szCs w:val="14"/>
                <w:lang w:val="es-ES"/>
              </w:rPr>
            </w:pPr>
            <w:r w:rsidRPr="0025731E">
              <w:rPr>
                <w:rFonts w:ascii="Arial" w:eastAsia="Arial" w:hAnsi="Arial" w:cs="Arial"/>
                <w:iCs/>
                <w:sz w:val="14"/>
                <w:szCs w:val="14"/>
                <w:lang w:val="es-ES"/>
              </w:rPr>
              <w:t>Sin observaciones</w:t>
            </w:r>
          </w:p>
        </w:tc>
      </w:tr>
      <w:tr w:rsidR="0025731E" w:rsidRPr="0025731E" w14:paraId="0E41DC3A" w14:textId="77777777" w:rsidTr="00EE243C">
        <w:trPr>
          <w:trHeight w:val="373"/>
          <w:jc w:val="center"/>
        </w:trPr>
        <w:tc>
          <w:tcPr>
            <w:cnfStyle w:val="001000000000" w:firstRow="0" w:lastRow="0" w:firstColumn="1" w:lastColumn="0" w:oddVBand="0" w:evenVBand="0" w:oddHBand="0" w:evenHBand="0" w:firstRowFirstColumn="0" w:firstRowLastColumn="0" w:lastRowFirstColumn="0" w:lastRowLastColumn="0"/>
            <w:tcW w:w="1455" w:type="pct"/>
            <w:tcBorders>
              <w:top w:val="single" w:sz="4" w:space="0" w:color="BFBFBF"/>
              <w:left w:val="single" w:sz="4" w:space="0" w:color="BFBFBF"/>
              <w:bottom w:val="single" w:sz="4" w:space="0" w:color="BFBFBF"/>
              <w:right w:val="single" w:sz="4" w:space="0" w:color="BFBFBF"/>
            </w:tcBorders>
            <w:shd w:val="clear" w:color="auto" w:fill="auto"/>
          </w:tcPr>
          <w:p w14:paraId="4AF0721E" w14:textId="77777777" w:rsidR="0025731E" w:rsidRPr="0025731E" w:rsidRDefault="0025731E" w:rsidP="0025731E">
            <w:pPr>
              <w:widowControl w:val="0"/>
              <w:autoSpaceDE w:val="0"/>
              <w:autoSpaceDN w:val="0"/>
              <w:spacing w:before="99"/>
              <w:ind w:left="264" w:right="505"/>
              <w:jc w:val="right"/>
              <w:rPr>
                <w:rFonts w:ascii="Arial" w:eastAsia="Arial" w:hAnsi="Arial" w:cs="Arial"/>
                <w:sz w:val="14"/>
                <w:szCs w:val="14"/>
                <w:lang w:val="es-ES"/>
              </w:rPr>
            </w:pPr>
            <w:r w:rsidRPr="0025731E">
              <w:rPr>
                <w:rFonts w:ascii="Arial" w:eastAsia="Arial" w:hAnsi="Arial" w:cs="Arial"/>
                <w:sz w:val="14"/>
                <w:szCs w:val="14"/>
                <w:lang w:val="es-ES"/>
              </w:rPr>
              <w:t>Totales</w:t>
            </w:r>
          </w:p>
        </w:tc>
        <w:tc>
          <w:tcPr>
            <w:cnfStyle w:val="000010000000" w:firstRow="0" w:lastRow="0" w:firstColumn="0" w:lastColumn="0" w:oddVBand="1" w:evenVBand="0" w:oddHBand="0" w:evenHBand="0" w:firstRowFirstColumn="0" w:firstRowLastColumn="0" w:lastRowFirstColumn="0" w:lastRowLastColumn="0"/>
            <w:tcW w:w="68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56BAA6" w14:textId="77777777" w:rsidR="0025731E" w:rsidRPr="0025731E" w:rsidRDefault="0025731E" w:rsidP="0025731E">
            <w:pPr>
              <w:jc w:val="right"/>
              <w:rPr>
                <w:rFonts w:ascii="Arial" w:hAnsi="Arial" w:cs="Arial"/>
                <w:b/>
                <w:color w:val="000000"/>
                <w:sz w:val="14"/>
                <w:szCs w:val="14"/>
              </w:rPr>
            </w:pPr>
            <w:r w:rsidRPr="0025731E">
              <w:rPr>
                <w:rFonts w:ascii="Arial" w:hAnsi="Arial" w:cs="Arial"/>
                <w:b/>
                <w:color w:val="000000"/>
                <w:sz w:val="14"/>
                <w:szCs w:val="14"/>
              </w:rPr>
              <w:t>$2,688,610,106.2</w:t>
            </w:r>
          </w:p>
        </w:tc>
        <w:tc>
          <w:tcPr>
            <w:tcW w:w="68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B432C4C" w14:textId="77777777" w:rsidR="0025731E" w:rsidRPr="0025731E" w:rsidRDefault="0025731E" w:rsidP="0025731E">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4"/>
                <w:szCs w:val="14"/>
              </w:rPr>
            </w:pPr>
            <w:r w:rsidRPr="0025731E">
              <w:rPr>
                <w:rFonts w:ascii="Arial" w:hAnsi="Arial" w:cs="Arial"/>
                <w:b/>
                <w:color w:val="000000"/>
                <w:sz w:val="14"/>
                <w:szCs w:val="14"/>
              </w:rPr>
              <w:t>$2,198,601,270.88</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075015" w14:textId="77777777" w:rsidR="0025731E" w:rsidRPr="0025731E" w:rsidRDefault="0025731E" w:rsidP="0025731E">
            <w:pPr>
              <w:jc w:val="right"/>
              <w:rPr>
                <w:rFonts w:ascii="Arial" w:hAnsi="Arial" w:cs="Arial"/>
                <w:b/>
                <w:color w:val="000000"/>
                <w:sz w:val="14"/>
                <w:szCs w:val="14"/>
              </w:rPr>
            </w:pPr>
            <w:r w:rsidRPr="0025731E">
              <w:rPr>
                <w:rFonts w:ascii="Arial" w:hAnsi="Arial" w:cs="Arial"/>
                <w:b/>
                <w:color w:val="000000"/>
                <w:sz w:val="14"/>
                <w:szCs w:val="14"/>
              </w:rPr>
              <w:t>$294,548,743.71</w:t>
            </w:r>
          </w:p>
        </w:tc>
        <w:tc>
          <w:tcPr>
            <w:tcW w:w="503" w:type="pct"/>
            <w:tcBorders>
              <w:top w:val="single" w:sz="4" w:space="0" w:color="BFBFBF"/>
              <w:left w:val="single" w:sz="4" w:space="0" w:color="BFBFBF"/>
              <w:bottom w:val="single" w:sz="4" w:space="0" w:color="BFBFBF"/>
              <w:right w:val="single" w:sz="4" w:space="0" w:color="BFBFBF"/>
            </w:tcBorders>
            <w:shd w:val="clear" w:color="auto" w:fill="auto"/>
          </w:tcPr>
          <w:p w14:paraId="3297DB78" w14:textId="77777777" w:rsidR="0025731E" w:rsidRPr="0025731E" w:rsidRDefault="0025731E" w:rsidP="0025731E">
            <w:pPr>
              <w:widowControl w:val="0"/>
              <w:autoSpaceDE w:val="0"/>
              <w:autoSpaceDN w:val="0"/>
              <w:spacing w:before="8"/>
              <w:cnfStyle w:val="000000000000" w:firstRow="0" w:lastRow="0" w:firstColumn="0" w:lastColumn="0" w:oddVBand="0" w:evenVBand="0" w:oddHBand="0" w:evenHBand="0" w:firstRowFirstColumn="0" w:firstRowLastColumn="0" w:lastRowFirstColumn="0" w:lastRowLastColumn="0"/>
              <w:rPr>
                <w:rFonts w:ascii="Arial" w:eastAsia="Arial" w:hAnsi="Arial" w:cs="Arial"/>
                <w:b/>
                <w:sz w:val="14"/>
                <w:szCs w:val="14"/>
                <w:lang w:val="es-ES"/>
              </w:rPr>
            </w:pPr>
          </w:p>
        </w:tc>
        <w:tc>
          <w:tcPr>
            <w:cnfStyle w:val="000010000000" w:firstRow="0" w:lastRow="0" w:firstColumn="0" w:lastColumn="0" w:oddVBand="1" w:evenVBand="0" w:oddHBand="0" w:evenHBand="0" w:firstRowFirstColumn="0" w:firstRowLastColumn="0" w:lastRowFirstColumn="0" w:lastRowLastColumn="0"/>
            <w:tcW w:w="488" w:type="pct"/>
            <w:tcBorders>
              <w:top w:val="single" w:sz="4" w:space="0" w:color="BFBFBF"/>
              <w:left w:val="single" w:sz="4" w:space="0" w:color="BFBFBF"/>
              <w:bottom w:val="single" w:sz="4" w:space="0" w:color="BFBFBF"/>
              <w:right w:val="single" w:sz="4" w:space="0" w:color="BFBFBF"/>
            </w:tcBorders>
            <w:shd w:val="clear" w:color="auto" w:fill="auto"/>
          </w:tcPr>
          <w:p w14:paraId="06CB5A06" w14:textId="77777777" w:rsidR="0025731E" w:rsidRPr="0025731E" w:rsidRDefault="0025731E" w:rsidP="0025731E">
            <w:pPr>
              <w:widowControl w:val="0"/>
              <w:autoSpaceDE w:val="0"/>
              <w:autoSpaceDN w:val="0"/>
              <w:spacing w:before="8"/>
              <w:jc w:val="center"/>
              <w:rPr>
                <w:rFonts w:ascii="Arial" w:eastAsia="Arial" w:hAnsi="Arial" w:cs="Arial"/>
                <w:b/>
                <w:sz w:val="14"/>
                <w:szCs w:val="14"/>
                <w:lang w:val="es-ES"/>
              </w:rPr>
            </w:pPr>
          </w:p>
        </w:tc>
        <w:tc>
          <w:tcPr>
            <w:cnfStyle w:val="000100000000" w:firstRow="0" w:lastRow="0" w:firstColumn="0" w:lastColumn="1" w:oddVBand="0" w:evenVBand="0" w:oddHBand="0" w:evenHBand="0" w:firstRowFirstColumn="0" w:firstRowLastColumn="0" w:lastRowFirstColumn="0" w:lastRowLastColumn="0"/>
            <w:tcW w:w="581" w:type="pct"/>
            <w:tcBorders>
              <w:top w:val="single" w:sz="4" w:space="0" w:color="BFBFBF"/>
              <w:left w:val="single" w:sz="4" w:space="0" w:color="BFBFBF"/>
              <w:bottom w:val="single" w:sz="4" w:space="0" w:color="BFBFBF"/>
              <w:right w:val="single" w:sz="4" w:space="0" w:color="BFBFBF"/>
            </w:tcBorders>
            <w:shd w:val="clear" w:color="auto" w:fill="auto"/>
          </w:tcPr>
          <w:p w14:paraId="424939F9" w14:textId="77777777" w:rsidR="0025731E" w:rsidRPr="0025731E" w:rsidRDefault="0025731E" w:rsidP="0025731E">
            <w:pPr>
              <w:widowControl w:val="0"/>
              <w:autoSpaceDE w:val="0"/>
              <w:autoSpaceDN w:val="0"/>
              <w:rPr>
                <w:rFonts w:ascii="Arial" w:eastAsia="Arial" w:hAnsi="Arial" w:cs="Arial"/>
                <w:sz w:val="14"/>
                <w:szCs w:val="14"/>
                <w:lang w:val="es-ES"/>
              </w:rPr>
            </w:pPr>
          </w:p>
        </w:tc>
      </w:tr>
      <w:tr w:rsidR="0025731E" w:rsidRPr="0025731E" w14:paraId="699AC733" w14:textId="77777777" w:rsidTr="00EE243C">
        <w:trPr>
          <w:cnfStyle w:val="010000000000" w:firstRow="0" w:lastRow="1"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BFBFBF"/>
              <w:left w:val="nil"/>
              <w:bottom w:val="nil"/>
              <w:right w:val="nil"/>
            </w:tcBorders>
            <w:shd w:val="clear" w:color="auto" w:fill="auto"/>
          </w:tcPr>
          <w:p w14:paraId="0FAA5D96" w14:textId="77777777" w:rsidR="0025731E" w:rsidRPr="009C35C4" w:rsidRDefault="0025731E" w:rsidP="0025731E">
            <w:pPr>
              <w:spacing w:line="276" w:lineRule="auto"/>
              <w:rPr>
                <w:rFonts w:ascii="Arial" w:eastAsia="Times New Roman" w:hAnsi="Arial" w:cs="Arial"/>
                <w:bCs w:val="0"/>
                <w:sz w:val="16"/>
                <w:szCs w:val="14"/>
                <w:lang w:eastAsia="es-MX"/>
              </w:rPr>
            </w:pPr>
            <w:r w:rsidRPr="009C35C4">
              <w:rPr>
                <w:rFonts w:ascii="Arial" w:eastAsia="Times New Roman" w:hAnsi="Arial" w:cs="Arial"/>
                <w:bCs w:val="0"/>
                <w:sz w:val="16"/>
                <w:szCs w:val="14"/>
                <w:lang w:eastAsia="es-MX"/>
              </w:rPr>
              <w:t>* Pago de Amortización e intereses</w:t>
            </w:r>
          </w:p>
          <w:p w14:paraId="15D50608" w14:textId="77777777" w:rsidR="001B1D02" w:rsidRPr="009C35C4" w:rsidRDefault="001B1D02" w:rsidP="001B1D02">
            <w:pPr>
              <w:spacing w:after="160" w:line="276" w:lineRule="auto"/>
              <w:contextualSpacing/>
              <w:rPr>
                <w:rFonts w:ascii="Arial" w:eastAsia="Times New Roman" w:hAnsi="Arial" w:cs="Arial"/>
                <w:bCs w:val="0"/>
                <w:sz w:val="16"/>
                <w:szCs w:val="14"/>
                <w:lang w:eastAsia="es-MX"/>
              </w:rPr>
            </w:pPr>
            <w:r w:rsidRPr="009C35C4">
              <w:rPr>
                <w:rFonts w:ascii="Arial" w:eastAsia="Times New Roman" w:hAnsi="Arial" w:cs="Arial"/>
                <w:bCs w:val="0"/>
                <w:sz w:val="16"/>
                <w:szCs w:val="14"/>
                <w:vertAlign w:val="superscript"/>
                <w:lang w:eastAsia="es-MX"/>
              </w:rPr>
              <w:t>(1)</w:t>
            </w:r>
            <w:r w:rsidRPr="009C35C4">
              <w:rPr>
                <w:rFonts w:ascii="Arial" w:eastAsia="Times New Roman" w:hAnsi="Arial" w:cs="Arial"/>
                <w:b w:val="0"/>
                <w:bCs w:val="0"/>
                <w:sz w:val="16"/>
                <w:szCs w:val="14"/>
                <w:lang w:eastAsia="es-MX"/>
              </w:rPr>
              <w:t xml:space="preserve"> </w:t>
            </w:r>
            <w:r w:rsidRPr="009C35C4">
              <w:rPr>
                <w:rFonts w:ascii="Arial" w:eastAsia="Times New Roman" w:hAnsi="Arial" w:cs="Arial"/>
                <w:bCs w:val="0"/>
                <w:sz w:val="16"/>
                <w:szCs w:val="14"/>
                <w:lang w:eastAsia="es-MX"/>
              </w:rPr>
              <w:t>Liquidación del crédito a corto plazo por la cantidad de $26,184,307.27.</w:t>
            </w:r>
          </w:p>
          <w:p w14:paraId="28551FC6" w14:textId="77777777" w:rsidR="001B1D02" w:rsidRPr="009C35C4" w:rsidRDefault="001B1D02" w:rsidP="001B1D02">
            <w:pPr>
              <w:spacing w:after="160" w:line="276" w:lineRule="auto"/>
              <w:contextualSpacing/>
              <w:rPr>
                <w:rFonts w:ascii="Arial" w:eastAsia="Times New Roman" w:hAnsi="Arial" w:cs="Arial"/>
                <w:bCs w:val="0"/>
                <w:sz w:val="16"/>
                <w:szCs w:val="14"/>
                <w:lang w:eastAsia="es-MX"/>
              </w:rPr>
            </w:pPr>
            <w:r w:rsidRPr="009C35C4">
              <w:rPr>
                <w:rFonts w:ascii="Arial" w:eastAsia="Times New Roman" w:hAnsi="Arial" w:cs="Arial"/>
                <w:bCs w:val="0"/>
                <w:sz w:val="16"/>
                <w:szCs w:val="14"/>
                <w:vertAlign w:val="superscript"/>
                <w:lang w:eastAsia="es-MX"/>
              </w:rPr>
              <w:t>(2)</w:t>
            </w:r>
            <w:r w:rsidRPr="009C35C4">
              <w:rPr>
                <w:rFonts w:ascii="Arial" w:eastAsia="Times New Roman" w:hAnsi="Arial" w:cs="Arial"/>
                <w:bCs w:val="0"/>
                <w:sz w:val="16"/>
                <w:szCs w:val="14"/>
                <w:lang w:eastAsia="es-MX"/>
              </w:rPr>
              <w:t xml:space="preserve"> Corresponde al monto de las ADEFAS del ejercicio fiscal 2022</w:t>
            </w:r>
          </w:p>
          <w:p w14:paraId="64B0B19D" w14:textId="77777777" w:rsidR="0025731E" w:rsidRPr="0025731E" w:rsidRDefault="0025731E" w:rsidP="001B1D02">
            <w:pPr>
              <w:spacing w:line="276" w:lineRule="auto"/>
              <w:contextualSpacing/>
              <w:rPr>
                <w:rFonts w:ascii="Arial" w:hAnsi="Arial" w:cs="Arial"/>
                <w:b w:val="0"/>
                <w:sz w:val="14"/>
                <w:szCs w:val="14"/>
              </w:rPr>
            </w:pPr>
            <w:r w:rsidRPr="009C35C4">
              <w:rPr>
                <w:rFonts w:ascii="Arial" w:eastAsia="Times New Roman" w:hAnsi="Arial" w:cs="Arial"/>
                <w:bCs w:val="0"/>
                <w:sz w:val="16"/>
                <w:szCs w:val="14"/>
                <w:lang w:eastAsia="es-MX"/>
              </w:rPr>
              <w:t>Fuente:</w:t>
            </w:r>
            <w:r w:rsidRPr="009C35C4">
              <w:rPr>
                <w:rFonts w:ascii="Arial" w:eastAsia="Times New Roman" w:hAnsi="Arial" w:cs="Arial"/>
                <w:b w:val="0"/>
                <w:bCs w:val="0"/>
                <w:sz w:val="16"/>
                <w:szCs w:val="14"/>
                <w:lang w:eastAsia="es-MX"/>
              </w:rPr>
              <w:t xml:space="preserve"> Elaboración propia.</w:t>
            </w:r>
          </w:p>
        </w:tc>
      </w:tr>
    </w:tbl>
    <w:p w14:paraId="71D8D055" w14:textId="77777777" w:rsidR="0025731E" w:rsidRPr="0025731E" w:rsidRDefault="0025731E" w:rsidP="0025731E">
      <w:pPr>
        <w:rPr>
          <w:rFonts w:ascii="Arial" w:hAnsi="Arial" w:cs="Arial"/>
          <w:sz w:val="14"/>
        </w:rPr>
      </w:pPr>
    </w:p>
    <w:p w14:paraId="25BD40CB" w14:textId="77777777" w:rsidR="0025731E" w:rsidRPr="0025731E" w:rsidRDefault="0025731E" w:rsidP="0025731E">
      <w:pPr>
        <w:keepNext/>
        <w:keepLines/>
        <w:spacing w:before="40" w:after="0"/>
        <w:ind w:left="567"/>
        <w:outlineLvl w:val="3"/>
        <w:rPr>
          <w:rFonts w:ascii="Arial" w:eastAsiaTheme="majorEastAsia" w:hAnsi="Arial" w:cs="Arial"/>
          <w:b/>
          <w:i/>
          <w:iCs/>
          <w:color w:val="2E74B5" w:themeColor="accent1" w:themeShade="BF"/>
          <w:sz w:val="24"/>
          <w:szCs w:val="24"/>
        </w:rPr>
      </w:pPr>
      <w:r w:rsidRPr="0025731E">
        <w:rPr>
          <w:rFonts w:ascii="Arial" w:eastAsiaTheme="majorEastAsia" w:hAnsi="Arial" w:cs="Arial"/>
          <w:b/>
          <w:i/>
          <w:iCs/>
          <w:color w:val="2E74B5" w:themeColor="accent1" w:themeShade="BF"/>
          <w:sz w:val="24"/>
          <w:szCs w:val="24"/>
        </w:rPr>
        <w:t xml:space="preserve"> </w:t>
      </w:r>
      <w:r w:rsidRPr="0025731E">
        <w:rPr>
          <w:rFonts w:ascii="Arial" w:eastAsiaTheme="majorEastAsia" w:hAnsi="Arial" w:cs="Arial"/>
          <w:b/>
          <w:iCs/>
          <w:sz w:val="24"/>
          <w:lang w:val="es-ES" w:eastAsia="es-ES" w:bidi="es-ES"/>
        </w:rPr>
        <w:t>I.III.- Análisis de Indicadores</w:t>
      </w:r>
    </w:p>
    <w:p w14:paraId="686B8595" w14:textId="77777777" w:rsidR="0025731E" w:rsidRPr="0025731E" w:rsidRDefault="0025731E" w:rsidP="0025731E">
      <w:pPr>
        <w:widowControl w:val="0"/>
        <w:autoSpaceDE w:val="0"/>
        <w:autoSpaceDN w:val="0"/>
        <w:spacing w:before="4" w:after="0" w:line="240" w:lineRule="auto"/>
        <w:rPr>
          <w:rFonts w:ascii="Arial" w:eastAsia="Arial" w:hAnsi="Arial" w:cs="Arial"/>
          <w:b/>
          <w:sz w:val="14"/>
          <w:szCs w:val="24"/>
          <w:lang w:val="es-ES"/>
        </w:rPr>
      </w:pPr>
    </w:p>
    <w:p w14:paraId="7FF09D29" w14:textId="77777777" w:rsidR="0025731E" w:rsidRPr="0025731E" w:rsidRDefault="0025731E" w:rsidP="0025731E">
      <w:pPr>
        <w:ind w:left="567"/>
        <w:jc w:val="both"/>
        <w:rPr>
          <w:rFonts w:ascii="Arial" w:hAnsi="Arial" w:cs="Arial"/>
          <w:sz w:val="24"/>
          <w:szCs w:val="24"/>
        </w:rPr>
      </w:pPr>
      <w:r w:rsidRPr="0025731E">
        <w:rPr>
          <w:rFonts w:ascii="Arial" w:hAnsi="Arial" w:cs="Arial"/>
          <w:sz w:val="24"/>
          <w:szCs w:val="24"/>
        </w:rPr>
        <w:t>A continuación, se presentan los resultados obtenidos por los municipios, con base a las estadísticas trimestrales (4to. Trimestre) reportadas en la Secretaría de Hacienda y Crédito Público (SHCP) sobre la situación que guardan sus obligaciones financieras inscritas</w:t>
      </w:r>
      <w:r w:rsidRPr="0025731E">
        <w:rPr>
          <w:rFonts w:ascii="Arial" w:hAnsi="Arial" w:cs="Arial"/>
          <w:spacing w:val="-11"/>
          <w:sz w:val="24"/>
          <w:szCs w:val="24"/>
        </w:rPr>
        <w:t xml:space="preserve"> </w:t>
      </w:r>
      <w:r w:rsidRPr="0025731E">
        <w:rPr>
          <w:rFonts w:ascii="Arial" w:hAnsi="Arial" w:cs="Arial"/>
          <w:sz w:val="24"/>
          <w:szCs w:val="24"/>
        </w:rPr>
        <w:t>en</w:t>
      </w:r>
      <w:r w:rsidRPr="0025731E">
        <w:rPr>
          <w:rFonts w:ascii="Arial" w:hAnsi="Arial" w:cs="Arial"/>
          <w:spacing w:val="-13"/>
          <w:sz w:val="24"/>
          <w:szCs w:val="24"/>
        </w:rPr>
        <w:t xml:space="preserve"> </w:t>
      </w:r>
      <w:r w:rsidRPr="0025731E">
        <w:rPr>
          <w:rFonts w:ascii="Arial" w:hAnsi="Arial" w:cs="Arial"/>
          <w:sz w:val="24"/>
          <w:szCs w:val="24"/>
        </w:rPr>
        <w:t>el</w:t>
      </w:r>
      <w:r w:rsidRPr="0025731E">
        <w:rPr>
          <w:rFonts w:ascii="Arial" w:hAnsi="Arial" w:cs="Arial"/>
          <w:spacing w:val="-12"/>
          <w:sz w:val="24"/>
          <w:szCs w:val="24"/>
        </w:rPr>
        <w:t xml:space="preserve"> </w:t>
      </w:r>
      <w:r w:rsidRPr="0025731E">
        <w:rPr>
          <w:rFonts w:ascii="Arial" w:hAnsi="Arial" w:cs="Arial"/>
          <w:sz w:val="24"/>
          <w:szCs w:val="24"/>
        </w:rPr>
        <w:t>Registro</w:t>
      </w:r>
      <w:r w:rsidRPr="0025731E">
        <w:rPr>
          <w:rFonts w:ascii="Arial" w:hAnsi="Arial" w:cs="Arial"/>
          <w:spacing w:val="-13"/>
          <w:sz w:val="24"/>
          <w:szCs w:val="24"/>
        </w:rPr>
        <w:t xml:space="preserve"> </w:t>
      </w:r>
      <w:r w:rsidRPr="0025731E">
        <w:rPr>
          <w:rFonts w:ascii="Arial" w:hAnsi="Arial" w:cs="Arial"/>
          <w:sz w:val="24"/>
          <w:szCs w:val="24"/>
        </w:rPr>
        <w:t>de</w:t>
      </w:r>
      <w:r w:rsidRPr="0025731E">
        <w:rPr>
          <w:rFonts w:ascii="Arial" w:hAnsi="Arial" w:cs="Arial"/>
          <w:spacing w:val="-12"/>
          <w:sz w:val="24"/>
          <w:szCs w:val="24"/>
        </w:rPr>
        <w:t xml:space="preserve"> </w:t>
      </w:r>
      <w:r w:rsidRPr="0025731E">
        <w:rPr>
          <w:rFonts w:ascii="Arial" w:hAnsi="Arial" w:cs="Arial"/>
          <w:sz w:val="24"/>
          <w:szCs w:val="24"/>
        </w:rPr>
        <w:t>Obligaciones</w:t>
      </w:r>
      <w:r w:rsidRPr="0025731E">
        <w:rPr>
          <w:rFonts w:ascii="Arial" w:hAnsi="Arial" w:cs="Arial"/>
          <w:spacing w:val="-11"/>
          <w:sz w:val="24"/>
          <w:szCs w:val="24"/>
        </w:rPr>
        <w:t xml:space="preserve"> </w:t>
      </w:r>
      <w:r w:rsidRPr="0025731E">
        <w:rPr>
          <w:rFonts w:ascii="Arial" w:hAnsi="Arial" w:cs="Arial"/>
          <w:sz w:val="24"/>
          <w:szCs w:val="24"/>
        </w:rPr>
        <w:t>y</w:t>
      </w:r>
      <w:r w:rsidRPr="0025731E">
        <w:rPr>
          <w:rFonts w:ascii="Arial" w:hAnsi="Arial" w:cs="Arial"/>
          <w:spacing w:val="-11"/>
          <w:sz w:val="24"/>
          <w:szCs w:val="24"/>
        </w:rPr>
        <w:t xml:space="preserve"> </w:t>
      </w:r>
      <w:r w:rsidRPr="0025731E">
        <w:rPr>
          <w:rFonts w:ascii="Arial" w:hAnsi="Arial" w:cs="Arial"/>
          <w:sz w:val="24"/>
          <w:szCs w:val="24"/>
        </w:rPr>
        <w:t>Empréstitos</w:t>
      </w:r>
      <w:r w:rsidRPr="0025731E">
        <w:rPr>
          <w:rFonts w:ascii="Arial" w:hAnsi="Arial" w:cs="Arial"/>
          <w:spacing w:val="-10"/>
          <w:sz w:val="24"/>
          <w:szCs w:val="24"/>
        </w:rPr>
        <w:t xml:space="preserve"> </w:t>
      </w:r>
      <w:r w:rsidRPr="0025731E">
        <w:rPr>
          <w:rFonts w:ascii="Arial" w:hAnsi="Arial" w:cs="Arial"/>
          <w:sz w:val="24"/>
          <w:szCs w:val="24"/>
        </w:rPr>
        <w:t>de</w:t>
      </w:r>
      <w:r w:rsidRPr="0025731E">
        <w:rPr>
          <w:rFonts w:ascii="Arial" w:hAnsi="Arial" w:cs="Arial"/>
          <w:spacing w:val="-13"/>
          <w:sz w:val="24"/>
          <w:szCs w:val="24"/>
        </w:rPr>
        <w:t xml:space="preserve"> </w:t>
      </w:r>
      <w:r w:rsidRPr="0025731E">
        <w:rPr>
          <w:rFonts w:ascii="Arial" w:hAnsi="Arial" w:cs="Arial"/>
          <w:sz w:val="24"/>
          <w:szCs w:val="24"/>
        </w:rPr>
        <w:t>Entidades</w:t>
      </w:r>
      <w:r w:rsidRPr="0025731E">
        <w:rPr>
          <w:rFonts w:ascii="Arial" w:hAnsi="Arial" w:cs="Arial"/>
          <w:spacing w:val="-10"/>
          <w:sz w:val="24"/>
          <w:szCs w:val="24"/>
        </w:rPr>
        <w:t xml:space="preserve"> </w:t>
      </w:r>
      <w:r w:rsidRPr="0025731E">
        <w:rPr>
          <w:rFonts w:ascii="Arial" w:hAnsi="Arial" w:cs="Arial"/>
          <w:sz w:val="24"/>
          <w:szCs w:val="24"/>
        </w:rPr>
        <w:t>Federativas</w:t>
      </w:r>
      <w:r w:rsidRPr="0025731E">
        <w:rPr>
          <w:rFonts w:ascii="Arial" w:hAnsi="Arial" w:cs="Arial"/>
          <w:spacing w:val="-11"/>
          <w:sz w:val="24"/>
          <w:szCs w:val="24"/>
        </w:rPr>
        <w:t xml:space="preserve"> </w:t>
      </w:r>
      <w:r w:rsidRPr="0025731E">
        <w:rPr>
          <w:rFonts w:ascii="Arial" w:hAnsi="Arial" w:cs="Arial"/>
          <w:sz w:val="24"/>
          <w:szCs w:val="24"/>
        </w:rPr>
        <w:t>y</w:t>
      </w:r>
      <w:r w:rsidRPr="0025731E">
        <w:rPr>
          <w:rFonts w:ascii="Arial" w:hAnsi="Arial" w:cs="Arial"/>
          <w:spacing w:val="-11"/>
          <w:sz w:val="24"/>
          <w:szCs w:val="24"/>
        </w:rPr>
        <w:t xml:space="preserve"> </w:t>
      </w:r>
      <w:r w:rsidRPr="0025731E">
        <w:rPr>
          <w:rFonts w:ascii="Arial" w:hAnsi="Arial" w:cs="Arial"/>
          <w:sz w:val="24"/>
          <w:szCs w:val="24"/>
        </w:rPr>
        <w:t>Municipios</w:t>
      </w:r>
      <w:r w:rsidRPr="0025731E">
        <w:rPr>
          <w:rFonts w:ascii="Arial" w:hAnsi="Arial" w:cs="Arial"/>
          <w:spacing w:val="-10"/>
          <w:sz w:val="24"/>
          <w:szCs w:val="24"/>
        </w:rPr>
        <w:t xml:space="preserve"> </w:t>
      </w:r>
      <w:r w:rsidRPr="0025731E">
        <w:rPr>
          <w:rFonts w:ascii="Arial" w:hAnsi="Arial" w:cs="Arial"/>
          <w:sz w:val="24"/>
          <w:szCs w:val="24"/>
        </w:rPr>
        <w:t>y</w:t>
      </w:r>
      <w:r w:rsidRPr="0025731E">
        <w:rPr>
          <w:rFonts w:ascii="Arial" w:hAnsi="Arial" w:cs="Arial"/>
          <w:spacing w:val="-11"/>
          <w:sz w:val="24"/>
          <w:szCs w:val="24"/>
        </w:rPr>
        <w:t xml:space="preserve"> </w:t>
      </w:r>
      <w:r w:rsidRPr="0025731E">
        <w:rPr>
          <w:rFonts w:ascii="Arial" w:hAnsi="Arial" w:cs="Arial"/>
          <w:sz w:val="24"/>
          <w:szCs w:val="24"/>
        </w:rPr>
        <w:t>algunas</w:t>
      </w:r>
      <w:r w:rsidRPr="0025731E">
        <w:rPr>
          <w:rFonts w:ascii="Arial" w:hAnsi="Arial" w:cs="Arial"/>
          <w:spacing w:val="-11"/>
          <w:sz w:val="24"/>
          <w:szCs w:val="24"/>
        </w:rPr>
        <w:t xml:space="preserve"> </w:t>
      </w:r>
      <w:r w:rsidRPr="0025731E">
        <w:rPr>
          <w:rFonts w:ascii="Arial" w:hAnsi="Arial" w:cs="Arial"/>
          <w:sz w:val="24"/>
          <w:szCs w:val="24"/>
        </w:rPr>
        <w:t>otras</w:t>
      </w:r>
      <w:r w:rsidRPr="0025731E">
        <w:rPr>
          <w:rFonts w:ascii="Arial" w:hAnsi="Arial" w:cs="Arial"/>
          <w:spacing w:val="-10"/>
          <w:sz w:val="24"/>
          <w:szCs w:val="24"/>
        </w:rPr>
        <w:t xml:space="preserve"> </w:t>
      </w:r>
      <w:r w:rsidRPr="0025731E">
        <w:rPr>
          <w:rFonts w:ascii="Arial" w:hAnsi="Arial" w:cs="Arial"/>
          <w:sz w:val="24"/>
          <w:szCs w:val="24"/>
        </w:rPr>
        <w:t>obligaciones</w:t>
      </w:r>
      <w:r w:rsidRPr="0025731E">
        <w:rPr>
          <w:rFonts w:ascii="Arial" w:hAnsi="Arial" w:cs="Arial"/>
          <w:spacing w:val="-11"/>
          <w:sz w:val="24"/>
          <w:szCs w:val="24"/>
        </w:rPr>
        <w:t xml:space="preserve"> </w:t>
      </w:r>
      <w:r w:rsidRPr="0025731E">
        <w:rPr>
          <w:rFonts w:ascii="Arial" w:hAnsi="Arial" w:cs="Arial"/>
          <w:sz w:val="24"/>
          <w:szCs w:val="24"/>
        </w:rPr>
        <w:t>reportadas.</w:t>
      </w:r>
    </w:p>
    <w:p w14:paraId="4CCA2DA6" w14:textId="77777777" w:rsidR="0025731E" w:rsidRPr="0025731E" w:rsidRDefault="0025731E" w:rsidP="0025731E">
      <w:pPr>
        <w:spacing w:after="0"/>
        <w:ind w:left="567"/>
        <w:jc w:val="both"/>
        <w:rPr>
          <w:rFonts w:ascii="Arial" w:hAnsi="Arial" w:cs="Arial"/>
          <w:sz w:val="16"/>
          <w:szCs w:val="16"/>
        </w:rPr>
      </w:pPr>
    </w:p>
    <w:p w14:paraId="0346079C" w14:textId="77777777" w:rsidR="0025731E" w:rsidRPr="0025731E" w:rsidRDefault="0025731E" w:rsidP="0025731E">
      <w:pPr>
        <w:spacing w:after="0"/>
        <w:ind w:left="567"/>
        <w:jc w:val="center"/>
        <w:rPr>
          <w:rFonts w:ascii="Arial" w:hAnsi="Arial" w:cs="Arial"/>
          <w:b/>
          <w:sz w:val="16"/>
          <w:szCs w:val="24"/>
        </w:rPr>
      </w:pPr>
    </w:p>
    <w:p w14:paraId="309E9808" w14:textId="77777777" w:rsidR="0025731E" w:rsidRPr="0025731E" w:rsidRDefault="0025731E" w:rsidP="0025731E">
      <w:pPr>
        <w:spacing w:after="0"/>
        <w:ind w:left="567"/>
        <w:jc w:val="center"/>
        <w:rPr>
          <w:rFonts w:ascii="Arial" w:hAnsi="Arial" w:cs="Arial"/>
          <w:b/>
          <w:color w:val="262626" w:themeColor="text1" w:themeTint="D9"/>
          <w:szCs w:val="24"/>
        </w:rPr>
      </w:pPr>
      <w:r w:rsidRPr="0025731E">
        <w:rPr>
          <w:rFonts w:ascii="Arial" w:hAnsi="Arial" w:cs="Arial"/>
          <w:b/>
          <w:color w:val="262626" w:themeColor="text1" w:themeTint="D9"/>
          <w:szCs w:val="24"/>
        </w:rPr>
        <w:t>FINANCIAMIENTOS DE MUNICIPIOS POR TIPO DE ACREEDOR</w:t>
      </w:r>
    </w:p>
    <w:p w14:paraId="4F3B32C4" w14:textId="77777777" w:rsidR="0025731E" w:rsidRPr="0025731E" w:rsidRDefault="0025731E" w:rsidP="0025731E">
      <w:pPr>
        <w:spacing w:after="0"/>
        <w:ind w:left="567"/>
        <w:jc w:val="center"/>
        <w:rPr>
          <w:rFonts w:ascii="Arial" w:hAnsi="Arial" w:cs="Arial"/>
          <w:color w:val="262626" w:themeColor="text1" w:themeTint="D9"/>
          <w:szCs w:val="24"/>
        </w:rPr>
      </w:pPr>
      <w:r w:rsidRPr="0025731E">
        <w:rPr>
          <w:rFonts w:ascii="Arial" w:hAnsi="Arial" w:cs="Arial"/>
          <w:color w:val="262626" w:themeColor="text1" w:themeTint="D9"/>
          <w:szCs w:val="24"/>
        </w:rPr>
        <w:t>Al cierre de 2022 por Entidad Federativa y Municipio</w:t>
      </w:r>
    </w:p>
    <w:p w14:paraId="2D175B1A" w14:textId="77777777" w:rsidR="0025731E" w:rsidRPr="0025731E" w:rsidRDefault="0025731E" w:rsidP="0025731E">
      <w:pPr>
        <w:spacing w:after="0"/>
        <w:ind w:left="567"/>
        <w:jc w:val="center"/>
        <w:rPr>
          <w:rFonts w:ascii="Arial" w:hAnsi="Arial" w:cs="Arial"/>
          <w:sz w:val="24"/>
          <w:szCs w:val="24"/>
        </w:rPr>
      </w:pPr>
      <w:r w:rsidRPr="0025731E">
        <w:rPr>
          <w:rFonts w:ascii="Arial" w:hAnsi="Arial" w:cs="Arial"/>
          <w:color w:val="262626" w:themeColor="text1" w:themeTint="D9"/>
          <w:szCs w:val="24"/>
        </w:rPr>
        <w:t>(Millones de Pesos)</w:t>
      </w:r>
    </w:p>
    <w:tbl>
      <w:tblPr>
        <w:tblStyle w:val="Cuadrculadetablaclara2"/>
        <w:tblW w:w="0" w:type="auto"/>
        <w:jc w:val="center"/>
        <w:tblLook w:val="04A0" w:firstRow="1" w:lastRow="0" w:firstColumn="1" w:lastColumn="0" w:noHBand="0" w:noVBand="1"/>
      </w:tblPr>
      <w:tblGrid>
        <w:gridCol w:w="1955"/>
        <w:gridCol w:w="1373"/>
        <w:gridCol w:w="1413"/>
        <w:gridCol w:w="1339"/>
        <w:gridCol w:w="1339"/>
      </w:tblGrid>
      <w:tr w:rsidR="00074C5E" w:rsidRPr="0025731E" w14:paraId="4746CE0A" w14:textId="77777777" w:rsidTr="00074C5E">
        <w:trPr>
          <w:trHeight w:val="81"/>
          <w:jc w:val="center"/>
        </w:trPr>
        <w:tc>
          <w:tcPr>
            <w:tcW w:w="1955" w:type="dxa"/>
          </w:tcPr>
          <w:p w14:paraId="740EBC60" w14:textId="77777777" w:rsidR="00074C5E" w:rsidRPr="0025731E" w:rsidRDefault="00074C5E" w:rsidP="0025731E">
            <w:pPr>
              <w:jc w:val="both"/>
              <w:rPr>
                <w:rFonts w:ascii="Arial" w:hAnsi="Arial" w:cs="Arial"/>
                <w:b/>
                <w:sz w:val="20"/>
                <w:szCs w:val="20"/>
              </w:rPr>
            </w:pPr>
          </w:p>
        </w:tc>
        <w:tc>
          <w:tcPr>
            <w:tcW w:w="1373" w:type="dxa"/>
          </w:tcPr>
          <w:p w14:paraId="745D9719" w14:textId="77777777" w:rsidR="00074C5E" w:rsidRPr="0025731E" w:rsidRDefault="00074C5E" w:rsidP="0025731E">
            <w:pPr>
              <w:jc w:val="both"/>
              <w:rPr>
                <w:rFonts w:ascii="Arial" w:hAnsi="Arial" w:cs="Arial"/>
                <w:b/>
                <w:sz w:val="20"/>
                <w:szCs w:val="20"/>
              </w:rPr>
            </w:pPr>
          </w:p>
        </w:tc>
        <w:tc>
          <w:tcPr>
            <w:tcW w:w="1413" w:type="dxa"/>
          </w:tcPr>
          <w:p w14:paraId="457A8D66" w14:textId="77777777" w:rsidR="00074C5E" w:rsidRPr="0025731E" w:rsidRDefault="00074C5E" w:rsidP="0025731E">
            <w:pPr>
              <w:jc w:val="both"/>
              <w:rPr>
                <w:rFonts w:ascii="Arial" w:hAnsi="Arial" w:cs="Arial"/>
                <w:b/>
                <w:sz w:val="20"/>
                <w:szCs w:val="20"/>
              </w:rPr>
            </w:pPr>
          </w:p>
        </w:tc>
        <w:tc>
          <w:tcPr>
            <w:tcW w:w="1339" w:type="dxa"/>
          </w:tcPr>
          <w:p w14:paraId="098F4A84" w14:textId="77777777" w:rsidR="00074C5E" w:rsidRPr="0025731E" w:rsidRDefault="00074C5E" w:rsidP="0025731E">
            <w:pPr>
              <w:jc w:val="both"/>
              <w:rPr>
                <w:rFonts w:ascii="Arial" w:hAnsi="Arial" w:cs="Arial"/>
                <w:b/>
                <w:sz w:val="20"/>
                <w:szCs w:val="20"/>
              </w:rPr>
            </w:pPr>
          </w:p>
        </w:tc>
        <w:tc>
          <w:tcPr>
            <w:tcW w:w="1339" w:type="dxa"/>
          </w:tcPr>
          <w:p w14:paraId="592A4FDE" w14:textId="77777777" w:rsidR="00074C5E" w:rsidRPr="0025731E" w:rsidRDefault="00074C5E" w:rsidP="0025731E">
            <w:pPr>
              <w:jc w:val="both"/>
              <w:rPr>
                <w:rFonts w:ascii="Arial" w:hAnsi="Arial" w:cs="Arial"/>
                <w:b/>
                <w:sz w:val="20"/>
                <w:szCs w:val="20"/>
              </w:rPr>
            </w:pPr>
          </w:p>
        </w:tc>
      </w:tr>
      <w:tr w:rsidR="00074C5E" w:rsidRPr="0025731E" w14:paraId="2842E683" w14:textId="77777777" w:rsidTr="00074C5E">
        <w:trPr>
          <w:jc w:val="center"/>
        </w:trPr>
        <w:tc>
          <w:tcPr>
            <w:tcW w:w="1955" w:type="dxa"/>
            <w:shd w:val="clear" w:color="auto" w:fill="A5A5A5" w:themeFill="accent3"/>
            <w:vAlign w:val="center"/>
          </w:tcPr>
          <w:p w14:paraId="025B4009" w14:textId="77777777" w:rsidR="00074C5E" w:rsidRPr="0025731E" w:rsidRDefault="00074C5E" w:rsidP="0025731E">
            <w:pPr>
              <w:jc w:val="center"/>
              <w:rPr>
                <w:rFonts w:ascii="Arial" w:hAnsi="Arial" w:cs="Arial"/>
                <w:b/>
                <w:i/>
                <w:color w:val="FFFFFF" w:themeColor="background1"/>
                <w:sz w:val="18"/>
                <w:szCs w:val="18"/>
              </w:rPr>
            </w:pPr>
            <w:r w:rsidRPr="0025731E">
              <w:rPr>
                <w:rFonts w:ascii="Arial" w:hAnsi="Arial" w:cs="Arial"/>
                <w:b/>
                <w:i/>
                <w:color w:val="FFFFFF" w:themeColor="background1"/>
                <w:sz w:val="18"/>
                <w:szCs w:val="18"/>
              </w:rPr>
              <w:t>Entidad/Municipios</w:t>
            </w:r>
          </w:p>
        </w:tc>
        <w:tc>
          <w:tcPr>
            <w:tcW w:w="1373" w:type="dxa"/>
            <w:shd w:val="clear" w:color="auto" w:fill="A5A5A5" w:themeFill="accent3"/>
          </w:tcPr>
          <w:p w14:paraId="01B44A0D" w14:textId="77777777" w:rsidR="00074C5E" w:rsidRPr="0025731E" w:rsidRDefault="00074C5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t>Banca Múltiple</w:t>
            </w:r>
          </w:p>
        </w:tc>
        <w:tc>
          <w:tcPr>
            <w:tcW w:w="1413" w:type="dxa"/>
            <w:shd w:val="clear" w:color="auto" w:fill="A5A5A5" w:themeFill="accent3"/>
          </w:tcPr>
          <w:p w14:paraId="7C8991B7" w14:textId="77777777" w:rsidR="00074C5E" w:rsidRPr="0025731E" w:rsidRDefault="00074C5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t>Banca de Desarrollo</w:t>
            </w:r>
          </w:p>
        </w:tc>
        <w:tc>
          <w:tcPr>
            <w:tcW w:w="1339" w:type="dxa"/>
            <w:shd w:val="clear" w:color="auto" w:fill="A5A5A5" w:themeFill="accent3"/>
          </w:tcPr>
          <w:p w14:paraId="44A804C6" w14:textId="77777777" w:rsidR="00074C5E" w:rsidRPr="0025731E" w:rsidRDefault="00074C5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t xml:space="preserve">Otros </w:t>
            </w:r>
            <w:r w:rsidRPr="0025731E">
              <w:rPr>
                <w:rFonts w:ascii="Arial" w:eastAsia="Times New Roman" w:hAnsi="Arial" w:cs="Arial"/>
                <w:b/>
                <w:bCs/>
                <w:color w:val="FFFFFF" w:themeColor="background1"/>
                <w:sz w:val="18"/>
                <w:szCs w:val="18"/>
                <w:vertAlign w:val="superscript"/>
                <w:lang w:eastAsia="es-MX"/>
              </w:rPr>
              <w:t>1_/</w:t>
            </w:r>
          </w:p>
        </w:tc>
        <w:tc>
          <w:tcPr>
            <w:tcW w:w="1339" w:type="dxa"/>
            <w:shd w:val="clear" w:color="auto" w:fill="A5A5A5" w:themeFill="accent3"/>
          </w:tcPr>
          <w:p w14:paraId="7CCBF678" w14:textId="77777777" w:rsidR="00074C5E" w:rsidRPr="0025731E" w:rsidRDefault="00074C5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t xml:space="preserve">Saldo </w:t>
            </w:r>
          </w:p>
          <w:p w14:paraId="37BB51EE" w14:textId="77777777" w:rsidR="00074C5E" w:rsidRPr="0025731E" w:rsidRDefault="00074C5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t>Total</w:t>
            </w:r>
          </w:p>
        </w:tc>
      </w:tr>
      <w:tr w:rsidR="00074C5E" w:rsidRPr="0025731E" w14:paraId="7BC01285" w14:textId="77777777" w:rsidTr="00074C5E">
        <w:trPr>
          <w:trHeight w:val="276"/>
          <w:jc w:val="center"/>
        </w:trPr>
        <w:tc>
          <w:tcPr>
            <w:tcW w:w="1955" w:type="dxa"/>
          </w:tcPr>
          <w:p w14:paraId="2991FB45" w14:textId="77777777" w:rsidR="00074C5E" w:rsidRPr="0025731E" w:rsidRDefault="00074C5E" w:rsidP="0025731E">
            <w:pPr>
              <w:jc w:val="both"/>
              <w:rPr>
                <w:rFonts w:ascii="Arial" w:hAnsi="Arial" w:cs="Arial"/>
                <w:b/>
                <w:sz w:val="18"/>
                <w:szCs w:val="18"/>
              </w:rPr>
            </w:pPr>
            <w:r w:rsidRPr="0025731E">
              <w:rPr>
                <w:rFonts w:ascii="Arial" w:hAnsi="Arial" w:cs="Arial"/>
                <w:b/>
                <w:sz w:val="18"/>
                <w:szCs w:val="18"/>
              </w:rPr>
              <w:t>Quintana Roo</w:t>
            </w:r>
          </w:p>
        </w:tc>
        <w:tc>
          <w:tcPr>
            <w:tcW w:w="1373" w:type="dxa"/>
          </w:tcPr>
          <w:p w14:paraId="60614B13" w14:textId="77777777" w:rsidR="00074C5E" w:rsidRPr="0025731E" w:rsidRDefault="00074C5E" w:rsidP="0025731E">
            <w:pPr>
              <w:jc w:val="center"/>
              <w:rPr>
                <w:rFonts w:ascii="Arial" w:hAnsi="Arial" w:cs="Arial"/>
                <w:b/>
                <w:sz w:val="18"/>
                <w:szCs w:val="18"/>
              </w:rPr>
            </w:pPr>
            <w:r w:rsidRPr="0025731E">
              <w:rPr>
                <w:rFonts w:ascii="Arial" w:hAnsi="Arial" w:cs="Arial"/>
                <w:b/>
                <w:sz w:val="18"/>
                <w:szCs w:val="18"/>
              </w:rPr>
              <w:t>1,469</w:t>
            </w:r>
          </w:p>
        </w:tc>
        <w:tc>
          <w:tcPr>
            <w:tcW w:w="1413" w:type="dxa"/>
          </w:tcPr>
          <w:p w14:paraId="0F89FCE9" w14:textId="77777777" w:rsidR="00074C5E" w:rsidRPr="0025731E" w:rsidRDefault="00074C5E" w:rsidP="0025731E">
            <w:pPr>
              <w:jc w:val="center"/>
              <w:rPr>
                <w:rFonts w:ascii="Arial" w:hAnsi="Arial" w:cs="Arial"/>
                <w:b/>
                <w:sz w:val="18"/>
                <w:szCs w:val="18"/>
              </w:rPr>
            </w:pPr>
            <w:r w:rsidRPr="0025731E">
              <w:rPr>
                <w:rFonts w:ascii="Arial" w:hAnsi="Arial" w:cs="Arial"/>
                <w:b/>
                <w:sz w:val="18"/>
                <w:szCs w:val="18"/>
              </w:rPr>
              <w:t>639</w:t>
            </w:r>
          </w:p>
        </w:tc>
        <w:tc>
          <w:tcPr>
            <w:tcW w:w="1339" w:type="dxa"/>
          </w:tcPr>
          <w:p w14:paraId="3BB8246D" w14:textId="77777777" w:rsidR="00074C5E" w:rsidRPr="0025731E" w:rsidRDefault="00074C5E" w:rsidP="0025731E">
            <w:pPr>
              <w:jc w:val="center"/>
              <w:rPr>
                <w:rFonts w:ascii="Arial" w:hAnsi="Arial" w:cs="Arial"/>
                <w:b/>
                <w:sz w:val="18"/>
                <w:szCs w:val="18"/>
              </w:rPr>
            </w:pPr>
            <w:r w:rsidRPr="0025731E">
              <w:rPr>
                <w:rFonts w:ascii="Arial" w:hAnsi="Arial" w:cs="Arial"/>
                <w:b/>
                <w:sz w:val="18"/>
                <w:szCs w:val="18"/>
              </w:rPr>
              <w:t>91</w:t>
            </w:r>
          </w:p>
        </w:tc>
        <w:tc>
          <w:tcPr>
            <w:tcW w:w="1339" w:type="dxa"/>
          </w:tcPr>
          <w:p w14:paraId="225A42C4" w14:textId="77777777" w:rsidR="00074C5E" w:rsidRPr="0025731E" w:rsidRDefault="00074C5E" w:rsidP="0025731E">
            <w:pPr>
              <w:jc w:val="center"/>
              <w:rPr>
                <w:rFonts w:ascii="Arial" w:hAnsi="Arial" w:cs="Arial"/>
                <w:b/>
                <w:sz w:val="18"/>
                <w:szCs w:val="18"/>
              </w:rPr>
            </w:pPr>
            <w:r w:rsidRPr="0025731E">
              <w:rPr>
                <w:rFonts w:ascii="Arial" w:hAnsi="Arial" w:cs="Arial"/>
                <w:b/>
                <w:sz w:val="18"/>
                <w:szCs w:val="18"/>
              </w:rPr>
              <w:t>2,199</w:t>
            </w:r>
          </w:p>
        </w:tc>
      </w:tr>
      <w:tr w:rsidR="00074C5E" w:rsidRPr="0025731E" w14:paraId="0A9A314A" w14:textId="77777777" w:rsidTr="00074C5E">
        <w:trPr>
          <w:trHeight w:val="281"/>
          <w:jc w:val="center"/>
        </w:trPr>
        <w:tc>
          <w:tcPr>
            <w:tcW w:w="1955" w:type="dxa"/>
          </w:tcPr>
          <w:p w14:paraId="129376CC" w14:textId="77777777" w:rsidR="00074C5E" w:rsidRPr="0025731E" w:rsidRDefault="00074C5E" w:rsidP="0025731E">
            <w:pPr>
              <w:jc w:val="both"/>
              <w:rPr>
                <w:rFonts w:ascii="Arial" w:hAnsi="Arial" w:cs="Arial"/>
                <w:sz w:val="18"/>
                <w:szCs w:val="18"/>
              </w:rPr>
            </w:pPr>
            <w:r w:rsidRPr="0025731E">
              <w:rPr>
                <w:rFonts w:ascii="Arial" w:hAnsi="Arial" w:cs="Arial"/>
                <w:sz w:val="18"/>
                <w:szCs w:val="18"/>
              </w:rPr>
              <w:t>Cozumel</w:t>
            </w:r>
          </w:p>
        </w:tc>
        <w:tc>
          <w:tcPr>
            <w:tcW w:w="1373" w:type="dxa"/>
          </w:tcPr>
          <w:p w14:paraId="3E413AF7"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c>
          <w:tcPr>
            <w:tcW w:w="1413" w:type="dxa"/>
          </w:tcPr>
          <w:p w14:paraId="677FDAD0"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431</w:t>
            </w:r>
          </w:p>
        </w:tc>
        <w:tc>
          <w:tcPr>
            <w:tcW w:w="1339" w:type="dxa"/>
          </w:tcPr>
          <w:p w14:paraId="2EFA4989"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c>
          <w:tcPr>
            <w:tcW w:w="1339" w:type="dxa"/>
          </w:tcPr>
          <w:p w14:paraId="52E3DCCB"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431</w:t>
            </w:r>
          </w:p>
        </w:tc>
      </w:tr>
      <w:tr w:rsidR="00074C5E" w:rsidRPr="0025731E" w14:paraId="5BC6BF46" w14:textId="77777777" w:rsidTr="00074C5E">
        <w:trPr>
          <w:trHeight w:val="285"/>
          <w:jc w:val="center"/>
        </w:trPr>
        <w:tc>
          <w:tcPr>
            <w:tcW w:w="1955" w:type="dxa"/>
          </w:tcPr>
          <w:p w14:paraId="586199AE" w14:textId="77777777" w:rsidR="00074C5E" w:rsidRPr="0025731E" w:rsidRDefault="00074C5E" w:rsidP="0025731E">
            <w:pPr>
              <w:jc w:val="both"/>
              <w:rPr>
                <w:rFonts w:ascii="Arial" w:hAnsi="Arial" w:cs="Arial"/>
                <w:sz w:val="18"/>
                <w:szCs w:val="18"/>
              </w:rPr>
            </w:pPr>
            <w:r w:rsidRPr="0025731E">
              <w:rPr>
                <w:rFonts w:ascii="Arial" w:hAnsi="Arial" w:cs="Arial"/>
                <w:sz w:val="18"/>
                <w:szCs w:val="18"/>
              </w:rPr>
              <w:t>Felipe Carrillo Puerto</w:t>
            </w:r>
          </w:p>
        </w:tc>
        <w:tc>
          <w:tcPr>
            <w:tcW w:w="1373" w:type="dxa"/>
          </w:tcPr>
          <w:p w14:paraId="33519216"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c>
          <w:tcPr>
            <w:tcW w:w="1413" w:type="dxa"/>
          </w:tcPr>
          <w:p w14:paraId="5B5E22B8"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c>
          <w:tcPr>
            <w:tcW w:w="1339" w:type="dxa"/>
          </w:tcPr>
          <w:p w14:paraId="4566C6AF"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c>
          <w:tcPr>
            <w:tcW w:w="1339" w:type="dxa"/>
          </w:tcPr>
          <w:p w14:paraId="12E0F940"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r>
      <w:tr w:rsidR="00074C5E" w:rsidRPr="0025731E" w14:paraId="1274B0B0" w14:textId="77777777" w:rsidTr="00074C5E">
        <w:trPr>
          <w:trHeight w:val="275"/>
          <w:jc w:val="center"/>
        </w:trPr>
        <w:tc>
          <w:tcPr>
            <w:tcW w:w="1955" w:type="dxa"/>
          </w:tcPr>
          <w:p w14:paraId="72A4D504" w14:textId="77777777" w:rsidR="00074C5E" w:rsidRPr="0025731E" w:rsidRDefault="00074C5E" w:rsidP="0025731E">
            <w:pPr>
              <w:jc w:val="both"/>
              <w:rPr>
                <w:rFonts w:ascii="Arial" w:hAnsi="Arial" w:cs="Arial"/>
                <w:sz w:val="18"/>
                <w:szCs w:val="18"/>
              </w:rPr>
            </w:pPr>
            <w:r w:rsidRPr="0025731E">
              <w:rPr>
                <w:rFonts w:ascii="Arial" w:hAnsi="Arial" w:cs="Arial"/>
                <w:sz w:val="18"/>
                <w:szCs w:val="18"/>
              </w:rPr>
              <w:t>Othón P. Blanco</w:t>
            </w:r>
          </w:p>
        </w:tc>
        <w:tc>
          <w:tcPr>
            <w:tcW w:w="1373" w:type="dxa"/>
          </w:tcPr>
          <w:p w14:paraId="388CEC92"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c>
          <w:tcPr>
            <w:tcW w:w="1413" w:type="dxa"/>
          </w:tcPr>
          <w:p w14:paraId="115C6918"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208</w:t>
            </w:r>
          </w:p>
        </w:tc>
        <w:tc>
          <w:tcPr>
            <w:tcW w:w="1339" w:type="dxa"/>
          </w:tcPr>
          <w:p w14:paraId="21387F35"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91</w:t>
            </w:r>
          </w:p>
        </w:tc>
        <w:tc>
          <w:tcPr>
            <w:tcW w:w="1339" w:type="dxa"/>
          </w:tcPr>
          <w:p w14:paraId="0F74E4A8"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299</w:t>
            </w:r>
          </w:p>
        </w:tc>
      </w:tr>
      <w:tr w:rsidR="00074C5E" w:rsidRPr="0025731E" w14:paraId="264A0111" w14:textId="77777777" w:rsidTr="00074C5E">
        <w:trPr>
          <w:trHeight w:val="265"/>
          <w:jc w:val="center"/>
        </w:trPr>
        <w:tc>
          <w:tcPr>
            <w:tcW w:w="1955" w:type="dxa"/>
          </w:tcPr>
          <w:p w14:paraId="21AB177F" w14:textId="77777777" w:rsidR="00074C5E" w:rsidRPr="0025731E" w:rsidRDefault="00074C5E" w:rsidP="0025731E">
            <w:pPr>
              <w:jc w:val="both"/>
              <w:rPr>
                <w:rFonts w:ascii="Arial" w:hAnsi="Arial" w:cs="Arial"/>
                <w:sz w:val="18"/>
                <w:szCs w:val="18"/>
              </w:rPr>
            </w:pPr>
            <w:r w:rsidRPr="0025731E">
              <w:rPr>
                <w:rFonts w:ascii="Arial" w:hAnsi="Arial" w:cs="Arial"/>
                <w:sz w:val="18"/>
                <w:szCs w:val="18"/>
              </w:rPr>
              <w:t>Benito Juárez</w:t>
            </w:r>
          </w:p>
        </w:tc>
        <w:tc>
          <w:tcPr>
            <w:tcW w:w="1373" w:type="dxa"/>
          </w:tcPr>
          <w:p w14:paraId="3BB12885"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898</w:t>
            </w:r>
          </w:p>
        </w:tc>
        <w:tc>
          <w:tcPr>
            <w:tcW w:w="1413" w:type="dxa"/>
          </w:tcPr>
          <w:p w14:paraId="166C57CD"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c>
          <w:tcPr>
            <w:tcW w:w="1339" w:type="dxa"/>
          </w:tcPr>
          <w:p w14:paraId="55711303"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c>
          <w:tcPr>
            <w:tcW w:w="1339" w:type="dxa"/>
          </w:tcPr>
          <w:p w14:paraId="6DF33520"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898</w:t>
            </w:r>
          </w:p>
        </w:tc>
      </w:tr>
      <w:tr w:rsidR="00074C5E" w:rsidRPr="0025731E" w14:paraId="28C07E9D" w14:textId="77777777" w:rsidTr="00074C5E">
        <w:trPr>
          <w:trHeight w:val="166"/>
          <w:jc w:val="center"/>
        </w:trPr>
        <w:tc>
          <w:tcPr>
            <w:tcW w:w="1955" w:type="dxa"/>
          </w:tcPr>
          <w:p w14:paraId="0017A725" w14:textId="77777777" w:rsidR="00074C5E" w:rsidRPr="0025731E" w:rsidRDefault="00074C5E" w:rsidP="0025731E">
            <w:pPr>
              <w:jc w:val="both"/>
              <w:rPr>
                <w:rFonts w:ascii="Arial" w:hAnsi="Arial" w:cs="Arial"/>
                <w:sz w:val="18"/>
                <w:szCs w:val="18"/>
              </w:rPr>
            </w:pPr>
            <w:r w:rsidRPr="0025731E">
              <w:rPr>
                <w:rFonts w:ascii="Arial" w:hAnsi="Arial" w:cs="Arial"/>
                <w:sz w:val="18"/>
                <w:szCs w:val="18"/>
              </w:rPr>
              <w:t>Solidaridad</w:t>
            </w:r>
          </w:p>
        </w:tc>
        <w:tc>
          <w:tcPr>
            <w:tcW w:w="1373" w:type="dxa"/>
          </w:tcPr>
          <w:p w14:paraId="2673F23C"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570</w:t>
            </w:r>
          </w:p>
        </w:tc>
        <w:tc>
          <w:tcPr>
            <w:tcW w:w="1413" w:type="dxa"/>
          </w:tcPr>
          <w:p w14:paraId="4920BFB0"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c>
          <w:tcPr>
            <w:tcW w:w="1339" w:type="dxa"/>
          </w:tcPr>
          <w:p w14:paraId="0866ACE4"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w:t>
            </w:r>
          </w:p>
        </w:tc>
        <w:tc>
          <w:tcPr>
            <w:tcW w:w="1339" w:type="dxa"/>
          </w:tcPr>
          <w:p w14:paraId="66035428" w14:textId="77777777" w:rsidR="00074C5E" w:rsidRPr="0025731E" w:rsidRDefault="00074C5E" w:rsidP="0025731E">
            <w:pPr>
              <w:jc w:val="center"/>
              <w:rPr>
                <w:rFonts w:ascii="Arial" w:hAnsi="Arial" w:cs="Arial"/>
                <w:sz w:val="18"/>
                <w:szCs w:val="18"/>
              </w:rPr>
            </w:pPr>
            <w:r w:rsidRPr="0025731E">
              <w:rPr>
                <w:rFonts w:ascii="Arial" w:hAnsi="Arial" w:cs="Arial"/>
                <w:sz w:val="18"/>
                <w:szCs w:val="18"/>
              </w:rPr>
              <w:t>570</w:t>
            </w:r>
          </w:p>
        </w:tc>
      </w:tr>
      <w:tr w:rsidR="00074C5E" w:rsidRPr="0025731E" w14:paraId="431028B4" w14:textId="77777777" w:rsidTr="00074C5E">
        <w:trPr>
          <w:jc w:val="center"/>
        </w:trPr>
        <w:tc>
          <w:tcPr>
            <w:tcW w:w="7419" w:type="dxa"/>
            <w:gridSpan w:val="5"/>
            <w:tcBorders>
              <w:left w:val="nil"/>
              <w:bottom w:val="nil"/>
              <w:right w:val="nil"/>
            </w:tcBorders>
          </w:tcPr>
          <w:p w14:paraId="7BC61F14" w14:textId="77777777" w:rsidR="00074C5E" w:rsidRPr="009C35C4" w:rsidRDefault="00074C5E" w:rsidP="0025731E">
            <w:pPr>
              <w:jc w:val="both"/>
              <w:rPr>
                <w:rFonts w:ascii="Arial" w:eastAsia="Times New Roman" w:hAnsi="Arial" w:cs="Arial"/>
                <w:bCs/>
                <w:sz w:val="14"/>
                <w:szCs w:val="12"/>
                <w:lang w:eastAsia="es-MX"/>
              </w:rPr>
            </w:pPr>
            <w:r w:rsidRPr="009C35C4">
              <w:rPr>
                <w:rFonts w:ascii="Arial" w:eastAsia="Times New Roman" w:hAnsi="Arial" w:cs="Arial"/>
                <w:b/>
                <w:bCs/>
                <w:sz w:val="14"/>
                <w:szCs w:val="12"/>
                <w:lang w:eastAsia="es-MX"/>
              </w:rPr>
              <w:t>Fuente:</w:t>
            </w:r>
            <w:r w:rsidRPr="009C35C4">
              <w:rPr>
                <w:rFonts w:ascii="Arial" w:eastAsia="Times New Roman" w:hAnsi="Arial" w:cs="Arial"/>
                <w:bCs/>
                <w:sz w:val="14"/>
                <w:szCs w:val="12"/>
                <w:lang w:eastAsia="es-MX"/>
              </w:rPr>
              <w:t xml:space="preserve"> Elaborado por la Dirección General Adjunta de Deuda Pública de Entidades Federativas y Municipios de la Unidad de Coordinación con Entidades Federativas, Secretaría de Hacienda y Crédito Público, con información proporcionada por las Entidades Federativas a través del Sistema del Registro Público Único.</w:t>
            </w:r>
          </w:p>
          <w:p w14:paraId="7AA33E7E" w14:textId="77777777" w:rsidR="00074C5E" w:rsidRPr="009C35C4" w:rsidRDefault="00074C5E" w:rsidP="0025731E">
            <w:pPr>
              <w:jc w:val="both"/>
              <w:rPr>
                <w:rFonts w:ascii="Arial" w:eastAsia="Times New Roman" w:hAnsi="Arial" w:cs="Arial"/>
                <w:bCs/>
                <w:sz w:val="14"/>
                <w:szCs w:val="12"/>
                <w:lang w:eastAsia="es-MX"/>
              </w:rPr>
            </w:pPr>
          </w:p>
          <w:p w14:paraId="63A16E45" w14:textId="77777777" w:rsidR="00074C5E" w:rsidRPr="0025731E" w:rsidRDefault="00074C5E" w:rsidP="0025731E">
            <w:pPr>
              <w:jc w:val="both"/>
              <w:rPr>
                <w:rFonts w:ascii="Arial" w:hAnsi="Arial" w:cs="Arial"/>
                <w:sz w:val="20"/>
                <w:szCs w:val="20"/>
              </w:rPr>
            </w:pPr>
            <w:r w:rsidRPr="009C35C4">
              <w:rPr>
                <w:rFonts w:ascii="Arial" w:eastAsia="Times New Roman" w:hAnsi="Arial" w:cs="Arial"/>
                <w:bCs/>
                <w:sz w:val="14"/>
                <w:szCs w:val="12"/>
                <w:lang w:eastAsia="es-MX"/>
              </w:rPr>
              <w:t>1_/ Corporación Financiera de América del Norte, Empresa Consultoría Energética de América, Fideicomiso Fondo Nacional de Habitaciones Populares, Fideicomiso Fondo Revolvente Sonora, Financiera Local, Fintegra Financiamiento, Instituto para el Desarrollo y Financiamiento del Estado de Quintana Roo, y Lumo Financiera del Centro.</w:t>
            </w:r>
          </w:p>
        </w:tc>
      </w:tr>
    </w:tbl>
    <w:p w14:paraId="5DF660D9" w14:textId="77777777" w:rsidR="0025731E" w:rsidRPr="0025731E" w:rsidRDefault="0025731E" w:rsidP="0025731E">
      <w:pPr>
        <w:jc w:val="both"/>
        <w:rPr>
          <w:rFonts w:ascii="Arial" w:hAnsi="Arial" w:cs="Arial"/>
        </w:rPr>
      </w:pPr>
    </w:p>
    <w:p w14:paraId="4FEE4E68" w14:textId="77777777" w:rsidR="0025731E" w:rsidRDefault="0025731E" w:rsidP="0025731E">
      <w:pPr>
        <w:ind w:left="567"/>
        <w:jc w:val="both"/>
        <w:rPr>
          <w:rFonts w:ascii="Arial" w:hAnsi="Arial" w:cs="Arial"/>
          <w:sz w:val="2"/>
        </w:rPr>
      </w:pPr>
    </w:p>
    <w:p w14:paraId="0442C300" w14:textId="77777777" w:rsidR="00CF11A3" w:rsidRDefault="00CF11A3" w:rsidP="0025731E">
      <w:pPr>
        <w:ind w:left="567"/>
        <w:jc w:val="both"/>
        <w:rPr>
          <w:rFonts w:ascii="Arial" w:hAnsi="Arial" w:cs="Arial"/>
          <w:sz w:val="2"/>
        </w:rPr>
      </w:pPr>
    </w:p>
    <w:p w14:paraId="103F9AF7" w14:textId="77777777" w:rsidR="00CF11A3" w:rsidRDefault="00CF11A3" w:rsidP="0025731E">
      <w:pPr>
        <w:ind w:left="567"/>
        <w:jc w:val="both"/>
        <w:rPr>
          <w:rFonts w:ascii="Arial" w:hAnsi="Arial" w:cs="Arial"/>
          <w:sz w:val="2"/>
        </w:rPr>
      </w:pPr>
    </w:p>
    <w:p w14:paraId="73289F8A" w14:textId="77777777" w:rsidR="00CF11A3" w:rsidRDefault="00CF11A3" w:rsidP="0025731E">
      <w:pPr>
        <w:ind w:left="567"/>
        <w:jc w:val="both"/>
        <w:rPr>
          <w:rFonts w:ascii="Arial" w:hAnsi="Arial" w:cs="Arial"/>
          <w:sz w:val="2"/>
        </w:rPr>
      </w:pPr>
    </w:p>
    <w:p w14:paraId="787D589B" w14:textId="77777777" w:rsidR="00CF11A3" w:rsidRDefault="00CF11A3" w:rsidP="0025731E">
      <w:pPr>
        <w:ind w:left="567"/>
        <w:jc w:val="both"/>
        <w:rPr>
          <w:rFonts w:ascii="Arial" w:hAnsi="Arial" w:cs="Arial"/>
          <w:sz w:val="2"/>
        </w:rPr>
      </w:pPr>
    </w:p>
    <w:p w14:paraId="7BBD2CAA" w14:textId="77777777" w:rsidR="00CF11A3" w:rsidRDefault="00CF11A3" w:rsidP="0025731E">
      <w:pPr>
        <w:ind w:left="567"/>
        <w:jc w:val="both"/>
        <w:rPr>
          <w:rFonts w:ascii="Arial" w:hAnsi="Arial" w:cs="Arial"/>
          <w:sz w:val="2"/>
        </w:rPr>
      </w:pPr>
    </w:p>
    <w:p w14:paraId="2367676D" w14:textId="77777777" w:rsidR="00CF11A3" w:rsidRPr="0025731E" w:rsidRDefault="00CF11A3" w:rsidP="0025731E">
      <w:pPr>
        <w:ind w:left="567"/>
        <w:jc w:val="both"/>
        <w:rPr>
          <w:rFonts w:ascii="Arial" w:hAnsi="Arial" w:cs="Arial"/>
          <w:sz w:val="2"/>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23"/>
        <w:gridCol w:w="1813"/>
        <w:gridCol w:w="1418"/>
        <w:gridCol w:w="1134"/>
        <w:gridCol w:w="998"/>
      </w:tblGrid>
      <w:tr w:rsidR="0025731E" w:rsidRPr="0025731E" w14:paraId="43576A1B" w14:textId="77777777" w:rsidTr="00EE243C">
        <w:trPr>
          <w:trHeight w:val="227"/>
          <w:jc w:val="center"/>
        </w:trPr>
        <w:tc>
          <w:tcPr>
            <w:tcW w:w="8086" w:type="dxa"/>
            <w:gridSpan w:val="5"/>
            <w:shd w:val="clear" w:color="auto" w:fill="A5A5A5" w:themeFill="accent3"/>
          </w:tcPr>
          <w:p w14:paraId="50F78934" w14:textId="77777777" w:rsidR="0025731E" w:rsidRPr="0025731E" w:rsidRDefault="0025731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lastRenderedPageBreak/>
              <w:t>Porcentaje de Participaciones Afectado por Municipio</w:t>
            </w:r>
          </w:p>
        </w:tc>
      </w:tr>
      <w:tr w:rsidR="0025731E" w:rsidRPr="0025731E" w14:paraId="0D1C560B" w14:textId="77777777" w:rsidTr="00EE243C">
        <w:trPr>
          <w:trHeight w:val="1061"/>
          <w:jc w:val="center"/>
        </w:trPr>
        <w:tc>
          <w:tcPr>
            <w:tcW w:w="2723" w:type="dxa"/>
            <w:shd w:val="clear" w:color="auto" w:fill="A5A5A5" w:themeFill="accent3"/>
          </w:tcPr>
          <w:p w14:paraId="0B8E5BF6" w14:textId="77777777" w:rsidR="0025731E" w:rsidRPr="0025731E" w:rsidRDefault="0025731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t>Municipio por Entidad Quintana Roo</w:t>
            </w:r>
          </w:p>
        </w:tc>
        <w:tc>
          <w:tcPr>
            <w:tcW w:w="1813" w:type="dxa"/>
            <w:shd w:val="clear" w:color="auto" w:fill="A5A5A5" w:themeFill="accent3"/>
          </w:tcPr>
          <w:p w14:paraId="6F6AB126" w14:textId="77777777" w:rsidR="0025731E" w:rsidRPr="0025731E" w:rsidRDefault="0025731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t>Fondo General de Participaciones</w:t>
            </w:r>
          </w:p>
        </w:tc>
        <w:tc>
          <w:tcPr>
            <w:tcW w:w="1418" w:type="dxa"/>
            <w:shd w:val="clear" w:color="auto" w:fill="A5A5A5" w:themeFill="accent3"/>
          </w:tcPr>
          <w:p w14:paraId="6B1AF544" w14:textId="77777777" w:rsidR="0025731E" w:rsidRPr="0025731E" w:rsidRDefault="0025731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t>Fondo de Fomento Municipal</w:t>
            </w:r>
          </w:p>
        </w:tc>
        <w:tc>
          <w:tcPr>
            <w:tcW w:w="1134" w:type="dxa"/>
            <w:shd w:val="clear" w:color="auto" w:fill="A5A5A5" w:themeFill="accent3"/>
          </w:tcPr>
          <w:p w14:paraId="0440124A" w14:textId="77777777" w:rsidR="0025731E" w:rsidRPr="0025731E" w:rsidRDefault="0025731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t>Otros</w:t>
            </w:r>
          </w:p>
        </w:tc>
        <w:tc>
          <w:tcPr>
            <w:tcW w:w="998" w:type="dxa"/>
            <w:shd w:val="clear" w:color="auto" w:fill="A5A5A5" w:themeFill="accent3"/>
          </w:tcPr>
          <w:p w14:paraId="290A599B" w14:textId="77777777" w:rsidR="0025731E" w:rsidRPr="0025731E" w:rsidRDefault="0025731E" w:rsidP="0025731E">
            <w:pPr>
              <w:jc w:val="center"/>
              <w:rPr>
                <w:rFonts w:ascii="Arial" w:hAnsi="Arial" w:cs="Arial"/>
                <w:b/>
                <w:color w:val="FFFFFF" w:themeColor="background1"/>
                <w:sz w:val="18"/>
                <w:szCs w:val="18"/>
              </w:rPr>
            </w:pPr>
            <w:r w:rsidRPr="0025731E">
              <w:rPr>
                <w:rFonts w:ascii="Arial" w:hAnsi="Arial" w:cs="Arial"/>
                <w:b/>
                <w:color w:val="FFFFFF" w:themeColor="background1"/>
                <w:sz w:val="18"/>
                <w:szCs w:val="18"/>
              </w:rPr>
              <w:t>Total</w:t>
            </w:r>
          </w:p>
        </w:tc>
      </w:tr>
      <w:tr w:rsidR="0025731E" w:rsidRPr="0025731E" w14:paraId="46640F68" w14:textId="77777777" w:rsidTr="00EE243C">
        <w:trPr>
          <w:trHeight w:val="283"/>
          <w:jc w:val="center"/>
        </w:trPr>
        <w:tc>
          <w:tcPr>
            <w:tcW w:w="2723" w:type="dxa"/>
          </w:tcPr>
          <w:p w14:paraId="131DA975" w14:textId="77777777" w:rsidR="0025731E" w:rsidRPr="0025731E" w:rsidRDefault="0025731E" w:rsidP="0025731E">
            <w:pPr>
              <w:widowControl w:val="0"/>
              <w:autoSpaceDE w:val="0"/>
              <w:autoSpaceDN w:val="0"/>
              <w:spacing w:after="0" w:line="240" w:lineRule="auto"/>
              <w:ind w:left="107"/>
              <w:rPr>
                <w:rFonts w:ascii="Arial" w:eastAsia="Arial" w:hAnsi="Arial" w:cs="Arial"/>
                <w:b/>
                <w:i/>
                <w:sz w:val="18"/>
                <w:szCs w:val="18"/>
                <w:lang w:val="es-ES"/>
              </w:rPr>
            </w:pPr>
            <w:r w:rsidRPr="0025731E">
              <w:rPr>
                <w:rFonts w:ascii="Arial" w:eastAsia="Arial" w:hAnsi="Arial" w:cs="Arial"/>
                <w:b/>
                <w:i/>
                <w:sz w:val="18"/>
                <w:szCs w:val="18"/>
                <w:lang w:val="es-ES"/>
              </w:rPr>
              <w:t>Benito Juárez</w:t>
            </w:r>
          </w:p>
        </w:tc>
        <w:tc>
          <w:tcPr>
            <w:tcW w:w="1813" w:type="dxa"/>
          </w:tcPr>
          <w:p w14:paraId="73FAAF96"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63%</w:t>
            </w:r>
          </w:p>
        </w:tc>
        <w:tc>
          <w:tcPr>
            <w:tcW w:w="1418" w:type="dxa"/>
          </w:tcPr>
          <w:p w14:paraId="732F15A2"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1134" w:type="dxa"/>
          </w:tcPr>
          <w:p w14:paraId="705DE9B3"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998" w:type="dxa"/>
          </w:tcPr>
          <w:p w14:paraId="5DDB6FFC"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36.1%</w:t>
            </w:r>
          </w:p>
        </w:tc>
      </w:tr>
      <w:tr w:rsidR="0025731E" w:rsidRPr="0025731E" w14:paraId="139B7E13" w14:textId="77777777" w:rsidTr="00EE243C">
        <w:trPr>
          <w:trHeight w:val="283"/>
          <w:jc w:val="center"/>
        </w:trPr>
        <w:tc>
          <w:tcPr>
            <w:tcW w:w="2723" w:type="dxa"/>
          </w:tcPr>
          <w:p w14:paraId="07AFE219" w14:textId="77777777" w:rsidR="0025731E" w:rsidRPr="0025731E" w:rsidRDefault="0025731E" w:rsidP="0025731E">
            <w:pPr>
              <w:widowControl w:val="0"/>
              <w:autoSpaceDE w:val="0"/>
              <w:autoSpaceDN w:val="0"/>
              <w:spacing w:after="0" w:line="240" w:lineRule="auto"/>
              <w:ind w:left="107"/>
              <w:rPr>
                <w:rFonts w:ascii="Arial" w:eastAsia="Arial" w:hAnsi="Arial" w:cs="Arial"/>
                <w:b/>
                <w:i/>
                <w:sz w:val="18"/>
                <w:szCs w:val="18"/>
                <w:lang w:val="es-ES"/>
              </w:rPr>
            </w:pPr>
            <w:r w:rsidRPr="0025731E">
              <w:rPr>
                <w:rFonts w:ascii="Arial" w:eastAsia="Arial" w:hAnsi="Arial" w:cs="Arial"/>
                <w:b/>
                <w:i/>
                <w:sz w:val="18"/>
                <w:szCs w:val="18"/>
                <w:lang w:val="es-ES"/>
              </w:rPr>
              <w:t>Cozumel</w:t>
            </w:r>
          </w:p>
        </w:tc>
        <w:tc>
          <w:tcPr>
            <w:tcW w:w="1813" w:type="dxa"/>
          </w:tcPr>
          <w:p w14:paraId="0181A058"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81%</w:t>
            </w:r>
          </w:p>
        </w:tc>
        <w:tc>
          <w:tcPr>
            <w:tcW w:w="1418" w:type="dxa"/>
          </w:tcPr>
          <w:p w14:paraId="64F0F97A"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1134" w:type="dxa"/>
          </w:tcPr>
          <w:p w14:paraId="0B9FAF4A"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998" w:type="dxa"/>
          </w:tcPr>
          <w:p w14:paraId="08147364"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52.0%</w:t>
            </w:r>
          </w:p>
        </w:tc>
      </w:tr>
      <w:tr w:rsidR="0025731E" w:rsidRPr="0025731E" w14:paraId="58B246B3" w14:textId="77777777" w:rsidTr="00EE243C">
        <w:trPr>
          <w:trHeight w:val="283"/>
          <w:jc w:val="center"/>
        </w:trPr>
        <w:tc>
          <w:tcPr>
            <w:tcW w:w="2723" w:type="dxa"/>
          </w:tcPr>
          <w:p w14:paraId="4F4061F6" w14:textId="77777777" w:rsidR="0025731E" w:rsidRPr="0025731E" w:rsidRDefault="0025731E" w:rsidP="0025731E">
            <w:pPr>
              <w:widowControl w:val="0"/>
              <w:autoSpaceDE w:val="0"/>
              <w:autoSpaceDN w:val="0"/>
              <w:spacing w:after="0" w:line="240" w:lineRule="auto"/>
              <w:ind w:left="107"/>
              <w:rPr>
                <w:rFonts w:ascii="Arial" w:eastAsia="Arial" w:hAnsi="Arial" w:cs="Arial"/>
                <w:b/>
                <w:i/>
                <w:sz w:val="18"/>
                <w:szCs w:val="18"/>
                <w:lang w:val="es-ES"/>
              </w:rPr>
            </w:pPr>
            <w:r w:rsidRPr="0025731E">
              <w:rPr>
                <w:rFonts w:ascii="Arial" w:eastAsia="Arial" w:hAnsi="Arial" w:cs="Arial"/>
                <w:b/>
                <w:i/>
                <w:sz w:val="18"/>
                <w:szCs w:val="18"/>
                <w:lang w:val="es-ES"/>
              </w:rPr>
              <w:t>Felipe Carrillo Puerto</w:t>
            </w:r>
          </w:p>
        </w:tc>
        <w:tc>
          <w:tcPr>
            <w:tcW w:w="1813" w:type="dxa"/>
          </w:tcPr>
          <w:p w14:paraId="73FB0A02"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1418" w:type="dxa"/>
          </w:tcPr>
          <w:p w14:paraId="00BBE14C"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1134" w:type="dxa"/>
          </w:tcPr>
          <w:p w14:paraId="42BEC9BF"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998" w:type="dxa"/>
          </w:tcPr>
          <w:p w14:paraId="2C4E7384"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r>
      <w:tr w:rsidR="0025731E" w:rsidRPr="0025731E" w14:paraId="3DF9ADCB" w14:textId="77777777" w:rsidTr="00EE243C">
        <w:trPr>
          <w:trHeight w:val="283"/>
          <w:jc w:val="center"/>
        </w:trPr>
        <w:tc>
          <w:tcPr>
            <w:tcW w:w="2723" w:type="dxa"/>
          </w:tcPr>
          <w:p w14:paraId="4A4F2043" w14:textId="77777777" w:rsidR="0025731E" w:rsidRPr="0025731E" w:rsidRDefault="0025731E" w:rsidP="0025731E">
            <w:pPr>
              <w:widowControl w:val="0"/>
              <w:autoSpaceDE w:val="0"/>
              <w:autoSpaceDN w:val="0"/>
              <w:spacing w:after="0" w:line="240" w:lineRule="auto"/>
              <w:ind w:left="107"/>
              <w:rPr>
                <w:rFonts w:ascii="Arial" w:eastAsia="Arial" w:hAnsi="Arial" w:cs="Arial"/>
                <w:b/>
                <w:i/>
                <w:sz w:val="18"/>
                <w:szCs w:val="18"/>
                <w:lang w:val="es-ES"/>
              </w:rPr>
            </w:pPr>
            <w:r w:rsidRPr="0025731E">
              <w:rPr>
                <w:rFonts w:ascii="Arial" w:eastAsia="Arial" w:hAnsi="Arial" w:cs="Arial"/>
                <w:b/>
                <w:i/>
                <w:sz w:val="18"/>
                <w:szCs w:val="18"/>
                <w:lang w:val="es-ES"/>
              </w:rPr>
              <w:t>Isla Mujeres</w:t>
            </w:r>
          </w:p>
        </w:tc>
        <w:tc>
          <w:tcPr>
            <w:tcW w:w="1813" w:type="dxa"/>
          </w:tcPr>
          <w:p w14:paraId="58957F02"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8%</w:t>
            </w:r>
          </w:p>
        </w:tc>
        <w:tc>
          <w:tcPr>
            <w:tcW w:w="1418" w:type="dxa"/>
          </w:tcPr>
          <w:p w14:paraId="7A36534E"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1134" w:type="dxa"/>
          </w:tcPr>
          <w:p w14:paraId="1126C08A"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998" w:type="dxa"/>
          </w:tcPr>
          <w:p w14:paraId="16B52283"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5.5%</w:t>
            </w:r>
          </w:p>
        </w:tc>
      </w:tr>
      <w:tr w:rsidR="0025731E" w:rsidRPr="0025731E" w14:paraId="5930780A" w14:textId="77777777" w:rsidTr="00EE243C">
        <w:trPr>
          <w:trHeight w:val="283"/>
          <w:jc w:val="center"/>
        </w:trPr>
        <w:tc>
          <w:tcPr>
            <w:tcW w:w="2723" w:type="dxa"/>
          </w:tcPr>
          <w:p w14:paraId="2E8D130C" w14:textId="77777777" w:rsidR="0025731E" w:rsidRPr="0025731E" w:rsidRDefault="0025731E" w:rsidP="0025731E">
            <w:pPr>
              <w:widowControl w:val="0"/>
              <w:autoSpaceDE w:val="0"/>
              <w:autoSpaceDN w:val="0"/>
              <w:spacing w:after="0" w:line="240" w:lineRule="auto"/>
              <w:ind w:left="107"/>
              <w:rPr>
                <w:rFonts w:ascii="Arial" w:eastAsia="Arial" w:hAnsi="Arial" w:cs="Arial"/>
                <w:b/>
                <w:i/>
                <w:sz w:val="18"/>
                <w:szCs w:val="18"/>
                <w:lang w:val="es-ES"/>
              </w:rPr>
            </w:pPr>
            <w:r w:rsidRPr="0025731E">
              <w:rPr>
                <w:rFonts w:ascii="Arial" w:eastAsia="Arial" w:hAnsi="Arial" w:cs="Arial"/>
                <w:b/>
                <w:i/>
                <w:sz w:val="18"/>
                <w:szCs w:val="18"/>
                <w:lang w:val="es-ES"/>
              </w:rPr>
              <w:t>Lázaro Cárdenas</w:t>
            </w:r>
          </w:p>
        </w:tc>
        <w:tc>
          <w:tcPr>
            <w:tcW w:w="1813" w:type="dxa"/>
          </w:tcPr>
          <w:p w14:paraId="75208614"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6%</w:t>
            </w:r>
          </w:p>
        </w:tc>
        <w:tc>
          <w:tcPr>
            <w:tcW w:w="1418" w:type="dxa"/>
          </w:tcPr>
          <w:p w14:paraId="7BC49B7B"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1134" w:type="dxa"/>
          </w:tcPr>
          <w:p w14:paraId="408DC561"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998" w:type="dxa"/>
          </w:tcPr>
          <w:p w14:paraId="19D9F248"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4.0%</w:t>
            </w:r>
          </w:p>
        </w:tc>
      </w:tr>
      <w:tr w:rsidR="0025731E" w:rsidRPr="0025731E" w14:paraId="5DF192C8" w14:textId="77777777" w:rsidTr="00EE243C">
        <w:trPr>
          <w:trHeight w:val="283"/>
          <w:jc w:val="center"/>
        </w:trPr>
        <w:tc>
          <w:tcPr>
            <w:tcW w:w="2723" w:type="dxa"/>
          </w:tcPr>
          <w:p w14:paraId="337A0734" w14:textId="77777777" w:rsidR="0025731E" w:rsidRPr="0025731E" w:rsidRDefault="0025731E" w:rsidP="0025731E">
            <w:pPr>
              <w:widowControl w:val="0"/>
              <w:autoSpaceDE w:val="0"/>
              <w:autoSpaceDN w:val="0"/>
              <w:spacing w:after="0" w:line="240" w:lineRule="auto"/>
              <w:ind w:left="107"/>
              <w:rPr>
                <w:rFonts w:ascii="Arial" w:eastAsia="Arial" w:hAnsi="Arial" w:cs="Arial"/>
                <w:b/>
                <w:i/>
                <w:sz w:val="18"/>
                <w:szCs w:val="18"/>
                <w:lang w:val="es-ES"/>
              </w:rPr>
            </w:pPr>
            <w:r w:rsidRPr="0025731E">
              <w:rPr>
                <w:rFonts w:ascii="Arial" w:eastAsia="Arial" w:hAnsi="Arial" w:cs="Arial"/>
                <w:b/>
                <w:i/>
                <w:sz w:val="18"/>
                <w:szCs w:val="18"/>
                <w:lang w:val="es-ES"/>
              </w:rPr>
              <w:t>Othón P. Blanco</w:t>
            </w:r>
          </w:p>
        </w:tc>
        <w:tc>
          <w:tcPr>
            <w:tcW w:w="1813" w:type="dxa"/>
          </w:tcPr>
          <w:p w14:paraId="6B731B1F"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100%</w:t>
            </w:r>
          </w:p>
        </w:tc>
        <w:tc>
          <w:tcPr>
            <w:tcW w:w="1418" w:type="dxa"/>
          </w:tcPr>
          <w:p w14:paraId="39E46E2C"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60%</w:t>
            </w:r>
          </w:p>
        </w:tc>
        <w:tc>
          <w:tcPr>
            <w:tcW w:w="1134" w:type="dxa"/>
          </w:tcPr>
          <w:p w14:paraId="0B6355D8"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w:t>
            </w:r>
          </w:p>
        </w:tc>
        <w:tc>
          <w:tcPr>
            <w:tcW w:w="998" w:type="dxa"/>
          </w:tcPr>
          <w:p w14:paraId="7CE0FA5C"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78.4%</w:t>
            </w:r>
          </w:p>
        </w:tc>
      </w:tr>
      <w:tr w:rsidR="0025731E" w:rsidRPr="0025731E" w14:paraId="0DD2EB8E" w14:textId="77777777" w:rsidTr="00EE243C">
        <w:trPr>
          <w:trHeight w:val="283"/>
          <w:jc w:val="center"/>
        </w:trPr>
        <w:tc>
          <w:tcPr>
            <w:tcW w:w="2723" w:type="dxa"/>
          </w:tcPr>
          <w:p w14:paraId="1798EA23" w14:textId="77777777" w:rsidR="0025731E" w:rsidRPr="0025731E" w:rsidRDefault="0025731E" w:rsidP="0025731E">
            <w:pPr>
              <w:widowControl w:val="0"/>
              <w:autoSpaceDE w:val="0"/>
              <w:autoSpaceDN w:val="0"/>
              <w:spacing w:after="0" w:line="240" w:lineRule="auto"/>
              <w:ind w:left="107"/>
              <w:rPr>
                <w:rFonts w:ascii="Arial" w:eastAsia="Arial" w:hAnsi="Arial" w:cs="Arial"/>
                <w:b/>
                <w:i/>
                <w:sz w:val="18"/>
                <w:szCs w:val="18"/>
                <w:lang w:val="es-ES"/>
              </w:rPr>
            </w:pPr>
            <w:r w:rsidRPr="0025731E">
              <w:rPr>
                <w:rFonts w:ascii="Arial" w:eastAsia="Arial" w:hAnsi="Arial" w:cs="Arial"/>
                <w:b/>
                <w:i/>
                <w:sz w:val="18"/>
                <w:szCs w:val="18"/>
                <w:lang w:val="es-ES"/>
              </w:rPr>
              <w:t>Solidaridad</w:t>
            </w:r>
          </w:p>
        </w:tc>
        <w:tc>
          <w:tcPr>
            <w:tcW w:w="1813" w:type="dxa"/>
          </w:tcPr>
          <w:p w14:paraId="605AEE45"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100%</w:t>
            </w:r>
          </w:p>
        </w:tc>
        <w:tc>
          <w:tcPr>
            <w:tcW w:w="1418" w:type="dxa"/>
          </w:tcPr>
          <w:p w14:paraId="1B73B7B1"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100%</w:t>
            </w:r>
          </w:p>
        </w:tc>
        <w:tc>
          <w:tcPr>
            <w:tcW w:w="1134" w:type="dxa"/>
          </w:tcPr>
          <w:p w14:paraId="415AC6FC"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25%</w:t>
            </w:r>
          </w:p>
        </w:tc>
        <w:tc>
          <w:tcPr>
            <w:tcW w:w="998" w:type="dxa"/>
          </w:tcPr>
          <w:p w14:paraId="5290888A" w14:textId="77777777" w:rsidR="0025731E" w:rsidRPr="0025731E" w:rsidRDefault="0025731E" w:rsidP="0025731E">
            <w:pPr>
              <w:jc w:val="center"/>
              <w:rPr>
                <w:rFonts w:ascii="Arial" w:hAnsi="Arial" w:cs="Arial"/>
                <w:sz w:val="18"/>
                <w:szCs w:val="18"/>
              </w:rPr>
            </w:pPr>
            <w:r w:rsidRPr="0025731E">
              <w:rPr>
                <w:rFonts w:ascii="Arial" w:hAnsi="Arial" w:cs="Arial"/>
                <w:sz w:val="18"/>
                <w:szCs w:val="18"/>
              </w:rPr>
              <w:t>77.2%</w:t>
            </w:r>
          </w:p>
        </w:tc>
      </w:tr>
    </w:tbl>
    <w:p w14:paraId="6FA35CC2" w14:textId="77777777" w:rsidR="0025731E" w:rsidRPr="0025731E" w:rsidRDefault="0025731E" w:rsidP="0025731E">
      <w:pPr>
        <w:spacing w:after="0" w:line="240" w:lineRule="auto"/>
        <w:ind w:left="709" w:right="476"/>
        <w:jc w:val="both"/>
        <w:rPr>
          <w:rFonts w:ascii="Arial" w:eastAsia="Times New Roman" w:hAnsi="Arial" w:cs="Arial"/>
          <w:bCs/>
          <w:color w:val="404040" w:themeColor="text1" w:themeTint="BF"/>
          <w:sz w:val="12"/>
          <w:szCs w:val="12"/>
          <w:lang w:eastAsia="es-MX"/>
        </w:rPr>
      </w:pPr>
      <w:r w:rsidRPr="0025731E">
        <w:rPr>
          <w:rFonts w:ascii="Arial" w:eastAsia="Times New Roman" w:hAnsi="Arial" w:cs="Arial"/>
          <w:b/>
          <w:bCs/>
          <w:color w:val="404040" w:themeColor="text1" w:themeTint="BF"/>
          <w:sz w:val="12"/>
          <w:szCs w:val="12"/>
          <w:lang w:eastAsia="es-MX"/>
        </w:rPr>
        <w:t>Fuente:</w:t>
      </w:r>
      <w:r w:rsidRPr="0025731E">
        <w:rPr>
          <w:rFonts w:ascii="Arial" w:eastAsia="Times New Roman" w:hAnsi="Arial" w:cs="Arial"/>
          <w:bCs/>
          <w:color w:val="404040" w:themeColor="text1" w:themeTint="BF"/>
          <w:sz w:val="12"/>
          <w:szCs w:val="12"/>
          <w:lang w:eastAsia="es-MX"/>
        </w:rPr>
        <w:t xml:space="preserve"> Elaborado por la Dirección General Adjunta de Deuda Pública de Entidades Federativas y Municipios de la Unidad de Coordinación con Entidades Federativas, Secretaría de Hacienda y Crédito Público, con información proporcionada por las Entidades Federativas a través del Sistema del Registro Público Único.</w:t>
      </w:r>
    </w:p>
    <w:p w14:paraId="692A64D4" w14:textId="77777777" w:rsidR="0025731E" w:rsidRPr="0025731E" w:rsidRDefault="0025731E" w:rsidP="0025731E">
      <w:pPr>
        <w:spacing w:after="0" w:line="240" w:lineRule="auto"/>
        <w:ind w:left="709" w:right="476"/>
        <w:jc w:val="both"/>
        <w:rPr>
          <w:rFonts w:ascii="Arial" w:eastAsia="Times New Roman" w:hAnsi="Arial" w:cs="Arial"/>
          <w:bCs/>
          <w:color w:val="404040" w:themeColor="text1" w:themeTint="BF"/>
          <w:sz w:val="12"/>
          <w:szCs w:val="12"/>
          <w:lang w:eastAsia="es-MX"/>
        </w:rPr>
      </w:pPr>
    </w:p>
    <w:p w14:paraId="1A6AF7A7" w14:textId="77777777" w:rsidR="0025731E" w:rsidRPr="0025731E" w:rsidRDefault="0025731E" w:rsidP="0025731E">
      <w:pPr>
        <w:spacing w:after="0" w:line="240" w:lineRule="auto"/>
        <w:ind w:left="709" w:right="476"/>
        <w:jc w:val="both"/>
        <w:rPr>
          <w:rFonts w:ascii="Arial" w:eastAsia="Times New Roman" w:hAnsi="Arial" w:cs="Arial"/>
          <w:bCs/>
          <w:color w:val="404040" w:themeColor="text1" w:themeTint="BF"/>
          <w:sz w:val="12"/>
          <w:szCs w:val="12"/>
          <w:lang w:eastAsia="es-MX"/>
        </w:rPr>
      </w:pPr>
      <w:r w:rsidRPr="0025731E">
        <w:rPr>
          <w:rFonts w:ascii="Arial" w:eastAsia="Times New Roman" w:hAnsi="Arial" w:cs="Arial"/>
          <w:bCs/>
          <w:color w:val="404040" w:themeColor="text1" w:themeTint="BF"/>
          <w:sz w:val="12"/>
          <w:szCs w:val="12"/>
          <w:lang w:eastAsia="es-MX"/>
        </w:rPr>
        <w:t>1_/ Los porcentajes de participaciones afectados por los municipios corresponden a los recursos depositados por la Tesorería de la Federación o Tesorerías Estatales, por instrucción de dichos municipios, a un vehículo de pago (fideicomiso) o los recursos, que en su caso, se utilizan para pagar una obligación bajo un mandato o una instrucción irrevocable enviada por los mismos. Es importante señalar, que no necesariamente reflejan el monto que se utiliza para pagar los financiamientos u obligaciones contraídas. El porcentaje de participaciones afectado informado no hace distinción sobre un fondo específico de participaciones.</w:t>
      </w:r>
    </w:p>
    <w:p w14:paraId="14AB84F5" w14:textId="77777777" w:rsidR="0025731E" w:rsidRPr="0025731E" w:rsidRDefault="0025731E" w:rsidP="0025731E">
      <w:pPr>
        <w:spacing w:before="202"/>
        <w:ind w:left="426" w:right="417"/>
        <w:jc w:val="both"/>
        <w:rPr>
          <w:rFonts w:ascii="Arial" w:hAnsi="Arial" w:cs="Arial"/>
          <w:b/>
          <w:sz w:val="16"/>
          <w:szCs w:val="16"/>
        </w:rPr>
      </w:pPr>
    </w:p>
    <w:p w14:paraId="131862D4" w14:textId="77777777" w:rsidR="0025731E" w:rsidRPr="0025731E" w:rsidRDefault="0025731E" w:rsidP="0025731E">
      <w:pPr>
        <w:keepNext/>
        <w:keepLines/>
        <w:spacing w:before="40" w:after="0"/>
        <w:ind w:left="567"/>
        <w:outlineLvl w:val="3"/>
        <w:rPr>
          <w:rFonts w:ascii="Arial" w:eastAsiaTheme="majorEastAsia" w:hAnsi="Arial" w:cs="Arial"/>
          <w:b/>
          <w:iCs/>
          <w:sz w:val="4"/>
          <w:lang w:val="es-ES" w:eastAsia="es-ES" w:bidi="es-ES"/>
        </w:rPr>
      </w:pPr>
      <w:bookmarkStart w:id="55" w:name="_Toc63343882"/>
      <w:bookmarkStart w:id="56" w:name="_Toc63344559"/>
      <w:bookmarkStart w:id="57" w:name="_Toc63346542"/>
      <w:bookmarkStart w:id="58" w:name="_Toc63433281"/>
    </w:p>
    <w:p w14:paraId="29941EDB" w14:textId="77777777" w:rsidR="0025731E" w:rsidRPr="0025731E" w:rsidRDefault="0025731E" w:rsidP="0025731E">
      <w:pPr>
        <w:keepNext/>
        <w:keepLines/>
        <w:spacing w:before="40" w:after="0"/>
        <w:ind w:left="567"/>
        <w:outlineLvl w:val="3"/>
        <w:rPr>
          <w:rFonts w:ascii="Arial" w:eastAsiaTheme="majorEastAsia" w:hAnsi="Arial" w:cs="Arial"/>
          <w:b/>
          <w:iCs/>
          <w:sz w:val="24"/>
          <w:lang w:val="es-ES" w:eastAsia="es-ES" w:bidi="es-ES"/>
        </w:rPr>
      </w:pPr>
      <w:r w:rsidRPr="0025731E">
        <w:rPr>
          <w:rFonts w:ascii="Arial" w:eastAsiaTheme="majorEastAsia" w:hAnsi="Arial" w:cs="Arial"/>
          <w:b/>
          <w:iCs/>
          <w:sz w:val="24"/>
          <w:lang w:val="es-ES" w:eastAsia="es-ES" w:bidi="es-ES"/>
        </w:rPr>
        <w:t>I.IV.- Conclusiones</w:t>
      </w:r>
      <w:bookmarkEnd w:id="55"/>
      <w:bookmarkEnd w:id="56"/>
      <w:bookmarkEnd w:id="57"/>
      <w:bookmarkEnd w:id="58"/>
    </w:p>
    <w:p w14:paraId="3270881C" w14:textId="77777777" w:rsidR="0025731E" w:rsidRPr="0025731E" w:rsidRDefault="0025731E" w:rsidP="0025731E">
      <w:pPr>
        <w:widowControl w:val="0"/>
        <w:autoSpaceDE w:val="0"/>
        <w:autoSpaceDN w:val="0"/>
        <w:spacing w:after="0" w:line="240" w:lineRule="auto"/>
        <w:ind w:left="567" w:firstLine="1"/>
        <w:rPr>
          <w:rFonts w:ascii="Arial" w:eastAsia="Arial" w:hAnsi="Arial" w:cs="Arial"/>
          <w:b/>
          <w:sz w:val="14"/>
          <w:szCs w:val="24"/>
          <w:lang w:val="es-ES"/>
        </w:rPr>
      </w:pPr>
    </w:p>
    <w:p w14:paraId="222257C4" w14:textId="77777777" w:rsidR="0025731E" w:rsidRPr="0025731E" w:rsidRDefault="0025731E" w:rsidP="0025731E">
      <w:pPr>
        <w:widowControl w:val="0"/>
        <w:autoSpaceDE w:val="0"/>
        <w:autoSpaceDN w:val="0"/>
        <w:spacing w:after="0" w:line="240" w:lineRule="auto"/>
        <w:ind w:left="567" w:firstLine="1"/>
        <w:rPr>
          <w:rFonts w:ascii="Arial" w:eastAsia="Arial" w:hAnsi="Arial" w:cs="Arial"/>
          <w:b/>
          <w:sz w:val="2"/>
          <w:szCs w:val="24"/>
          <w:lang w:val="es-ES"/>
        </w:rPr>
      </w:pPr>
    </w:p>
    <w:p w14:paraId="1A8DB985" w14:textId="77777777" w:rsidR="0025731E" w:rsidRPr="0025731E" w:rsidRDefault="0025731E" w:rsidP="0025731E">
      <w:pPr>
        <w:widowControl w:val="0"/>
        <w:autoSpaceDE w:val="0"/>
        <w:autoSpaceDN w:val="0"/>
        <w:spacing w:after="0" w:line="276" w:lineRule="auto"/>
        <w:ind w:left="567" w:firstLine="1"/>
        <w:jc w:val="both"/>
        <w:rPr>
          <w:rFonts w:ascii="Arial" w:eastAsia="Arial" w:hAnsi="Arial" w:cs="Arial"/>
          <w:sz w:val="24"/>
          <w:szCs w:val="24"/>
          <w:lang w:val="es-ES"/>
        </w:rPr>
      </w:pPr>
      <w:r w:rsidRPr="0025731E">
        <w:rPr>
          <w:rFonts w:ascii="Arial" w:eastAsia="Arial" w:hAnsi="Arial" w:cs="Arial"/>
          <w:sz w:val="24"/>
          <w:szCs w:val="24"/>
          <w:lang w:val="es-ES"/>
        </w:rPr>
        <w:t>En términos generales, se constató que los municipios con obligaciones financieras a corto y largo plazo,</w:t>
      </w:r>
      <w:r w:rsidRPr="0025731E">
        <w:rPr>
          <w:rFonts w:ascii="Arial" w:eastAsia="Arial" w:hAnsi="Arial" w:cs="Arial"/>
          <w:sz w:val="24"/>
          <w:szCs w:val="24"/>
          <w:lang w:val="es-ES" w:eastAsia="es-ES" w:bidi="es-ES"/>
        </w:rPr>
        <w:t xml:space="preserve"> </w:t>
      </w:r>
      <w:r w:rsidRPr="0025731E">
        <w:rPr>
          <w:rFonts w:ascii="Arial" w:eastAsia="Arial" w:hAnsi="Arial" w:cs="Arial"/>
          <w:sz w:val="24"/>
          <w:szCs w:val="24"/>
          <w:lang w:val="es-ES"/>
        </w:rPr>
        <w:t>tomaron</w:t>
      </w:r>
      <w:r w:rsidRPr="0025731E">
        <w:rPr>
          <w:rFonts w:ascii="Arial" w:eastAsia="Arial" w:hAnsi="Arial" w:cs="Arial"/>
          <w:spacing w:val="31"/>
          <w:sz w:val="24"/>
          <w:szCs w:val="24"/>
          <w:lang w:val="es-ES"/>
        </w:rPr>
        <w:t xml:space="preserve"> </w:t>
      </w:r>
      <w:r w:rsidRPr="0025731E">
        <w:rPr>
          <w:rFonts w:ascii="Arial" w:eastAsia="Arial" w:hAnsi="Arial" w:cs="Arial"/>
          <w:sz w:val="24"/>
          <w:szCs w:val="24"/>
          <w:lang w:val="es-ES"/>
        </w:rPr>
        <w:t xml:space="preserve">las previsiones para el pago de las respectivas amortizaciones e intereses, </w:t>
      </w:r>
      <w:r w:rsidRPr="0025731E">
        <w:rPr>
          <w:rFonts w:ascii="Arial" w:eastAsia="Arial" w:hAnsi="Arial" w:cs="Arial"/>
          <w:sz w:val="24"/>
          <w:szCs w:val="24"/>
          <w:lang w:val="es-ES" w:eastAsia="es-ES" w:bidi="es-ES"/>
        </w:rPr>
        <w:t>por los financiamientos contratados en ejercicios anteriores,</w:t>
      </w:r>
      <w:r w:rsidRPr="0025731E">
        <w:rPr>
          <w:rFonts w:ascii="Arial" w:eastAsia="Arial" w:hAnsi="Arial" w:cs="Arial"/>
          <w:sz w:val="24"/>
          <w:szCs w:val="24"/>
          <w:lang w:val="es-ES"/>
        </w:rPr>
        <w:t xml:space="preserve"> en apego a las disposiciones establecidas en la Ley General de Contabilidad Gubernamental, la normatividad emitida por el Consejo Nacional de Armonización Contable (CONAC), la Ley de</w:t>
      </w:r>
      <w:r w:rsidRPr="0025731E">
        <w:rPr>
          <w:rFonts w:ascii="Arial" w:eastAsia="Arial" w:hAnsi="Arial" w:cs="Arial"/>
          <w:spacing w:val="-13"/>
          <w:sz w:val="24"/>
          <w:szCs w:val="24"/>
          <w:lang w:val="es-ES"/>
        </w:rPr>
        <w:t xml:space="preserve"> </w:t>
      </w:r>
      <w:r w:rsidRPr="0025731E">
        <w:rPr>
          <w:rFonts w:ascii="Arial" w:eastAsia="Arial" w:hAnsi="Arial" w:cs="Arial"/>
          <w:sz w:val="24"/>
          <w:szCs w:val="24"/>
          <w:lang w:val="es-ES"/>
        </w:rPr>
        <w:t>Disciplina</w:t>
      </w:r>
      <w:r w:rsidRPr="0025731E">
        <w:rPr>
          <w:rFonts w:ascii="Arial" w:eastAsia="Arial" w:hAnsi="Arial" w:cs="Arial"/>
          <w:spacing w:val="-13"/>
          <w:sz w:val="24"/>
          <w:szCs w:val="24"/>
          <w:lang w:val="es-ES"/>
        </w:rPr>
        <w:t xml:space="preserve"> </w:t>
      </w:r>
      <w:r w:rsidRPr="0025731E">
        <w:rPr>
          <w:rFonts w:ascii="Arial" w:eastAsia="Arial" w:hAnsi="Arial" w:cs="Arial"/>
          <w:sz w:val="24"/>
          <w:szCs w:val="24"/>
          <w:lang w:val="es-ES"/>
        </w:rPr>
        <w:t>Financiera</w:t>
      </w:r>
      <w:r w:rsidRPr="0025731E">
        <w:rPr>
          <w:rFonts w:ascii="Arial" w:eastAsia="Arial" w:hAnsi="Arial" w:cs="Arial"/>
          <w:spacing w:val="-13"/>
          <w:sz w:val="24"/>
          <w:szCs w:val="24"/>
          <w:lang w:val="es-ES"/>
        </w:rPr>
        <w:t xml:space="preserve"> </w:t>
      </w:r>
      <w:r w:rsidRPr="0025731E">
        <w:rPr>
          <w:rFonts w:ascii="Arial" w:eastAsia="Arial" w:hAnsi="Arial" w:cs="Arial"/>
          <w:sz w:val="24"/>
          <w:szCs w:val="24"/>
          <w:lang w:val="es-ES"/>
        </w:rPr>
        <w:t>de</w:t>
      </w:r>
      <w:r w:rsidRPr="0025731E">
        <w:rPr>
          <w:rFonts w:ascii="Arial" w:eastAsia="Arial" w:hAnsi="Arial" w:cs="Arial"/>
          <w:spacing w:val="-13"/>
          <w:sz w:val="24"/>
          <w:szCs w:val="24"/>
          <w:lang w:val="es-ES"/>
        </w:rPr>
        <w:t xml:space="preserve"> </w:t>
      </w:r>
      <w:r w:rsidRPr="0025731E">
        <w:rPr>
          <w:rFonts w:ascii="Arial" w:eastAsia="Arial" w:hAnsi="Arial" w:cs="Arial"/>
          <w:sz w:val="24"/>
          <w:szCs w:val="24"/>
          <w:lang w:val="es-ES"/>
        </w:rPr>
        <w:t>las</w:t>
      </w:r>
      <w:r w:rsidRPr="0025731E">
        <w:rPr>
          <w:rFonts w:ascii="Arial" w:eastAsia="Arial" w:hAnsi="Arial" w:cs="Arial"/>
          <w:spacing w:val="-11"/>
          <w:sz w:val="24"/>
          <w:szCs w:val="24"/>
          <w:lang w:val="es-ES"/>
        </w:rPr>
        <w:t xml:space="preserve"> </w:t>
      </w:r>
      <w:r w:rsidRPr="0025731E">
        <w:rPr>
          <w:rFonts w:ascii="Arial" w:eastAsia="Arial" w:hAnsi="Arial" w:cs="Arial"/>
          <w:sz w:val="24"/>
          <w:szCs w:val="24"/>
          <w:lang w:val="es-ES"/>
        </w:rPr>
        <w:t>Entidades</w:t>
      </w:r>
      <w:r w:rsidRPr="0025731E">
        <w:rPr>
          <w:rFonts w:ascii="Arial" w:eastAsia="Arial" w:hAnsi="Arial" w:cs="Arial"/>
          <w:spacing w:val="-11"/>
          <w:sz w:val="24"/>
          <w:szCs w:val="24"/>
          <w:lang w:val="es-ES"/>
        </w:rPr>
        <w:t xml:space="preserve"> </w:t>
      </w:r>
      <w:r w:rsidRPr="0025731E">
        <w:rPr>
          <w:rFonts w:ascii="Arial" w:eastAsia="Arial" w:hAnsi="Arial" w:cs="Arial"/>
          <w:sz w:val="24"/>
          <w:szCs w:val="24"/>
          <w:lang w:val="es-ES"/>
        </w:rPr>
        <w:t>Federativas</w:t>
      </w:r>
      <w:r w:rsidRPr="0025731E">
        <w:rPr>
          <w:rFonts w:ascii="Arial" w:eastAsia="Arial" w:hAnsi="Arial" w:cs="Arial"/>
          <w:spacing w:val="-11"/>
          <w:sz w:val="24"/>
          <w:szCs w:val="24"/>
          <w:lang w:val="es-ES"/>
        </w:rPr>
        <w:t xml:space="preserve"> </w:t>
      </w:r>
      <w:r w:rsidRPr="0025731E">
        <w:rPr>
          <w:rFonts w:ascii="Arial" w:eastAsia="Arial" w:hAnsi="Arial" w:cs="Arial"/>
          <w:sz w:val="24"/>
          <w:szCs w:val="24"/>
          <w:lang w:val="es-ES"/>
        </w:rPr>
        <w:t>y</w:t>
      </w:r>
      <w:r w:rsidRPr="0025731E">
        <w:rPr>
          <w:rFonts w:ascii="Arial" w:eastAsia="Arial" w:hAnsi="Arial" w:cs="Arial"/>
          <w:spacing w:val="-11"/>
          <w:sz w:val="24"/>
          <w:szCs w:val="24"/>
          <w:lang w:val="es-ES"/>
        </w:rPr>
        <w:t xml:space="preserve"> </w:t>
      </w:r>
      <w:r w:rsidRPr="0025731E">
        <w:rPr>
          <w:rFonts w:ascii="Arial" w:eastAsia="Arial" w:hAnsi="Arial" w:cs="Arial"/>
          <w:sz w:val="24"/>
          <w:szCs w:val="24"/>
          <w:lang w:val="es-ES"/>
        </w:rPr>
        <w:t>los</w:t>
      </w:r>
      <w:r w:rsidRPr="0025731E">
        <w:rPr>
          <w:rFonts w:ascii="Arial" w:eastAsia="Arial" w:hAnsi="Arial" w:cs="Arial"/>
          <w:spacing w:val="-11"/>
          <w:sz w:val="24"/>
          <w:szCs w:val="24"/>
          <w:lang w:val="es-ES"/>
        </w:rPr>
        <w:t xml:space="preserve"> </w:t>
      </w:r>
      <w:r w:rsidRPr="0025731E">
        <w:rPr>
          <w:rFonts w:ascii="Arial" w:eastAsia="Arial" w:hAnsi="Arial" w:cs="Arial"/>
          <w:sz w:val="24"/>
          <w:szCs w:val="24"/>
          <w:lang w:val="es-ES"/>
        </w:rPr>
        <w:t>Municipios, y la Ley de Deuda Pública del Estado de Quintana Roo.</w:t>
      </w:r>
    </w:p>
    <w:p w14:paraId="4A12E973" w14:textId="77777777" w:rsidR="009B15EB" w:rsidRDefault="0025731E">
      <w:pPr>
        <w:rPr>
          <w:rFonts w:ascii="Arial" w:hAnsi="Arial" w:cs="Arial"/>
          <w:sz w:val="24"/>
          <w:szCs w:val="24"/>
        </w:rPr>
        <w:sectPr w:rsidR="009B15EB" w:rsidSect="00747D75">
          <w:headerReference w:type="default" r:id="rId48"/>
          <w:pgSz w:w="12240" w:h="15840"/>
          <w:pgMar w:top="1404" w:right="1701" w:bottom="993" w:left="1701" w:header="426" w:footer="708" w:gutter="0"/>
          <w:cols w:space="708"/>
          <w:docGrid w:linePitch="360"/>
        </w:sectPr>
      </w:pPr>
      <w:r>
        <w:rPr>
          <w:rFonts w:ascii="Arial" w:hAnsi="Arial" w:cs="Arial"/>
          <w:sz w:val="24"/>
          <w:szCs w:val="24"/>
        </w:rPr>
        <w:br w:type="page"/>
      </w:r>
    </w:p>
    <w:p w14:paraId="5292BB37" w14:textId="77777777" w:rsidR="0025731E" w:rsidRDefault="0025731E">
      <w:pPr>
        <w:rPr>
          <w:rFonts w:ascii="Arial" w:hAnsi="Arial" w:cs="Arial"/>
          <w:sz w:val="24"/>
          <w:szCs w:val="24"/>
        </w:rPr>
      </w:pPr>
    </w:p>
    <w:p w14:paraId="62251009" w14:textId="77777777" w:rsidR="005D5F34" w:rsidRDefault="005D5F34" w:rsidP="001F57A7">
      <w:pPr>
        <w:rPr>
          <w:rFonts w:ascii="Arial" w:hAnsi="Arial" w:cs="Arial"/>
          <w:sz w:val="24"/>
          <w:szCs w:val="24"/>
        </w:rPr>
      </w:pPr>
    </w:p>
    <w:p w14:paraId="42E5080E" w14:textId="77777777" w:rsidR="005D5F34" w:rsidRDefault="005D5F34" w:rsidP="001F57A7">
      <w:pPr>
        <w:rPr>
          <w:rFonts w:ascii="Arial" w:hAnsi="Arial" w:cs="Arial"/>
          <w:sz w:val="24"/>
          <w:szCs w:val="24"/>
        </w:rPr>
      </w:pPr>
    </w:p>
    <w:p w14:paraId="6772D24E" w14:textId="77777777" w:rsidR="002552FD" w:rsidRDefault="002552FD" w:rsidP="001F57A7">
      <w:pPr>
        <w:rPr>
          <w:rFonts w:ascii="Arial" w:hAnsi="Arial" w:cs="Arial"/>
          <w:sz w:val="24"/>
          <w:szCs w:val="24"/>
        </w:rPr>
        <w:sectPr w:rsidR="002552FD" w:rsidSect="00747D75">
          <w:headerReference w:type="default" r:id="rId49"/>
          <w:footerReference w:type="default" r:id="rId50"/>
          <w:pgSz w:w="12240" w:h="15840"/>
          <w:pgMar w:top="1404" w:right="1701" w:bottom="993" w:left="1701" w:header="426" w:footer="708" w:gutter="0"/>
          <w:cols w:space="708"/>
          <w:docGrid w:linePitch="360"/>
        </w:sectPr>
      </w:pPr>
    </w:p>
    <w:p w14:paraId="3AFAF6A5" w14:textId="77777777" w:rsidR="005D5F34" w:rsidRDefault="005D5F34" w:rsidP="001F57A7">
      <w:pPr>
        <w:rPr>
          <w:rFonts w:ascii="Arial" w:hAnsi="Arial" w:cs="Arial"/>
          <w:sz w:val="24"/>
          <w:szCs w:val="24"/>
        </w:rPr>
      </w:pPr>
    </w:p>
    <w:p w14:paraId="48D4D888" w14:textId="77777777" w:rsidR="002552FD" w:rsidRDefault="002552FD" w:rsidP="001F57A7">
      <w:pPr>
        <w:rPr>
          <w:rFonts w:ascii="Arial" w:hAnsi="Arial" w:cs="Arial"/>
          <w:sz w:val="24"/>
          <w:szCs w:val="24"/>
        </w:rPr>
      </w:pPr>
    </w:p>
    <w:p w14:paraId="2883A2EA" w14:textId="77777777" w:rsidR="002552FD" w:rsidRDefault="002552FD" w:rsidP="001F57A7">
      <w:pPr>
        <w:rPr>
          <w:rFonts w:ascii="Arial" w:hAnsi="Arial" w:cs="Arial"/>
          <w:sz w:val="24"/>
          <w:szCs w:val="24"/>
        </w:rPr>
      </w:pPr>
    </w:p>
    <w:p w14:paraId="5D0DA5C0" w14:textId="77777777" w:rsidR="005D5F34" w:rsidRDefault="005D5F34" w:rsidP="001F57A7">
      <w:pPr>
        <w:rPr>
          <w:rFonts w:ascii="Arial" w:hAnsi="Arial" w:cs="Arial"/>
          <w:sz w:val="24"/>
          <w:szCs w:val="24"/>
        </w:rPr>
      </w:pPr>
    </w:p>
    <w:p w14:paraId="6F9CA02C" w14:textId="77777777" w:rsidR="00D132A9" w:rsidRDefault="00D132A9" w:rsidP="001F57A7">
      <w:pPr>
        <w:rPr>
          <w:rFonts w:ascii="Arial" w:hAnsi="Arial" w:cs="Arial"/>
          <w:sz w:val="24"/>
          <w:szCs w:val="24"/>
        </w:rPr>
      </w:pPr>
    </w:p>
    <w:p w14:paraId="66B9A7A0" w14:textId="77777777" w:rsidR="00766512" w:rsidRDefault="00766512" w:rsidP="001F57A7">
      <w:pPr>
        <w:rPr>
          <w:rFonts w:ascii="Arial" w:hAnsi="Arial" w:cs="Arial"/>
          <w:sz w:val="24"/>
          <w:szCs w:val="24"/>
        </w:rPr>
      </w:pPr>
    </w:p>
    <w:p w14:paraId="7B6097D6" w14:textId="77777777" w:rsidR="00766512" w:rsidRDefault="00766512" w:rsidP="001F57A7">
      <w:pPr>
        <w:rPr>
          <w:rFonts w:ascii="Arial" w:hAnsi="Arial" w:cs="Arial"/>
          <w:sz w:val="24"/>
          <w:szCs w:val="24"/>
        </w:rPr>
      </w:pPr>
    </w:p>
    <w:p w14:paraId="43ADF077" w14:textId="77777777" w:rsidR="00766512" w:rsidRDefault="00766512" w:rsidP="001F57A7">
      <w:pPr>
        <w:rPr>
          <w:rFonts w:ascii="Arial" w:hAnsi="Arial" w:cs="Arial"/>
          <w:sz w:val="24"/>
          <w:szCs w:val="24"/>
        </w:rPr>
      </w:pPr>
    </w:p>
    <w:p w14:paraId="02EEEBA9" w14:textId="77777777" w:rsidR="00766512" w:rsidRDefault="00766512" w:rsidP="001F57A7">
      <w:pPr>
        <w:rPr>
          <w:rFonts w:ascii="Arial" w:hAnsi="Arial" w:cs="Arial"/>
          <w:sz w:val="24"/>
          <w:szCs w:val="24"/>
        </w:rPr>
      </w:pPr>
    </w:p>
    <w:p w14:paraId="22D3717C" w14:textId="77777777" w:rsidR="00766512" w:rsidRDefault="00766512" w:rsidP="001F57A7">
      <w:pPr>
        <w:rPr>
          <w:rFonts w:ascii="Arial" w:hAnsi="Arial" w:cs="Arial"/>
          <w:sz w:val="24"/>
          <w:szCs w:val="24"/>
        </w:rPr>
      </w:pPr>
    </w:p>
    <w:p w14:paraId="24B579A4" w14:textId="77777777" w:rsidR="001F57A7" w:rsidRPr="00F75963" w:rsidRDefault="001F57A7" w:rsidP="001F57A7">
      <w:pPr>
        <w:rPr>
          <w:rFonts w:ascii="Arial" w:hAnsi="Arial" w:cs="Arial"/>
          <w:sz w:val="24"/>
          <w:szCs w:val="24"/>
        </w:rPr>
      </w:pPr>
    </w:p>
    <w:p w14:paraId="61086005" w14:textId="77777777" w:rsidR="002641A5" w:rsidRDefault="00FD4225" w:rsidP="002641A5">
      <w:pPr>
        <w:pStyle w:val="Ttulo1"/>
        <w:spacing w:before="0" w:line="276" w:lineRule="auto"/>
        <w:jc w:val="center"/>
        <w:rPr>
          <w:rFonts w:ascii="Arial" w:eastAsia="Arial" w:hAnsi="Arial" w:cs="Arial"/>
          <w:b/>
          <w:color w:val="auto"/>
          <w:sz w:val="38"/>
          <w:szCs w:val="38"/>
          <w:lang w:val="es-ES" w:eastAsia="es-ES" w:bidi="es-ES"/>
        </w:rPr>
      </w:pPr>
      <w:bookmarkStart w:id="59" w:name="_Toc158567493"/>
      <w:r w:rsidRPr="005470E4">
        <w:rPr>
          <w:rFonts w:ascii="Arial" w:eastAsia="Arial" w:hAnsi="Arial" w:cs="Arial"/>
          <w:b/>
          <w:color w:val="auto"/>
          <w:sz w:val="38"/>
          <w:szCs w:val="38"/>
          <w:lang w:val="es-ES" w:eastAsia="es-ES" w:bidi="es-ES"/>
        </w:rPr>
        <w:t>CAPÍTULO 4</w:t>
      </w:r>
      <w:bookmarkEnd w:id="59"/>
    </w:p>
    <w:p w14:paraId="195878AF" w14:textId="77777777" w:rsidR="00D34ADE" w:rsidRPr="005470E4" w:rsidRDefault="00766512" w:rsidP="002641A5">
      <w:pPr>
        <w:pStyle w:val="Ttulo1"/>
        <w:spacing w:before="0" w:line="276" w:lineRule="auto"/>
        <w:jc w:val="center"/>
        <w:rPr>
          <w:rFonts w:ascii="Arial" w:eastAsia="Arial" w:hAnsi="Arial" w:cs="Arial"/>
          <w:b/>
          <w:color w:val="auto"/>
          <w:sz w:val="38"/>
          <w:szCs w:val="38"/>
          <w:lang w:val="es-ES" w:eastAsia="es-ES" w:bidi="es-ES"/>
        </w:rPr>
      </w:pPr>
      <w:bookmarkStart w:id="60" w:name="_Toc158567494"/>
      <w:r>
        <w:rPr>
          <w:rFonts w:ascii="Arial" w:eastAsia="Arial" w:hAnsi="Arial" w:cs="Arial"/>
          <w:b/>
          <w:color w:val="auto"/>
          <w:sz w:val="38"/>
          <w:szCs w:val="38"/>
          <w:lang w:val="es-ES" w:eastAsia="es-ES" w:bidi="es-ES"/>
        </w:rPr>
        <w:t>Propuesta y M</w:t>
      </w:r>
      <w:r w:rsidR="0037494B" w:rsidRPr="005470E4">
        <w:rPr>
          <w:rFonts w:ascii="Arial" w:eastAsia="Arial" w:hAnsi="Arial" w:cs="Arial"/>
          <w:b/>
          <w:color w:val="auto"/>
          <w:sz w:val="38"/>
          <w:szCs w:val="38"/>
          <w:lang w:val="es-ES" w:eastAsia="es-ES" w:bidi="es-ES"/>
        </w:rPr>
        <w:t>odificacio</w:t>
      </w:r>
      <w:r>
        <w:rPr>
          <w:rFonts w:ascii="Arial" w:eastAsia="Arial" w:hAnsi="Arial" w:cs="Arial"/>
          <w:b/>
          <w:color w:val="auto"/>
          <w:sz w:val="38"/>
          <w:szCs w:val="38"/>
          <w:lang w:val="es-ES" w:eastAsia="es-ES" w:bidi="es-ES"/>
        </w:rPr>
        <w:t>nes de L</w:t>
      </w:r>
      <w:r w:rsidR="00D34ADE" w:rsidRPr="005470E4">
        <w:rPr>
          <w:rFonts w:ascii="Arial" w:eastAsia="Arial" w:hAnsi="Arial" w:cs="Arial"/>
          <w:b/>
          <w:color w:val="auto"/>
          <w:sz w:val="38"/>
          <w:szCs w:val="38"/>
          <w:lang w:val="es-ES" w:eastAsia="es-ES" w:bidi="es-ES"/>
        </w:rPr>
        <w:t>ey</w:t>
      </w:r>
      <w:bookmarkEnd w:id="60"/>
    </w:p>
    <w:p w14:paraId="721A9562" w14:textId="77777777" w:rsidR="00215A85" w:rsidRPr="007528AF" w:rsidRDefault="0037494B" w:rsidP="00156241">
      <w:pPr>
        <w:spacing w:before="240"/>
        <w:jc w:val="center"/>
        <w:rPr>
          <w:rFonts w:ascii="Arial" w:eastAsia="Arial" w:hAnsi="Arial" w:cs="Arial"/>
          <w:sz w:val="28"/>
          <w:szCs w:val="20"/>
          <w:lang w:val="es-ES" w:eastAsia="es-ES" w:bidi="es-ES"/>
        </w:rPr>
      </w:pPr>
      <w:r w:rsidRPr="007528AF">
        <w:rPr>
          <w:rFonts w:ascii="Arial" w:eastAsia="Arial" w:hAnsi="Arial" w:cs="Arial"/>
          <w:sz w:val="28"/>
          <w:szCs w:val="20"/>
          <w:lang w:val="es-ES" w:eastAsia="es-ES" w:bidi="es-ES"/>
        </w:rPr>
        <w:t>Cumplimiento de la fracción V, artículo 36 de la LFRCEQROO.</w:t>
      </w:r>
    </w:p>
    <w:p w14:paraId="00E1B935" w14:textId="77777777" w:rsidR="00D132A9" w:rsidRDefault="00D132A9" w:rsidP="00D132A9">
      <w:pPr>
        <w:rPr>
          <w:rFonts w:ascii="Arial" w:hAnsi="Arial" w:cs="Arial"/>
          <w:sz w:val="24"/>
          <w:szCs w:val="24"/>
        </w:rPr>
      </w:pPr>
    </w:p>
    <w:p w14:paraId="6E8AC93E" w14:textId="77777777" w:rsidR="00D132A9" w:rsidRDefault="00D132A9" w:rsidP="00D132A9">
      <w:pPr>
        <w:rPr>
          <w:rFonts w:ascii="Arial" w:hAnsi="Arial" w:cs="Arial"/>
          <w:sz w:val="24"/>
          <w:szCs w:val="24"/>
        </w:rPr>
      </w:pPr>
    </w:p>
    <w:p w14:paraId="5D57490F" w14:textId="77777777" w:rsidR="00D132A9" w:rsidRDefault="00D132A9" w:rsidP="00D132A9">
      <w:pPr>
        <w:rPr>
          <w:rFonts w:ascii="Arial" w:hAnsi="Arial" w:cs="Arial"/>
          <w:sz w:val="24"/>
          <w:szCs w:val="24"/>
        </w:rPr>
      </w:pPr>
    </w:p>
    <w:p w14:paraId="789A9B4A" w14:textId="77777777" w:rsidR="00D132A9" w:rsidRDefault="00D132A9" w:rsidP="00D132A9">
      <w:pPr>
        <w:rPr>
          <w:rFonts w:ascii="Arial" w:hAnsi="Arial" w:cs="Arial"/>
          <w:sz w:val="24"/>
          <w:szCs w:val="24"/>
        </w:rPr>
      </w:pPr>
    </w:p>
    <w:p w14:paraId="5E4453BA" w14:textId="77777777" w:rsidR="00D132A9" w:rsidRDefault="00D132A9" w:rsidP="00D132A9">
      <w:pPr>
        <w:rPr>
          <w:rFonts w:ascii="Arial" w:hAnsi="Arial" w:cs="Arial"/>
          <w:sz w:val="24"/>
          <w:szCs w:val="24"/>
        </w:rPr>
      </w:pPr>
    </w:p>
    <w:p w14:paraId="7E4CEB7F" w14:textId="77777777" w:rsidR="002552FD" w:rsidRDefault="002552FD" w:rsidP="00D132A9">
      <w:pPr>
        <w:rPr>
          <w:rFonts w:ascii="Arial" w:hAnsi="Arial" w:cs="Arial"/>
          <w:sz w:val="24"/>
          <w:szCs w:val="24"/>
        </w:rPr>
      </w:pPr>
    </w:p>
    <w:p w14:paraId="67F35AAD" w14:textId="77777777" w:rsidR="00D132A9" w:rsidRDefault="00D132A9" w:rsidP="00D132A9">
      <w:pPr>
        <w:rPr>
          <w:rFonts w:ascii="Arial" w:hAnsi="Arial" w:cs="Arial"/>
          <w:sz w:val="24"/>
          <w:szCs w:val="24"/>
        </w:rPr>
      </w:pPr>
    </w:p>
    <w:p w14:paraId="7DEA7C48" w14:textId="77777777" w:rsidR="00D132A9" w:rsidRDefault="00D132A9" w:rsidP="00D132A9">
      <w:pPr>
        <w:rPr>
          <w:rFonts w:ascii="Arial" w:hAnsi="Arial" w:cs="Arial"/>
          <w:sz w:val="24"/>
          <w:szCs w:val="24"/>
        </w:rPr>
      </w:pPr>
    </w:p>
    <w:p w14:paraId="27AEC367" w14:textId="77777777" w:rsidR="00D132A9" w:rsidRDefault="00D132A9" w:rsidP="00D132A9">
      <w:pPr>
        <w:rPr>
          <w:rFonts w:ascii="Arial" w:hAnsi="Arial" w:cs="Arial"/>
          <w:sz w:val="24"/>
          <w:szCs w:val="24"/>
        </w:rPr>
      </w:pPr>
    </w:p>
    <w:p w14:paraId="768B19F6" w14:textId="77777777" w:rsidR="00D132A9" w:rsidRDefault="00D132A9" w:rsidP="00D132A9">
      <w:pPr>
        <w:rPr>
          <w:rFonts w:ascii="Arial" w:hAnsi="Arial" w:cs="Arial"/>
          <w:sz w:val="24"/>
          <w:szCs w:val="24"/>
        </w:rPr>
      </w:pPr>
    </w:p>
    <w:p w14:paraId="516FE083" w14:textId="77777777" w:rsidR="00D132A9" w:rsidRDefault="00D132A9" w:rsidP="00D132A9">
      <w:pPr>
        <w:rPr>
          <w:rFonts w:ascii="Arial" w:hAnsi="Arial" w:cs="Arial"/>
          <w:sz w:val="24"/>
          <w:szCs w:val="24"/>
        </w:rPr>
      </w:pPr>
    </w:p>
    <w:p w14:paraId="4C04DC07" w14:textId="77777777" w:rsidR="00D132A9" w:rsidRDefault="00D132A9" w:rsidP="00D132A9">
      <w:pPr>
        <w:rPr>
          <w:rFonts w:ascii="Arial" w:hAnsi="Arial" w:cs="Arial"/>
          <w:sz w:val="24"/>
          <w:szCs w:val="24"/>
        </w:rPr>
      </w:pPr>
    </w:p>
    <w:p w14:paraId="7179DB98" w14:textId="77777777" w:rsidR="00D132A9" w:rsidRDefault="00D132A9" w:rsidP="00D132A9">
      <w:pPr>
        <w:rPr>
          <w:rFonts w:ascii="Arial" w:hAnsi="Arial" w:cs="Arial"/>
          <w:sz w:val="24"/>
          <w:szCs w:val="24"/>
        </w:rPr>
      </w:pPr>
    </w:p>
    <w:p w14:paraId="6AEA5B5D" w14:textId="77777777" w:rsidR="00FA05CC" w:rsidRPr="00483BF0" w:rsidRDefault="00FA05CC" w:rsidP="00FA05CC">
      <w:pPr>
        <w:spacing w:line="276" w:lineRule="auto"/>
        <w:rPr>
          <w:rFonts w:ascii="Arial" w:hAnsi="Arial" w:cs="Arial"/>
          <w:b/>
          <w:sz w:val="24"/>
          <w:szCs w:val="24"/>
          <w:u w:val="single"/>
        </w:rPr>
      </w:pPr>
      <w:r w:rsidRPr="00483BF0">
        <w:rPr>
          <w:rFonts w:ascii="Arial" w:hAnsi="Arial" w:cs="Arial"/>
          <w:b/>
          <w:sz w:val="24"/>
          <w:szCs w:val="24"/>
          <w:u w:val="single"/>
        </w:rPr>
        <w:lastRenderedPageBreak/>
        <w:t>Normativa:</w:t>
      </w:r>
    </w:p>
    <w:p w14:paraId="3BBFF672" w14:textId="77777777" w:rsidR="00FA05CC" w:rsidRPr="00483BF0" w:rsidRDefault="00FA05CC" w:rsidP="00FA05CC">
      <w:pPr>
        <w:spacing w:after="0" w:line="276" w:lineRule="auto"/>
        <w:rPr>
          <w:rFonts w:ascii="Arial" w:hAnsi="Arial" w:cs="Arial"/>
          <w:b/>
          <w:sz w:val="24"/>
          <w:szCs w:val="24"/>
        </w:rPr>
      </w:pPr>
    </w:p>
    <w:p w14:paraId="4E5E5066" w14:textId="77777777" w:rsidR="00FA05CC" w:rsidRPr="00483BF0" w:rsidRDefault="00FA05CC" w:rsidP="00FA05CC">
      <w:pPr>
        <w:spacing w:after="0" w:line="276" w:lineRule="auto"/>
        <w:rPr>
          <w:rFonts w:ascii="Arial" w:hAnsi="Arial" w:cs="Arial"/>
          <w:b/>
          <w:sz w:val="24"/>
          <w:szCs w:val="24"/>
        </w:rPr>
      </w:pPr>
      <w:r w:rsidRPr="00483BF0">
        <w:rPr>
          <w:rFonts w:ascii="Arial" w:hAnsi="Arial" w:cs="Arial"/>
          <w:b/>
          <w:sz w:val="24"/>
          <w:szCs w:val="24"/>
        </w:rPr>
        <w:t>Ley de Derechos, Cultura y Or</w:t>
      </w:r>
      <w:r w:rsidR="00B13342">
        <w:rPr>
          <w:rFonts w:ascii="Arial" w:hAnsi="Arial" w:cs="Arial"/>
          <w:b/>
          <w:sz w:val="24"/>
          <w:szCs w:val="24"/>
        </w:rPr>
        <w:t>ganización Indígena del Estado d</w:t>
      </w:r>
      <w:r w:rsidRPr="00483BF0">
        <w:rPr>
          <w:rFonts w:ascii="Arial" w:hAnsi="Arial" w:cs="Arial"/>
          <w:b/>
          <w:sz w:val="24"/>
          <w:szCs w:val="24"/>
        </w:rPr>
        <w:t>e Quintana Roo</w:t>
      </w:r>
    </w:p>
    <w:p w14:paraId="133F42DB" w14:textId="77777777" w:rsidR="00FA05CC" w:rsidRPr="00483BF0" w:rsidRDefault="00FA05CC" w:rsidP="00FA05CC">
      <w:pPr>
        <w:spacing w:line="276" w:lineRule="auto"/>
        <w:jc w:val="both"/>
        <w:rPr>
          <w:rFonts w:ascii="Arial" w:hAnsi="Arial" w:cs="Arial"/>
          <w:b/>
          <w:bCs/>
          <w:sz w:val="24"/>
          <w:szCs w:val="24"/>
        </w:rPr>
      </w:pPr>
    </w:p>
    <w:p w14:paraId="7CF49150" w14:textId="77777777" w:rsidR="00FA05CC" w:rsidRPr="00483BF0" w:rsidRDefault="00FA05CC" w:rsidP="00FA05CC">
      <w:pPr>
        <w:spacing w:line="276" w:lineRule="auto"/>
        <w:jc w:val="both"/>
        <w:rPr>
          <w:rFonts w:ascii="Arial" w:hAnsi="Arial" w:cs="Arial"/>
          <w:b/>
          <w:bCs/>
          <w:sz w:val="24"/>
          <w:szCs w:val="24"/>
        </w:rPr>
      </w:pPr>
      <w:r w:rsidRPr="00483BF0">
        <w:rPr>
          <w:rFonts w:ascii="Arial" w:hAnsi="Arial" w:cs="Arial"/>
          <w:b/>
          <w:bCs/>
          <w:sz w:val="24"/>
          <w:szCs w:val="24"/>
        </w:rPr>
        <w:t>Propuesta 1:</w:t>
      </w:r>
    </w:p>
    <w:p w14:paraId="4D77AE63" w14:textId="77777777" w:rsidR="00FA05CC" w:rsidRPr="00483BF0" w:rsidRDefault="00FA05CC" w:rsidP="00FA05CC">
      <w:pPr>
        <w:spacing w:line="276" w:lineRule="auto"/>
        <w:rPr>
          <w:rFonts w:ascii="Arial" w:hAnsi="Arial" w:cs="Arial"/>
          <w:sz w:val="24"/>
          <w:szCs w:val="24"/>
        </w:rPr>
      </w:pPr>
      <w:r w:rsidRPr="00483BF0">
        <w:rPr>
          <w:rFonts w:ascii="Arial" w:hAnsi="Arial" w:cs="Arial"/>
          <w:sz w:val="24"/>
          <w:szCs w:val="24"/>
        </w:rPr>
        <w:t>Actualizar y adecuar disposiciones</w:t>
      </w:r>
    </w:p>
    <w:p w14:paraId="0369DD6A" w14:textId="77777777" w:rsidR="00FA05CC" w:rsidRPr="00483BF0" w:rsidRDefault="00FA05CC" w:rsidP="00FA05CC">
      <w:pPr>
        <w:spacing w:after="0" w:line="276" w:lineRule="auto"/>
        <w:jc w:val="both"/>
        <w:rPr>
          <w:rFonts w:ascii="Arial" w:hAnsi="Arial" w:cs="Arial"/>
          <w:sz w:val="24"/>
          <w:szCs w:val="24"/>
        </w:rPr>
      </w:pPr>
      <w:r w:rsidRPr="00483BF0">
        <w:rPr>
          <w:rFonts w:ascii="Arial" w:hAnsi="Arial" w:cs="Arial"/>
          <w:sz w:val="24"/>
          <w:szCs w:val="24"/>
        </w:rPr>
        <w:t>Se deben actualizar el artículo 59-C fracción XVII y XVIII de la Ley de Derechos, Cultura y Organización Indígena del Estado de Quintana Roo, como sigue:</w:t>
      </w:r>
    </w:p>
    <w:p w14:paraId="0F5FEFFF" w14:textId="77777777" w:rsidR="00FA05CC" w:rsidRPr="00483BF0" w:rsidRDefault="00FA05CC" w:rsidP="00FA05CC">
      <w:pPr>
        <w:spacing w:after="0" w:line="276" w:lineRule="auto"/>
        <w:ind w:left="426"/>
        <w:jc w:val="both"/>
        <w:rPr>
          <w:rFonts w:ascii="Arial" w:hAnsi="Arial" w:cs="Arial"/>
          <w:sz w:val="24"/>
          <w:szCs w:val="24"/>
        </w:rPr>
      </w:pPr>
    </w:p>
    <w:p w14:paraId="6E86BDDC" w14:textId="77777777" w:rsidR="00FA05CC" w:rsidRPr="00483BF0" w:rsidRDefault="00FA05CC" w:rsidP="00FA05CC">
      <w:pPr>
        <w:spacing w:after="0" w:line="276" w:lineRule="auto"/>
        <w:ind w:left="426"/>
        <w:jc w:val="both"/>
        <w:rPr>
          <w:rFonts w:ascii="Arial" w:hAnsi="Arial" w:cs="Arial"/>
          <w:sz w:val="24"/>
          <w:szCs w:val="24"/>
        </w:rPr>
      </w:pPr>
      <w:r w:rsidRPr="00483BF0">
        <w:rPr>
          <w:rFonts w:ascii="Arial" w:hAnsi="Arial" w:cs="Arial"/>
          <w:b/>
          <w:sz w:val="24"/>
          <w:szCs w:val="24"/>
        </w:rPr>
        <w:t>Artículo 59-C.-</w:t>
      </w:r>
      <w:r w:rsidRPr="00483BF0">
        <w:rPr>
          <w:rFonts w:ascii="Arial" w:hAnsi="Arial" w:cs="Arial"/>
          <w:sz w:val="24"/>
          <w:szCs w:val="24"/>
        </w:rPr>
        <w:t xml:space="preserve"> […] tendrá las siguientes atribuciones:</w:t>
      </w:r>
    </w:p>
    <w:p w14:paraId="422E91EA" w14:textId="77777777" w:rsidR="00FA05CC" w:rsidRPr="00483BF0" w:rsidRDefault="00FA05CC" w:rsidP="00FA05CC">
      <w:pPr>
        <w:spacing w:after="0" w:line="276" w:lineRule="auto"/>
        <w:ind w:left="426"/>
        <w:jc w:val="both"/>
        <w:rPr>
          <w:rFonts w:ascii="Arial" w:hAnsi="Arial" w:cs="Arial"/>
          <w:sz w:val="24"/>
          <w:szCs w:val="24"/>
        </w:rPr>
      </w:pPr>
      <w:r w:rsidRPr="00483BF0">
        <w:rPr>
          <w:rFonts w:ascii="Arial" w:hAnsi="Arial" w:cs="Arial"/>
          <w:sz w:val="24"/>
          <w:szCs w:val="24"/>
        </w:rPr>
        <w:t>[…]</w:t>
      </w:r>
    </w:p>
    <w:p w14:paraId="0FA0948E" w14:textId="77777777" w:rsidR="00FA05CC" w:rsidRPr="00483BF0" w:rsidRDefault="00FA05CC" w:rsidP="00FA05CC">
      <w:pPr>
        <w:spacing w:after="0" w:line="276" w:lineRule="auto"/>
        <w:ind w:left="426"/>
        <w:jc w:val="both"/>
        <w:rPr>
          <w:rFonts w:ascii="Arial" w:hAnsi="Arial" w:cs="Arial"/>
          <w:sz w:val="24"/>
          <w:szCs w:val="24"/>
        </w:rPr>
      </w:pPr>
      <w:r w:rsidRPr="00483BF0">
        <w:rPr>
          <w:rFonts w:ascii="Arial" w:hAnsi="Arial" w:cs="Arial"/>
          <w:sz w:val="24"/>
          <w:szCs w:val="24"/>
        </w:rPr>
        <w:t xml:space="preserve">XVII. Establecer acuerdos y convenios de coordinación con el gobierno Federal, otras dependencias o entidades del Estado y de los municipios, para llevar a cabo programas, proyectos y acciones conjuntas en favor del pueblo maya, comunidades Indígenas </w:t>
      </w:r>
      <w:r w:rsidRPr="00264F6C">
        <w:rPr>
          <w:rFonts w:ascii="Arial" w:hAnsi="Arial" w:cs="Arial"/>
          <w:i/>
          <w:sz w:val="24"/>
          <w:szCs w:val="24"/>
        </w:rPr>
        <w:t>y afromexicanas</w:t>
      </w:r>
      <w:r w:rsidRPr="00264F6C">
        <w:rPr>
          <w:rFonts w:ascii="Arial" w:hAnsi="Arial" w:cs="Arial"/>
          <w:sz w:val="24"/>
          <w:szCs w:val="24"/>
        </w:rPr>
        <w:t>.</w:t>
      </w:r>
    </w:p>
    <w:p w14:paraId="1E6FB732" w14:textId="77777777" w:rsidR="00FA05CC" w:rsidRPr="00483BF0" w:rsidRDefault="00FA05CC" w:rsidP="00FA05CC">
      <w:pPr>
        <w:spacing w:after="0" w:line="276" w:lineRule="auto"/>
        <w:ind w:left="426"/>
        <w:jc w:val="both"/>
        <w:rPr>
          <w:rFonts w:ascii="Arial" w:hAnsi="Arial" w:cs="Arial"/>
          <w:sz w:val="24"/>
          <w:szCs w:val="24"/>
        </w:rPr>
      </w:pPr>
    </w:p>
    <w:p w14:paraId="3ED3C810" w14:textId="77777777" w:rsidR="00FA05CC" w:rsidRPr="00483BF0" w:rsidRDefault="00FA05CC" w:rsidP="00FA05CC">
      <w:pPr>
        <w:spacing w:after="0" w:line="276" w:lineRule="auto"/>
        <w:ind w:left="426"/>
        <w:jc w:val="both"/>
        <w:rPr>
          <w:rFonts w:ascii="Arial" w:hAnsi="Arial" w:cs="Arial"/>
          <w:sz w:val="24"/>
          <w:szCs w:val="24"/>
        </w:rPr>
      </w:pPr>
      <w:r w:rsidRPr="00483BF0">
        <w:rPr>
          <w:rFonts w:ascii="Arial" w:hAnsi="Arial" w:cs="Arial"/>
          <w:sz w:val="24"/>
          <w:szCs w:val="24"/>
        </w:rPr>
        <w:t xml:space="preserve">XVIII. Promover ante las autoridades competentes, el desarrollo de la infraestructura industrial y comercial de la producción o actividades desarrolladas por el pueblo maya, las comunidades indígenas </w:t>
      </w:r>
      <w:r w:rsidRPr="00BA2EB9">
        <w:rPr>
          <w:rFonts w:ascii="Arial" w:hAnsi="Arial" w:cs="Arial"/>
          <w:i/>
          <w:sz w:val="24"/>
          <w:szCs w:val="24"/>
        </w:rPr>
        <w:t>y afromexicanas</w:t>
      </w:r>
      <w:r w:rsidRPr="00264F6C">
        <w:rPr>
          <w:rFonts w:ascii="Arial" w:hAnsi="Arial" w:cs="Arial"/>
          <w:sz w:val="24"/>
          <w:szCs w:val="24"/>
        </w:rPr>
        <w:t xml:space="preserve"> </w:t>
      </w:r>
      <w:r w:rsidRPr="00483BF0">
        <w:rPr>
          <w:rFonts w:ascii="Arial" w:hAnsi="Arial" w:cs="Arial"/>
          <w:sz w:val="24"/>
          <w:szCs w:val="24"/>
        </w:rPr>
        <w:t>de la entidad.</w:t>
      </w:r>
    </w:p>
    <w:p w14:paraId="5DAEF1EA" w14:textId="77777777" w:rsidR="00FA05CC" w:rsidRPr="00483BF0" w:rsidRDefault="00FA05CC" w:rsidP="00FA05CC">
      <w:pPr>
        <w:spacing w:line="276" w:lineRule="auto"/>
        <w:jc w:val="both"/>
        <w:rPr>
          <w:rFonts w:ascii="Arial" w:hAnsi="Arial" w:cs="Arial"/>
          <w:sz w:val="24"/>
          <w:szCs w:val="24"/>
        </w:rPr>
      </w:pPr>
    </w:p>
    <w:p w14:paraId="1B8391A0" w14:textId="77777777" w:rsidR="00FA05CC" w:rsidRPr="00483BF0" w:rsidRDefault="00FA05CC" w:rsidP="00FA05CC">
      <w:pPr>
        <w:spacing w:line="276" w:lineRule="auto"/>
        <w:jc w:val="both"/>
        <w:rPr>
          <w:rFonts w:ascii="Arial" w:hAnsi="Arial" w:cs="Arial"/>
          <w:b/>
          <w:bCs/>
          <w:sz w:val="24"/>
          <w:szCs w:val="24"/>
        </w:rPr>
      </w:pPr>
      <w:r w:rsidRPr="00483BF0">
        <w:rPr>
          <w:rFonts w:ascii="Arial" w:hAnsi="Arial" w:cs="Arial"/>
          <w:b/>
          <w:bCs/>
          <w:sz w:val="24"/>
          <w:szCs w:val="24"/>
        </w:rPr>
        <w:t>Objetivo:</w:t>
      </w:r>
    </w:p>
    <w:p w14:paraId="21766505" w14:textId="77777777" w:rsidR="00FA05CC" w:rsidRPr="00483BF0" w:rsidRDefault="00FA05CC" w:rsidP="00FA05CC">
      <w:pPr>
        <w:spacing w:line="276" w:lineRule="auto"/>
        <w:jc w:val="both"/>
        <w:rPr>
          <w:rFonts w:ascii="Arial" w:hAnsi="Arial" w:cs="Arial"/>
          <w:sz w:val="24"/>
          <w:szCs w:val="24"/>
        </w:rPr>
      </w:pPr>
      <w:r w:rsidRPr="00483BF0">
        <w:rPr>
          <w:rFonts w:ascii="Arial" w:hAnsi="Arial" w:cs="Arial"/>
          <w:sz w:val="24"/>
          <w:szCs w:val="24"/>
        </w:rPr>
        <w:t>Reconocer a los pueblos y comunidades afromexicanas como parte de la composición pluricultural del Estado para garantizar su desarrollo e inclusión social.</w:t>
      </w:r>
    </w:p>
    <w:p w14:paraId="560E25A4" w14:textId="77777777" w:rsidR="00FA05CC" w:rsidRPr="00483BF0" w:rsidRDefault="00FA05CC" w:rsidP="00FA05CC">
      <w:pPr>
        <w:spacing w:line="276" w:lineRule="auto"/>
        <w:jc w:val="both"/>
        <w:rPr>
          <w:rFonts w:ascii="Arial" w:hAnsi="Arial" w:cs="Arial"/>
          <w:sz w:val="24"/>
          <w:szCs w:val="24"/>
        </w:rPr>
      </w:pPr>
    </w:p>
    <w:p w14:paraId="77C6E096" w14:textId="77777777" w:rsidR="00FA05CC" w:rsidRPr="00483BF0" w:rsidRDefault="00FA05CC" w:rsidP="00FA05CC">
      <w:pPr>
        <w:spacing w:line="276" w:lineRule="auto"/>
        <w:jc w:val="both"/>
        <w:rPr>
          <w:rFonts w:ascii="Arial" w:hAnsi="Arial" w:cs="Arial"/>
          <w:b/>
          <w:bCs/>
          <w:sz w:val="24"/>
          <w:szCs w:val="24"/>
        </w:rPr>
      </w:pPr>
      <w:r w:rsidRPr="00483BF0">
        <w:rPr>
          <w:rFonts w:ascii="Arial" w:hAnsi="Arial" w:cs="Arial"/>
          <w:b/>
          <w:bCs/>
          <w:sz w:val="24"/>
          <w:szCs w:val="24"/>
        </w:rPr>
        <w:t>Riesgo Asociado:</w:t>
      </w:r>
    </w:p>
    <w:p w14:paraId="23A2DCCB" w14:textId="77777777" w:rsidR="00FA05CC" w:rsidRPr="00483BF0" w:rsidRDefault="00FA05CC" w:rsidP="00FA05CC">
      <w:pPr>
        <w:spacing w:line="276" w:lineRule="auto"/>
        <w:jc w:val="both"/>
        <w:rPr>
          <w:rFonts w:ascii="Arial" w:hAnsi="Arial" w:cs="Arial"/>
          <w:sz w:val="24"/>
          <w:szCs w:val="24"/>
        </w:rPr>
      </w:pPr>
      <w:r w:rsidRPr="00483BF0">
        <w:rPr>
          <w:rFonts w:ascii="Arial" w:hAnsi="Arial" w:cs="Arial"/>
          <w:sz w:val="24"/>
          <w:szCs w:val="24"/>
        </w:rPr>
        <w:t>Los programas y proyectos de desarrollo invisibilizan a los afromexicanos como grupo social de atención, vulnerando el ejercicio pleno de sus derechos.</w:t>
      </w:r>
    </w:p>
    <w:p w14:paraId="39FD2CCA" w14:textId="77777777" w:rsidR="00FA05CC" w:rsidRDefault="00FA05CC" w:rsidP="00FA05CC">
      <w:pPr>
        <w:spacing w:line="276" w:lineRule="auto"/>
        <w:jc w:val="both"/>
        <w:rPr>
          <w:rFonts w:ascii="Arial" w:hAnsi="Arial" w:cs="Arial"/>
          <w:sz w:val="24"/>
          <w:szCs w:val="24"/>
        </w:rPr>
      </w:pPr>
    </w:p>
    <w:p w14:paraId="40AC2171" w14:textId="77777777" w:rsidR="002F7D4F" w:rsidRDefault="002F7D4F" w:rsidP="00FA05CC">
      <w:pPr>
        <w:spacing w:line="276" w:lineRule="auto"/>
        <w:jc w:val="both"/>
        <w:rPr>
          <w:rFonts w:ascii="Arial" w:hAnsi="Arial" w:cs="Arial"/>
          <w:sz w:val="24"/>
          <w:szCs w:val="24"/>
        </w:rPr>
      </w:pPr>
    </w:p>
    <w:p w14:paraId="268BC0A6" w14:textId="77777777" w:rsidR="002F7D4F" w:rsidRDefault="002F7D4F" w:rsidP="00FA05CC">
      <w:pPr>
        <w:spacing w:line="276" w:lineRule="auto"/>
        <w:jc w:val="both"/>
        <w:rPr>
          <w:rFonts w:ascii="Arial" w:hAnsi="Arial" w:cs="Arial"/>
          <w:sz w:val="24"/>
          <w:szCs w:val="24"/>
        </w:rPr>
      </w:pPr>
    </w:p>
    <w:p w14:paraId="5A6A568D" w14:textId="77777777" w:rsidR="002F7D4F" w:rsidRDefault="002F7D4F" w:rsidP="00FA05CC">
      <w:pPr>
        <w:spacing w:line="276" w:lineRule="auto"/>
        <w:jc w:val="both"/>
        <w:rPr>
          <w:rFonts w:ascii="Arial" w:hAnsi="Arial" w:cs="Arial"/>
          <w:sz w:val="24"/>
          <w:szCs w:val="24"/>
        </w:rPr>
      </w:pPr>
    </w:p>
    <w:p w14:paraId="3C874C8B" w14:textId="77777777" w:rsidR="00FA05CC" w:rsidRPr="00483BF0" w:rsidRDefault="00FA05CC" w:rsidP="00FA05CC">
      <w:pPr>
        <w:spacing w:line="276" w:lineRule="auto"/>
        <w:jc w:val="both"/>
        <w:rPr>
          <w:rFonts w:ascii="Arial" w:hAnsi="Arial" w:cs="Arial"/>
          <w:b/>
          <w:sz w:val="24"/>
          <w:szCs w:val="24"/>
          <w:u w:val="single"/>
        </w:rPr>
      </w:pPr>
      <w:r w:rsidRPr="00483BF0">
        <w:rPr>
          <w:rFonts w:ascii="Arial" w:hAnsi="Arial" w:cs="Arial"/>
          <w:b/>
          <w:sz w:val="24"/>
          <w:szCs w:val="24"/>
          <w:u w:val="single"/>
        </w:rPr>
        <w:lastRenderedPageBreak/>
        <w:t>Normativa:</w:t>
      </w:r>
    </w:p>
    <w:p w14:paraId="2D904ADC" w14:textId="77777777" w:rsidR="00FA05CC" w:rsidRPr="00483BF0" w:rsidRDefault="00FA05CC" w:rsidP="00FA05CC">
      <w:pPr>
        <w:spacing w:after="0"/>
        <w:rPr>
          <w:rFonts w:ascii="Arial" w:eastAsia="Calibri" w:hAnsi="Arial" w:cs="Arial"/>
          <w:b/>
          <w:sz w:val="24"/>
          <w:szCs w:val="24"/>
        </w:rPr>
      </w:pPr>
    </w:p>
    <w:p w14:paraId="1394B603" w14:textId="77777777" w:rsidR="00FA05CC" w:rsidRPr="00483BF0" w:rsidRDefault="00FA05CC" w:rsidP="00FA05CC">
      <w:pPr>
        <w:spacing w:after="0"/>
        <w:rPr>
          <w:rFonts w:ascii="Arial" w:eastAsia="Calibri" w:hAnsi="Arial" w:cs="Arial"/>
          <w:b/>
          <w:sz w:val="24"/>
          <w:szCs w:val="24"/>
        </w:rPr>
      </w:pPr>
      <w:r w:rsidRPr="00483BF0">
        <w:rPr>
          <w:rFonts w:ascii="Arial" w:eastAsia="Calibri" w:hAnsi="Arial" w:cs="Arial"/>
          <w:b/>
          <w:sz w:val="24"/>
          <w:szCs w:val="24"/>
        </w:rPr>
        <w:t>Ley de los Municipios del Estado de Quintana Roo.</w:t>
      </w:r>
    </w:p>
    <w:p w14:paraId="4B174DA2" w14:textId="77777777" w:rsidR="00FA05CC" w:rsidRPr="00483BF0" w:rsidRDefault="00FA05CC" w:rsidP="00FA05CC">
      <w:pPr>
        <w:spacing w:line="276" w:lineRule="auto"/>
        <w:jc w:val="both"/>
        <w:rPr>
          <w:rFonts w:ascii="Arial" w:hAnsi="Arial" w:cs="Arial"/>
          <w:sz w:val="24"/>
          <w:szCs w:val="24"/>
        </w:rPr>
      </w:pPr>
    </w:p>
    <w:p w14:paraId="580A10B3" w14:textId="77777777" w:rsidR="00FA05CC" w:rsidRPr="00483BF0" w:rsidRDefault="00FA05CC" w:rsidP="00FA05CC">
      <w:pPr>
        <w:spacing w:line="276" w:lineRule="auto"/>
        <w:jc w:val="both"/>
        <w:rPr>
          <w:rFonts w:ascii="Arial" w:hAnsi="Arial" w:cs="Arial"/>
          <w:b/>
          <w:bCs/>
          <w:sz w:val="24"/>
          <w:szCs w:val="24"/>
        </w:rPr>
      </w:pPr>
      <w:r w:rsidRPr="00483BF0">
        <w:rPr>
          <w:rFonts w:ascii="Arial" w:hAnsi="Arial" w:cs="Arial"/>
          <w:b/>
          <w:bCs/>
          <w:sz w:val="24"/>
          <w:szCs w:val="24"/>
        </w:rPr>
        <w:t>Propuesta 2:</w:t>
      </w:r>
    </w:p>
    <w:p w14:paraId="152F7C7F" w14:textId="77777777" w:rsidR="00FA05CC" w:rsidRPr="00483BF0" w:rsidRDefault="00FA05CC" w:rsidP="00FA05CC">
      <w:pPr>
        <w:spacing w:line="276" w:lineRule="auto"/>
        <w:jc w:val="both"/>
        <w:rPr>
          <w:rFonts w:ascii="Arial" w:hAnsi="Arial" w:cs="Arial"/>
          <w:bCs/>
          <w:sz w:val="24"/>
          <w:szCs w:val="24"/>
        </w:rPr>
      </w:pPr>
      <w:r w:rsidRPr="00483BF0">
        <w:rPr>
          <w:rFonts w:ascii="Arial" w:hAnsi="Arial" w:cs="Arial"/>
          <w:bCs/>
          <w:sz w:val="24"/>
          <w:szCs w:val="24"/>
        </w:rPr>
        <w:t>Actualizar y adecuar disposiciones</w:t>
      </w:r>
    </w:p>
    <w:p w14:paraId="59C7C2F7" w14:textId="77777777" w:rsidR="00FA05CC" w:rsidRPr="00483BF0" w:rsidRDefault="00FA05CC" w:rsidP="00FA05CC">
      <w:pPr>
        <w:jc w:val="both"/>
        <w:rPr>
          <w:rFonts w:ascii="Arial" w:eastAsia="Calibri" w:hAnsi="Arial" w:cs="Arial"/>
          <w:sz w:val="24"/>
          <w:szCs w:val="24"/>
        </w:rPr>
      </w:pPr>
      <w:r w:rsidRPr="00483BF0">
        <w:rPr>
          <w:rFonts w:ascii="Arial" w:eastAsia="Calibri" w:hAnsi="Arial" w:cs="Arial"/>
          <w:sz w:val="24"/>
          <w:szCs w:val="24"/>
        </w:rPr>
        <w:t>Incluir en el artículo 72 de la Ley de los Municipios del Estado de Quintan Roo, la Comisión de Protección Civil, Prevención de Riesgos y Bomberos, como una comisión ordinaria para tratar asuntos relacionados con las materias propias de su denominación.</w:t>
      </w:r>
    </w:p>
    <w:p w14:paraId="5F8F6BB9" w14:textId="77777777" w:rsidR="00FA05CC" w:rsidRPr="00483BF0" w:rsidRDefault="00FA05CC" w:rsidP="00FA05CC">
      <w:pPr>
        <w:jc w:val="both"/>
        <w:rPr>
          <w:rFonts w:ascii="Arial" w:eastAsia="Calibri" w:hAnsi="Arial" w:cs="Arial"/>
          <w:sz w:val="24"/>
          <w:szCs w:val="24"/>
        </w:rPr>
      </w:pPr>
    </w:p>
    <w:p w14:paraId="1C248AED" w14:textId="77777777" w:rsidR="00FA05CC" w:rsidRPr="00483BF0" w:rsidRDefault="00B13342" w:rsidP="00FA05CC">
      <w:pPr>
        <w:ind w:left="720"/>
        <w:contextualSpacing/>
        <w:jc w:val="both"/>
        <w:rPr>
          <w:rFonts w:ascii="Arial" w:eastAsia="Calibri" w:hAnsi="Arial" w:cs="Arial"/>
          <w:sz w:val="24"/>
          <w:szCs w:val="24"/>
        </w:rPr>
      </w:pPr>
      <w:r w:rsidRPr="00483BF0">
        <w:rPr>
          <w:rFonts w:ascii="Arial" w:eastAsia="Calibri" w:hAnsi="Arial" w:cs="Arial"/>
          <w:b/>
          <w:bCs/>
          <w:sz w:val="24"/>
          <w:szCs w:val="24"/>
        </w:rPr>
        <w:t xml:space="preserve">Artículo </w:t>
      </w:r>
      <w:r w:rsidR="00FA05CC" w:rsidRPr="00483BF0">
        <w:rPr>
          <w:rFonts w:ascii="Arial" w:eastAsia="Calibri" w:hAnsi="Arial" w:cs="Arial"/>
          <w:b/>
          <w:bCs/>
          <w:sz w:val="24"/>
          <w:szCs w:val="24"/>
        </w:rPr>
        <w:t xml:space="preserve">72. </w:t>
      </w:r>
      <w:r w:rsidR="00FA05CC" w:rsidRPr="00483BF0">
        <w:rPr>
          <w:rFonts w:ascii="Arial" w:eastAsia="Calibri" w:hAnsi="Arial" w:cs="Arial"/>
          <w:sz w:val="24"/>
          <w:szCs w:val="24"/>
        </w:rPr>
        <w:t>El Ayuntamiento establecerá, cuando menos, las siguientes Comisiones Ordinarias:</w:t>
      </w:r>
    </w:p>
    <w:p w14:paraId="40F25D18" w14:textId="77777777" w:rsidR="00FA05CC" w:rsidRPr="00483BF0" w:rsidRDefault="00FA05CC" w:rsidP="00FA05CC">
      <w:pPr>
        <w:ind w:left="720"/>
        <w:contextualSpacing/>
        <w:jc w:val="both"/>
        <w:rPr>
          <w:rFonts w:ascii="Arial" w:eastAsia="Calibri" w:hAnsi="Arial" w:cs="Arial"/>
          <w:b/>
          <w:bCs/>
          <w:sz w:val="24"/>
          <w:szCs w:val="24"/>
        </w:rPr>
      </w:pPr>
    </w:p>
    <w:p w14:paraId="2CEA47FF" w14:textId="77777777" w:rsidR="00FA05CC" w:rsidRPr="00483BF0" w:rsidRDefault="00FA05CC" w:rsidP="00FA05CC">
      <w:pPr>
        <w:ind w:left="720"/>
        <w:contextualSpacing/>
        <w:jc w:val="both"/>
        <w:rPr>
          <w:rFonts w:ascii="Arial" w:eastAsia="Calibri" w:hAnsi="Arial" w:cs="Arial"/>
          <w:sz w:val="24"/>
          <w:szCs w:val="24"/>
        </w:rPr>
      </w:pPr>
      <w:r w:rsidRPr="00483BF0">
        <w:rPr>
          <w:rFonts w:ascii="Arial" w:eastAsia="Calibri" w:hAnsi="Arial" w:cs="Arial"/>
          <w:b/>
          <w:bCs/>
          <w:sz w:val="24"/>
          <w:szCs w:val="24"/>
        </w:rPr>
        <w:t>(…</w:t>
      </w:r>
      <w:r w:rsidRPr="00483BF0">
        <w:rPr>
          <w:rFonts w:ascii="Arial" w:eastAsia="Calibri" w:hAnsi="Arial" w:cs="Arial"/>
          <w:sz w:val="24"/>
          <w:szCs w:val="24"/>
        </w:rPr>
        <w:t>)</w:t>
      </w:r>
    </w:p>
    <w:p w14:paraId="32D8D927" w14:textId="77777777" w:rsidR="00FA05CC" w:rsidRPr="00264F6C" w:rsidRDefault="00FA05CC" w:rsidP="00FA05CC">
      <w:pPr>
        <w:ind w:left="720"/>
        <w:contextualSpacing/>
        <w:jc w:val="both"/>
        <w:rPr>
          <w:rFonts w:ascii="Arial" w:eastAsia="Calibri" w:hAnsi="Arial" w:cs="Arial"/>
          <w:sz w:val="24"/>
          <w:szCs w:val="24"/>
        </w:rPr>
      </w:pPr>
      <w:r w:rsidRPr="00264F6C">
        <w:rPr>
          <w:rFonts w:ascii="Arial" w:eastAsia="Calibri" w:hAnsi="Arial" w:cs="Arial"/>
          <w:bCs/>
          <w:sz w:val="24"/>
          <w:szCs w:val="24"/>
        </w:rPr>
        <w:t>XXII. Comisión de Protección Civil, Prevención de Riesgos y Bomberos.</w:t>
      </w:r>
    </w:p>
    <w:p w14:paraId="440F8D00" w14:textId="77777777" w:rsidR="00FA05CC" w:rsidRPr="00483BF0" w:rsidRDefault="00FA05CC" w:rsidP="00FA05CC">
      <w:pPr>
        <w:jc w:val="both"/>
        <w:rPr>
          <w:rFonts w:ascii="Arial" w:eastAsia="Calibri" w:hAnsi="Arial" w:cs="Arial"/>
          <w:sz w:val="24"/>
          <w:szCs w:val="24"/>
        </w:rPr>
      </w:pPr>
    </w:p>
    <w:p w14:paraId="23A11F0E" w14:textId="77777777" w:rsidR="00FA05CC" w:rsidRPr="00483BF0" w:rsidRDefault="00FA05CC" w:rsidP="00FA05CC">
      <w:pPr>
        <w:jc w:val="both"/>
        <w:rPr>
          <w:rFonts w:ascii="Arial" w:eastAsia="Calibri" w:hAnsi="Arial" w:cs="Arial"/>
          <w:b/>
          <w:sz w:val="24"/>
          <w:szCs w:val="24"/>
        </w:rPr>
      </w:pPr>
      <w:r w:rsidRPr="00483BF0">
        <w:rPr>
          <w:rFonts w:ascii="Arial" w:eastAsia="Calibri" w:hAnsi="Arial" w:cs="Arial"/>
          <w:b/>
          <w:sz w:val="24"/>
          <w:szCs w:val="24"/>
        </w:rPr>
        <w:t>Objetivo:</w:t>
      </w:r>
    </w:p>
    <w:p w14:paraId="77311EB2" w14:textId="77777777" w:rsidR="00FA05CC" w:rsidRPr="00483BF0" w:rsidRDefault="00FA05CC" w:rsidP="00FA05CC">
      <w:pPr>
        <w:spacing w:after="0"/>
        <w:jc w:val="both"/>
        <w:rPr>
          <w:rFonts w:ascii="Arial" w:eastAsia="Calibri" w:hAnsi="Arial" w:cs="Arial"/>
          <w:sz w:val="24"/>
          <w:szCs w:val="24"/>
        </w:rPr>
      </w:pPr>
      <w:r w:rsidRPr="00483BF0">
        <w:rPr>
          <w:rFonts w:ascii="Arial" w:eastAsia="Calibri" w:hAnsi="Arial" w:cs="Arial"/>
          <w:sz w:val="24"/>
          <w:szCs w:val="24"/>
        </w:rPr>
        <w:t>Contribuir al cumplimiento de las funciones del Ayuntamiento, relacionados con la prevención, mitigación, auxilio y apoyo a la población ante las amenazas de riesgo o la eventualidad de catástrofes, calamidades o desastres.</w:t>
      </w:r>
    </w:p>
    <w:p w14:paraId="32737EDD" w14:textId="77777777" w:rsidR="00FA05CC" w:rsidRPr="00483BF0" w:rsidRDefault="00FA05CC" w:rsidP="00FA05CC">
      <w:pPr>
        <w:spacing w:after="0"/>
        <w:jc w:val="both"/>
        <w:rPr>
          <w:rFonts w:ascii="Arial" w:eastAsia="Calibri" w:hAnsi="Arial" w:cs="Arial"/>
          <w:sz w:val="24"/>
          <w:szCs w:val="24"/>
        </w:rPr>
      </w:pPr>
    </w:p>
    <w:p w14:paraId="13D6A2DA" w14:textId="77777777" w:rsidR="00FA05CC" w:rsidRPr="00483BF0" w:rsidRDefault="00FA05CC" w:rsidP="00FA05CC">
      <w:pPr>
        <w:spacing w:after="0"/>
        <w:jc w:val="both"/>
        <w:rPr>
          <w:rFonts w:ascii="Arial" w:eastAsia="Calibri" w:hAnsi="Arial" w:cs="Arial"/>
          <w:sz w:val="24"/>
          <w:szCs w:val="24"/>
        </w:rPr>
      </w:pPr>
    </w:p>
    <w:p w14:paraId="2C32525F" w14:textId="77777777" w:rsidR="00FA05CC" w:rsidRPr="00483BF0" w:rsidRDefault="00FA05CC" w:rsidP="00FA05CC">
      <w:pPr>
        <w:jc w:val="both"/>
        <w:rPr>
          <w:rFonts w:ascii="Arial" w:eastAsia="Calibri" w:hAnsi="Arial" w:cs="Arial"/>
          <w:b/>
          <w:sz w:val="24"/>
          <w:szCs w:val="24"/>
        </w:rPr>
      </w:pPr>
      <w:r w:rsidRPr="00483BF0">
        <w:rPr>
          <w:rFonts w:ascii="Arial" w:eastAsia="Calibri" w:hAnsi="Arial" w:cs="Arial"/>
          <w:b/>
          <w:sz w:val="24"/>
          <w:szCs w:val="24"/>
        </w:rPr>
        <w:t>Riesgo Asociado:</w:t>
      </w:r>
    </w:p>
    <w:p w14:paraId="218EE3CD" w14:textId="77777777" w:rsidR="00FA05CC" w:rsidRPr="00483BF0" w:rsidRDefault="00FA05CC" w:rsidP="00FA05CC">
      <w:pPr>
        <w:jc w:val="both"/>
        <w:rPr>
          <w:rFonts w:ascii="Arial" w:eastAsia="Calibri" w:hAnsi="Arial" w:cs="Arial"/>
          <w:sz w:val="24"/>
          <w:szCs w:val="24"/>
        </w:rPr>
      </w:pPr>
      <w:r w:rsidRPr="00483BF0">
        <w:rPr>
          <w:rFonts w:ascii="Arial" w:eastAsia="Calibri" w:hAnsi="Arial" w:cs="Arial"/>
          <w:sz w:val="24"/>
          <w:szCs w:val="24"/>
        </w:rPr>
        <w:t>Falta de apoyo para la adecuada operación de la Protección Civil, Prevención de Riesgos y Bomberos del municipio.</w:t>
      </w:r>
    </w:p>
    <w:p w14:paraId="01C5E86C" w14:textId="77777777" w:rsidR="00FA05CC" w:rsidRPr="00483BF0" w:rsidRDefault="00FA05CC" w:rsidP="00FA05CC">
      <w:pPr>
        <w:jc w:val="both"/>
        <w:rPr>
          <w:rFonts w:ascii="Arial" w:eastAsia="Calibri" w:hAnsi="Arial" w:cs="Arial"/>
          <w:sz w:val="24"/>
          <w:szCs w:val="24"/>
        </w:rPr>
      </w:pPr>
      <w:r w:rsidRPr="00483BF0">
        <w:rPr>
          <w:rFonts w:ascii="Arial" w:eastAsia="Calibri" w:hAnsi="Arial" w:cs="Arial"/>
          <w:sz w:val="24"/>
          <w:szCs w:val="24"/>
        </w:rPr>
        <w:t>Falta de participación de la comisión señalada en los órganos del Sistema Municipal de Protección Civil para la toma de decisiones.</w:t>
      </w:r>
    </w:p>
    <w:p w14:paraId="20722C83" w14:textId="77777777" w:rsidR="00FA05CC" w:rsidRPr="00483BF0" w:rsidRDefault="00FA05CC" w:rsidP="00FA05CC">
      <w:pPr>
        <w:spacing w:line="276" w:lineRule="auto"/>
        <w:jc w:val="both"/>
        <w:rPr>
          <w:rFonts w:ascii="Arial" w:hAnsi="Arial" w:cs="Arial"/>
          <w:b/>
          <w:bCs/>
          <w:sz w:val="24"/>
          <w:szCs w:val="24"/>
        </w:rPr>
      </w:pPr>
    </w:p>
    <w:p w14:paraId="572256B0" w14:textId="77777777" w:rsidR="00FA05CC" w:rsidRPr="00483BF0" w:rsidRDefault="00FA05CC" w:rsidP="00FA05CC">
      <w:pPr>
        <w:spacing w:line="276" w:lineRule="auto"/>
        <w:jc w:val="both"/>
        <w:rPr>
          <w:rFonts w:ascii="Arial" w:hAnsi="Arial" w:cs="Arial"/>
          <w:b/>
          <w:bCs/>
          <w:sz w:val="24"/>
          <w:szCs w:val="24"/>
        </w:rPr>
      </w:pPr>
    </w:p>
    <w:p w14:paraId="5B647826" w14:textId="77777777" w:rsidR="00FA05CC" w:rsidRPr="00483BF0" w:rsidRDefault="00FA05CC" w:rsidP="00FA05CC">
      <w:pPr>
        <w:spacing w:line="276" w:lineRule="auto"/>
        <w:jc w:val="both"/>
        <w:rPr>
          <w:rFonts w:ascii="Arial" w:hAnsi="Arial" w:cs="Arial"/>
          <w:sz w:val="24"/>
          <w:szCs w:val="24"/>
        </w:rPr>
      </w:pPr>
    </w:p>
    <w:p w14:paraId="38623E52" w14:textId="77777777" w:rsidR="00FA05CC" w:rsidRPr="00483BF0" w:rsidRDefault="00FA05CC" w:rsidP="00FA05CC">
      <w:pPr>
        <w:spacing w:line="276" w:lineRule="auto"/>
        <w:jc w:val="both"/>
        <w:rPr>
          <w:rFonts w:ascii="Arial" w:hAnsi="Arial" w:cs="Arial"/>
          <w:sz w:val="24"/>
          <w:szCs w:val="24"/>
        </w:rPr>
      </w:pPr>
    </w:p>
    <w:p w14:paraId="2BFD9493" w14:textId="77777777" w:rsidR="00FA05CC" w:rsidRDefault="00FA05CC" w:rsidP="00FA05CC">
      <w:pPr>
        <w:spacing w:line="276" w:lineRule="auto"/>
        <w:jc w:val="both"/>
        <w:rPr>
          <w:rFonts w:ascii="Arial" w:hAnsi="Arial" w:cs="Arial"/>
          <w:sz w:val="24"/>
          <w:szCs w:val="24"/>
        </w:rPr>
      </w:pPr>
    </w:p>
    <w:p w14:paraId="3A399B80" w14:textId="77777777" w:rsidR="00FA05CC" w:rsidRPr="00483BF0" w:rsidRDefault="00FA05CC" w:rsidP="00FA05CC">
      <w:pPr>
        <w:spacing w:line="276" w:lineRule="auto"/>
        <w:jc w:val="both"/>
        <w:rPr>
          <w:rFonts w:ascii="Arial" w:hAnsi="Arial" w:cs="Arial"/>
          <w:b/>
          <w:sz w:val="24"/>
          <w:szCs w:val="24"/>
          <w:u w:val="single"/>
        </w:rPr>
      </w:pPr>
      <w:r w:rsidRPr="00483BF0">
        <w:rPr>
          <w:rFonts w:ascii="Arial" w:hAnsi="Arial" w:cs="Arial"/>
          <w:b/>
          <w:sz w:val="24"/>
          <w:szCs w:val="24"/>
          <w:u w:val="single"/>
        </w:rPr>
        <w:lastRenderedPageBreak/>
        <w:t>Normativa:</w:t>
      </w:r>
    </w:p>
    <w:p w14:paraId="4F0F5E02" w14:textId="77777777" w:rsidR="00FA05CC" w:rsidRPr="0024619B" w:rsidRDefault="00FA05CC" w:rsidP="00FA05CC">
      <w:pPr>
        <w:spacing w:after="0"/>
        <w:rPr>
          <w:rFonts w:ascii="Arial" w:eastAsia="Calibri" w:hAnsi="Arial" w:cs="Arial"/>
          <w:b/>
          <w:sz w:val="16"/>
          <w:szCs w:val="16"/>
        </w:rPr>
      </w:pPr>
    </w:p>
    <w:p w14:paraId="1B964AC5" w14:textId="77777777" w:rsidR="00FA05CC" w:rsidRPr="00483BF0" w:rsidRDefault="00FA05CC" w:rsidP="00FA05CC">
      <w:pPr>
        <w:spacing w:after="0"/>
        <w:rPr>
          <w:rFonts w:ascii="Arial" w:eastAsia="Calibri" w:hAnsi="Arial" w:cs="Arial"/>
          <w:b/>
          <w:sz w:val="24"/>
          <w:szCs w:val="24"/>
        </w:rPr>
      </w:pPr>
      <w:r w:rsidRPr="00483BF0">
        <w:rPr>
          <w:rFonts w:ascii="Arial" w:eastAsia="Calibri" w:hAnsi="Arial" w:cs="Arial"/>
          <w:b/>
          <w:sz w:val="24"/>
          <w:szCs w:val="24"/>
        </w:rPr>
        <w:t>Ley de Movilidad del Estado de Quintana Roo.</w:t>
      </w:r>
    </w:p>
    <w:p w14:paraId="6FBF2B73" w14:textId="77777777" w:rsidR="00FA05CC" w:rsidRPr="0024619B" w:rsidRDefault="00FA05CC" w:rsidP="00FA05CC">
      <w:pPr>
        <w:spacing w:line="276" w:lineRule="auto"/>
        <w:jc w:val="both"/>
        <w:rPr>
          <w:rFonts w:ascii="Arial" w:hAnsi="Arial" w:cs="Arial"/>
          <w:sz w:val="16"/>
          <w:szCs w:val="16"/>
        </w:rPr>
      </w:pPr>
    </w:p>
    <w:p w14:paraId="13F2CA59" w14:textId="77777777" w:rsidR="00FA05CC" w:rsidRPr="00483BF0" w:rsidRDefault="00FA05CC" w:rsidP="00FA05CC">
      <w:pPr>
        <w:spacing w:line="276" w:lineRule="auto"/>
        <w:jc w:val="both"/>
        <w:rPr>
          <w:rFonts w:ascii="Arial" w:hAnsi="Arial" w:cs="Arial"/>
          <w:b/>
          <w:bCs/>
          <w:sz w:val="24"/>
          <w:szCs w:val="24"/>
        </w:rPr>
      </w:pPr>
      <w:r w:rsidRPr="00483BF0">
        <w:rPr>
          <w:rFonts w:ascii="Arial" w:hAnsi="Arial" w:cs="Arial"/>
          <w:b/>
          <w:bCs/>
          <w:sz w:val="24"/>
          <w:szCs w:val="24"/>
        </w:rPr>
        <w:t>Propuesta 3:</w:t>
      </w:r>
    </w:p>
    <w:p w14:paraId="64497DA4" w14:textId="77777777" w:rsidR="00FA05CC" w:rsidRPr="00483BF0" w:rsidRDefault="00FA05CC" w:rsidP="00FA05CC">
      <w:pPr>
        <w:spacing w:line="276" w:lineRule="auto"/>
        <w:jc w:val="both"/>
        <w:rPr>
          <w:rFonts w:ascii="Arial" w:hAnsi="Arial" w:cs="Arial"/>
          <w:bCs/>
          <w:sz w:val="24"/>
          <w:szCs w:val="24"/>
        </w:rPr>
      </w:pPr>
      <w:r w:rsidRPr="00483BF0">
        <w:rPr>
          <w:rFonts w:ascii="Arial" w:hAnsi="Arial" w:cs="Arial"/>
          <w:bCs/>
          <w:sz w:val="24"/>
          <w:szCs w:val="24"/>
        </w:rPr>
        <w:t>Actualizar y adecuar disposiciones</w:t>
      </w:r>
    </w:p>
    <w:p w14:paraId="7265D717" w14:textId="77777777" w:rsidR="00FA05CC" w:rsidRPr="00483BF0" w:rsidRDefault="00FA05CC" w:rsidP="00FA05CC">
      <w:pPr>
        <w:jc w:val="both"/>
        <w:rPr>
          <w:rFonts w:ascii="Arial" w:eastAsia="Calibri" w:hAnsi="Arial" w:cs="Arial"/>
          <w:sz w:val="24"/>
          <w:szCs w:val="24"/>
        </w:rPr>
      </w:pPr>
      <w:r w:rsidRPr="00483BF0">
        <w:rPr>
          <w:rFonts w:ascii="Arial" w:eastAsia="Calibri" w:hAnsi="Arial" w:cs="Arial"/>
          <w:sz w:val="24"/>
          <w:szCs w:val="24"/>
        </w:rPr>
        <w:t>Se deben modificar los artículos 153 y 184 tomando en consideración el concepto de concesión en todas las modalidades en la que se presta el servicio público de transporte.</w:t>
      </w:r>
    </w:p>
    <w:p w14:paraId="47F97761" w14:textId="77777777" w:rsidR="00FA05CC" w:rsidRPr="0024619B" w:rsidRDefault="00FA05CC" w:rsidP="00FA05CC">
      <w:pPr>
        <w:jc w:val="both"/>
        <w:rPr>
          <w:rFonts w:ascii="Arial" w:eastAsia="Calibri" w:hAnsi="Arial" w:cs="Arial"/>
          <w:sz w:val="16"/>
          <w:szCs w:val="16"/>
        </w:rPr>
      </w:pPr>
    </w:p>
    <w:p w14:paraId="48659EFA" w14:textId="77777777" w:rsidR="00FA05CC" w:rsidRPr="00483BF0" w:rsidRDefault="00FA05CC" w:rsidP="00FA05CC">
      <w:pPr>
        <w:ind w:left="720"/>
        <w:contextualSpacing/>
        <w:jc w:val="both"/>
        <w:rPr>
          <w:rFonts w:ascii="Arial" w:eastAsia="Calibri" w:hAnsi="Arial" w:cs="Arial"/>
          <w:b/>
          <w:bCs/>
          <w:sz w:val="24"/>
          <w:szCs w:val="24"/>
        </w:rPr>
      </w:pPr>
      <w:r w:rsidRPr="00483BF0">
        <w:rPr>
          <w:rFonts w:ascii="Arial" w:eastAsia="Calibri" w:hAnsi="Arial" w:cs="Arial"/>
          <w:b/>
          <w:bCs/>
          <w:sz w:val="24"/>
          <w:szCs w:val="24"/>
        </w:rPr>
        <w:t xml:space="preserve">Artículo 153. </w:t>
      </w:r>
      <w:r w:rsidRPr="00483BF0">
        <w:rPr>
          <w:rFonts w:ascii="Arial" w:eastAsia="Calibri" w:hAnsi="Arial" w:cs="Arial"/>
          <w:bCs/>
          <w:sz w:val="24"/>
          <w:szCs w:val="24"/>
        </w:rPr>
        <w:t>El vehículo mediante el que se preste el servicio público de transporte a través de plataformas tecnológicas o digitales, deberá contar con un certificado vehicular expedido por el Instituto.</w:t>
      </w:r>
    </w:p>
    <w:p w14:paraId="7D90B562" w14:textId="77777777" w:rsidR="00FA05CC" w:rsidRPr="00483BF0" w:rsidRDefault="00FA05CC" w:rsidP="00FA05CC">
      <w:pPr>
        <w:ind w:left="720"/>
        <w:contextualSpacing/>
        <w:jc w:val="both"/>
        <w:rPr>
          <w:rFonts w:ascii="Arial" w:eastAsia="Calibri" w:hAnsi="Arial" w:cs="Arial"/>
          <w:sz w:val="24"/>
          <w:szCs w:val="24"/>
        </w:rPr>
      </w:pPr>
      <w:r w:rsidRPr="00483BF0">
        <w:rPr>
          <w:rFonts w:ascii="Arial" w:eastAsia="Calibri" w:hAnsi="Arial" w:cs="Arial"/>
          <w:bCs/>
          <w:sz w:val="24"/>
          <w:szCs w:val="24"/>
        </w:rPr>
        <w:t>(</w:t>
      </w:r>
      <w:r w:rsidRPr="00483BF0">
        <w:rPr>
          <w:rFonts w:ascii="Arial" w:eastAsia="Calibri" w:hAnsi="Arial" w:cs="Arial"/>
          <w:b/>
          <w:bCs/>
          <w:sz w:val="24"/>
          <w:szCs w:val="24"/>
        </w:rPr>
        <w:t>…</w:t>
      </w:r>
      <w:r w:rsidRPr="00483BF0">
        <w:rPr>
          <w:rFonts w:ascii="Arial" w:eastAsia="Calibri" w:hAnsi="Arial" w:cs="Arial"/>
          <w:sz w:val="24"/>
          <w:szCs w:val="24"/>
        </w:rPr>
        <w:t>)</w:t>
      </w:r>
    </w:p>
    <w:p w14:paraId="338B6544" w14:textId="77777777" w:rsidR="00FA05CC" w:rsidRPr="00483BF0" w:rsidRDefault="00FA05CC" w:rsidP="00FA05CC">
      <w:pPr>
        <w:ind w:left="720"/>
        <w:contextualSpacing/>
        <w:jc w:val="both"/>
        <w:rPr>
          <w:rFonts w:ascii="Arial" w:eastAsia="Calibri" w:hAnsi="Arial" w:cs="Arial"/>
          <w:sz w:val="24"/>
          <w:szCs w:val="24"/>
        </w:rPr>
      </w:pPr>
    </w:p>
    <w:p w14:paraId="05B8B481" w14:textId="77777777" w:rsidR="00FA05CC" w:rsidRPr="00483BF0" w:rsidRDefault="00FA05CC" w:rsidP="00FA05CC">
      <w:pPr>
        <w:ind w:left="720"/>
        <w:contextualSpacing/>
        <w:jc w:val="both"/>
        <w:rPr>
          <w:rFonts w:ascii="Arial" w:eastAsia="Calibri" w:hAnsi="Arial" w:cs="Arial"/>
          <w:bCs/>
          <w:sz w:val="24"/>
          <w:szCs w:val="24"/>
        </w:rPr>
      </w:pPr>
      <w:r w:rsidRPr="00483BF0">
        <w:rPr>
          <w:rFonts w:ascii="Arial" w:eastAsia="Calibri" w:hAnsi="Arial" w:cs="Arial"/>
          <w:bCs/>
          <w:sz w:val="24"/>
          <w:szCs w:val="24"/>
        </w:rPr>
        <w:t xml:space="preserve">Artículo 153. El vehículo mediante el que se preste el servicio público de transporte </w:t>
      </w:r>
      <w:r w:rsidRPr="00264F6C">
        <w:rPr>
          <w:rFonts w:ascii="Arial" w:eastAsia="Calibri" w:hAnsi="Arial" w:cs="Arial"/>
          <w:bCs/>
          <w:sz w:val="24"/>
          <w:szCs w:val="24"/>
        </w:rPr>
        <w:t xml:space="preserve">en todas sus modalidades, </w:t>
      </w:r>
      <w:r w:rsidRPr="00483BF0">
        <w:rPr>
          <w:rFonts w:ascii="Arial" w:eastAsia="Calibri" w:hAnsi="Arial" w:cs="Arial"/>
          <w:bCs/>
          <w:sz w:val="24"/>
          <w:szCs w:val="24"/>
        </w:rPr>
        <w:t>deberá contar con un certificado vehicular expedido por el Instituto.</w:t>
      </w:r>
    </w:p>
    <w:p w14:paraId="19F16154" w14:textId="77777777" w:rsidR="00FA05CC" w:rsidRPr="00483BF0" w:rsidRDefault="00FA05CC" w:rsidP="00FA05CC">
      <w:pPr>
        <w:ind w:left="720"/>
        <w:contextualSpacing/>
        <w:jc w:val="both"/>
        <w:rPr>
          <w:rFonts w:ascii="Arial" w:eastAsia="Calibri" w:hAnsi="Arial" w:cs="Arial"/>
          <w:bCs/>
          <w:sz w:val="24"/>
          <w:szCs w:val="24"/>
        </w:rPr>
      </w:pPr>
      <w:r w:rsidRPr="00483BF0">
        <w:rPr>
          <w:rFonts w:ascii="Arial" w:eastAsia="Calibri" w:hAnsi="Arial" w:cs="Arial"/>
          <w:bCs/>
          <w:sz w:val="24"/>
          <w:szCs w:val="24"/>
        </w:rPr>
        <w:t>(…)</w:t>
      </w:r>
    </w:p>
    <w:p w14:paraId="5C2F8A49" w14:textId="77777777" w:rsidR="00FA05CC" w:rsidRPr="00483BF0" w:rsidRDefault="00FA05CC" w:rsidP="00FA05CC">
      <w:pPr>
        <w:ind w:left="720"/>
        <w:contextualSpacing/>
        <w:jc w:val="both"/>
        <w:rPr>
          <w:rFonts w:ascii="Arial" w:eastAsia="Calibri" w:hAnsi="Arial" w:cs="Arial"/>
          <w:b/>
          <w:bCs/>
          <w:color w:val="2E74B5" w:themeColor="accent1" w:themeShade="BF"/>
          <w:sz w:val="24"/>
          <w:szCs w:val="24"/>
        </w:rPr>
      </w:pPr>
    </w:p>
    <w:p w14:paraId="26D90A42" w14:textId="77777777" w:rsidR="00FA05CC" w:rsidRPr="00483BF0" w:rsidRDefault="00B13342" w:rsidP="00FA05CC">
      <w:pPr>
        <w:ind w:left="720"/>
        <w:contextualSpacing/>
        <w:jc w:val="both"/>
        <w:rPr>
          <w:rFonts w:ascii="Arial" w:eastAsia="Calibri" w:hAnsi="Arial" w:cs="Arial"/>
          <w:b/>
          <w:bCs/>
          <w:sz w:val="24"/>
          <w:szCs w:val="24"/>
        </w:rPr>
      </w:pPr>
      <w:r w:rsidRPr="00483BF0">
        <w:rPr>
          <w:rFonts w:ascii="Arial" w:eastAsia="Calibri" w:hAnsi="Arial" w:cs="Arial"/>
          <w:b/>
          <w:bCs/>
          <w:sz w:val="24"/>
          <w:szCs w:val="24"/>
        </w:rPr>
        <w:t xml:space="preserve">Artículo </w:t>
      </w:r>
      <w:r w:rsidR="00FA05CC" w:rsidRPr="00483BF0">
        <w:rPr>
          <w:rFonts w:ascii="Arial" w:eastAsia="Calibri" w:hAnsi="Arial" w:cs="Arial"/>
          <w:b/>
          <w:bCs/>
          <w:sz w:val="24"/>
          <w:szCs w:val="24"/>
        </w:rPr>
        <w:t xml:space="preserve">184. </w:t>
      </w:r>
      <w:r w:rsidR="00FA05CC" w:rsidRPr="00483BF0">
        <w:rPr>
          <w:rFonts w:ascii="Arial" w:eastAsia="Calibri" w:hAnsi="Arial" w:cs="Arial"/>
          <w:bCs/>
          <w:sz w:val="24"/>
          <w:szCs w:val="24"/>
        </w:rPr>
        <w:t>El Registro Público del Transporte se integrará por los siguientes registros:</w:t>
      </w:r>
    </w:p>
    <w:p w14:paraId="6F6B437D" w14:textId="77777777" w:rsidR="00FA05CC" w:rsidRPr="00483BF0" w:rsidRDefault="00FA05CC" w:rsidP="00FA05CC">
      <w:pPr>
        <w:ind w:left="720"/>
        <w:contextualSpacing/>
        <w:jc w:val="both"/>
        <w:rPr>
          <w:rFonts w:ascii="Arial" w:eastAsia="Calibri" w:hAnsi="Arial" w:cs="Arial"/>
          <w:sz w:val="24"/>
          <w:szCs w:val="24"/>
        </w:rPr>
      </w:pPr>
      <w:r w:rsidRPr="00483BF0">
        <w:rPr>
          <w:rFonts w:ascii="Arial" w:eastAsia="Calibri" w:hAnsi="Arial" w:cs="Arial"/>
          <w:bCs/>
          <w:sz w:val="24"/>
          <w:szCs w:val="24"/>
        </w:rPr>
        <w:t>(</w:t>
      </w:r>
      <w:r w:rsidRPr="00483BF0">
        <w:rPr>
          <w:rFonts w:ascii="Arial" w:eastAsia="Calibri" w:hAnsi="Arial" w:cs="Arial"/>
          <w:b/>
          <w:bCs/>
          <w:sz w:val="24"/>
          <w:szCs w:val="24"/>
        </w:rPr>
        <w:t>…</w:t>
      </w:r>
      <w:r w:rsidRPr="00483BF0">
        <w:rPr>
          <w:rFonts w:ascii="Arial" w:eastAsia="Calibri" w:hAnsi="Arial" w:cs="Arial"/>
          <w:sz w:val="24"/>
          <w:szCs w:val="24"/>
        </w:rPr>
        <w:t>)</w:t>
      </w:r>
    </w:p>
    <w:p w14:paraId="0109177D" w14:textId="77777777" w:rsidR="00FA05CC" w:rsidRPr="00483BF0" w:rsidRDefault="00FA05CC" w:rsidP="00FA05CC">
      <w:pPr>
        <w:ind w:left="720"/>
        <w:contextualSpacing/>
        <w:jc w:val="both"/>
        <w:rPr>
          <w:rFonts w:ascii="Arial" w:eastAsia="Calibri" w:hAnsi="Arial" w:cs="Arial"/>
          <w:sz w:val="24"/>
          <w:szCs w:val="24"/>
        </w:rPr>
      </w:pPr>
      <w:r w:rsidRPr="00483BF0">
        <w:rPr>
          <w:rFonts w:ascii="Arial" w:eastAsia="Calibri" w:hAnsi="Arial" w:cs="Arial"/>
          <w:bCs/>
          <w:sz w:val="24"/>
          <w:szCs w:val="24"/>
        </w:rPr>
        <w:t>IX</w:t>
      </w:r>
      <w:r w:rsidRPr="00483BF0">
        <w:rPr>
          <w:rFonts w:ascii="Arial" w:eastAsia="Calibri" w:hAnsi="Arial" w:cs="Arial"/>
          <w:sz w:val="24"/>
          <w:szCs w:val="24"/>
        </w:rPr>
        <w:t>. De las autorizaciones, concesiones y certificados en materia de servicios de transporte contratados a través de plataformas tecnológicas o digitales;</w:t>
      </w:r>
    </w:p>
    <w:p w14:paraId="54D6BA4D" w14:textId="77777777" w:rsidR="00FA05CC" w:rsidRPr="00483BF0" w:rsidRDefault="00FA05CC" w:rsidP="00FA05CC">
      <w:pPr>
        <w:spacing w:after="0"/>
        <w:jc w:val="both"/>
        <w:rPr>
          <w:rFonts w:ascii="Arial" w:eastAsia="Calibri" w:hAnsi="Arial" w:cs="Arial"/>
          <w:sz w:val="24"/>
          <w:szCs w:val="24"/>
        </w:rPr>
      </w:pPr>
    </w:p>
    <w:p w14:paraId="4CB5F60A" w14:textId="77777777" w:rsidR="00FA05CC" w:rsidRPr="00483BF0" w:rsidRDefault="00FA05CC" w:rsidP="00FA05CC">
      <w:pPr>
        <w:spacing w:after="0"/>
        <w:ind w:left="720"/>
        <w:contextualSpacing/>
        <w:jc w:val="both"/>
        <w:rPr>
          <w:rFonts w:ascii="Arial" w:eastAsia="Calibri" w:hAnsi="Arial" w:cs="Arial"/>
          <w:bCs/>
          <w:color w:val="2E74B5" w:themeColor="accent1" w:themeShade="BF"/>
          <w:sz w:val="24"/>
          <w:szCs w:val="24"/>
        </w:rPr>
      </w:pPr>
      <w:r w:rsidRPr="00483BF0">
        <w:rPr>
          <w:rFonts w:ascii="Arial" w:eastAsia="Calibri" w:hAnsi="Arial" w:cs="Arial"/>
          <w:bCs/>
          <w:sz w:val="24"/>
          <w:szCs w:val="24"/>
        </w:rPr>
        <w:t xml:space="preserve">IX. De las autorizaciones, concesiones y certificados en materia de servicios de transporte </w:t>
      </w:r>
      <w:r w:rsidRPr="00264F6C">
        <w:rPr>
          <w:rFonts w:ascii="Arial" w:eastAsia="Calibri" w:hAnsi="Arial" w:cs="Arial"/>
          <w:bCs/>
          <w:sz w:val="24"/>
          <w:szCs w:val="24"/>
        </w:rPr>
        <w:t>en todas sus modalidades;</w:t>
      </w:r>
    </w:p>
    <w:p w14:paraId="7BACA94F" w14:textId="77777777" w:rsidR="00FA05CC" w:rsidRPr="00483BF0" w:rsidRDefault="00FA05CC" w:rsidP="00FA05CC">
      <w:pPr>
        <w:jc w:val="both"/>
        <w:rPr>
          <w:rFonts w:ascii="Arial" w:eastAsia="Calibri" w:hAnsi="Arial" w:cs="Arial"/>
          <w:sz w:val="24"/>
          <w:szCs w:val="24"/>
        </w:rPr>
      </w:pPr>
    </w:p>
    <w:p w14:paraId="29E82713" w14:textId="77777777" w:rsidR="00FA05CC" w:rsidRPr="00483BF0" w:rsidRDefault="00FA05CC" w:rsidP="00FA05CC">
      <w:pPr>
        <w:jc w:val="both"/>
        <w:rPr>
          <w:rFonts w:ascii="Arial" w:eastAsia="Calibri" w:hAnsi="Arial" w:cs="Arial"/>
          <w:b/>
          <w:sz w:val="24"/>
          <w:szCs w:val="24"/>
        </w:rPr>
      </w:pPr>
      <w:r w:rsidRPr="00483BF0">
        <w:rPr>
          <w:rFonts w:ascii="Arial" w:eastAsia="Calibri" w:hAnsi="Arial" w:cs="Arial"/>
          <w:b/>
          <w:sz w:val="24"/>
          <w:szCs w:val="24"/>
        </w:rPr>
        <w:t>Objetivo:</w:t>
      </w:r>
    </w:p>
    <w:p w14:paraId="4A2FC29E" w14:textId="77777777" w:rsidR="00FA05CC" w:rsidRPr="00483BF0" w:rsidRDefault="00FA05CC" w:rsidP="00FA05CC">
      <w:pPr>
        <w:spacing w:after="0"/>
        <w:jc w:val="both"/>
        <w:rPr>
          <w:rFonts w:ascii="Arial" w:eastAsia="Calibri" w:hAnsi="Arial" w:cs="Arial"/>
          <w:sz w:val="24"/>
          <w:szCs w:val="24"/>
        </w:rPr>
      </w:pPr>
      <w:r w:rsidRPr="00483BF0">
        <w:rPr>
          <w:rFonts w:ascii="Arial" w:eastAsia="Calibri" w:hAnsi="Arial" w:cs="Arial"/>
          <w:sz w:val="24"/>
          <w:szCs w:val="24"/>
        </w:rPr>
        <w:t>Establecer las bases y directrices para regular la movilidad de las personas y libre tránsito del transporte público en todas sus modalidades.</w:t>
      </w:r>
    </w:p>
    <w:p w14:paraId="254A0283" w14:textId="77777777" w:rsidR="00FA05CC" w:rsidRPr="00483BF0" w:rsidRDefault="00FA05CC" w:rsidP="00FA05CC">
      <w:pPr>
        <w:spacing w:after="0"/>
        <w:jc w:val="both"/>
        <w:rPr>
          <w:rFonts w:ascii="Arial" w:eastAsia="Calibri" w:hAnsi="Arial" w:cs="Arial"/>
          <w:sz w:val="24"/>
          <w:szCs w:val="24"/>
        </w:rPr>
      </w:pPr>
    </w:p>
    <w:p w14:paraId="234F30A3" w14:textId="77777777" w:rsidR="00FA05CC" w:rsidRPr="00483BF0" w:rsidRDefault="00FA05CC" w:rsidP="00FA05CC">
      <w:pPr>
        <w:jc w:val="both"/>
        <w:rPr>
          <w:rFonts w:ascii="Arial" w:eastAsia="Calibri" w:hAnsi="Arial" w:cs="Arial"/>
          <w:b/>
          <w:sz w:val="24"/>
          <w:szCs w:val="24"/>
        </w:rPr>
      </w:pPr>
      <w:r w:rsidRPr="00483BF0">
        <w:rPr>
          <w:rFonts w:ascii="Arial" w:eastAsia="Calibri" w:hAnsi="Arial" w:cs="Arial"/>
          <w:b/>
          <w:sz w:val="24"/>
          <w:szCs w:val="24"/>
        </w:rPr>
        <w:t>Riesgo Asociado:</w:t>
      </w:r>
    </w:p>
    <w:p w14:paraId="300996E9" w14:textId="77777777" w:rsidR="00FA05CC" w:rsidRPr="00483BF0" w:rsidRDefault="00FA05CC" w:rsidP="00FA05CC">
      <w:pPr>
        <w:spacing w:line="276" w:lineRule="auto"/>
        <w:jc w:val="both"/>
        <w:rPr>
          <w:rFonts w:ascii="Arial" w:eastAsia="Calibri" w:hAnsi="Arial" w:cs="Arial"/>
          <w:sz w:val="24"/>
          <w:szCs w:val="24"/>
        </w:rPr>
      </w:pPr>
      <w:r w:rsidRPr="00483BF0">
        <w:rPr>
          <w:rFonts w:ascii="Arial" w:eastAsia="Calibri" w:hAnsi="Arial" w:cs="Arial"/>
          <w:sz w:val="24"/>
          <w:szCs w:val="24"/>
        </w:rPr>
        <w:t>Falta de garantía a la promoción y protección del derecho humano a la movilidad.</w:t>
      </w:r>
    </w:p>
    <w:p w14:paraId="7AEF3D3C" w14:textId="77777777" w:rsidR="00FA05CC" w:rsidRPr="00483BF0" w:rsidRDefault="00FA05CC" w:rsidP="00FA05CC">
      <w:pPr>
        <w:spacing w:line="276" w:lineRule="auto"/>
        <w:jc w:val="both"/>
        <w:rPr>
          <w:rFonts w:ascii="Arial" w:eastAsia="Calibri" w:hAnsi="Arial" w:cs="Arial"/>
          <w:sz w:val="24"/>
          <w:szCs w:val="24"/>
        </w:rPr>
      </w:pPr>
      <w:r w:rsidRPr="00483BF0">
        <w:rPr>
          <w:rFonts w:ascii="Arial" w:eastAsia="Calibri" w:hAnsi="Arial" w:cs="Arial"/>
          <w:sz w:val="24"/>
          <w:szCs w:val="24"/>
        </w:rPr>
        <w:t>Imposibilitar el efectivo desplazamiento de las personas en condiciones de seguridad, calidad e igualdad, que satisfaga sus necesidades y el desarrollo de la sociedad en su conjunto.</w:t>
      </w:r>
    </w:p>
    <w:p w14:paraId="470D29C5" w14:textId="77777777" w:rsidR="00FA05CC" w:rsidRPr="00483BF0" w:rsidRDefault="00FA05CC" w:rsidP="00FA05CC">
      <w:pPr>
        <w:spacing w:line="276" w:lineRule="auto"/>
        <w:jc w:val="both"/>
        <w:rPr>
          <w:rFonts w:ascii="Arial" w:hAnsi="Arial" w:cs="Arial"/>
          <w:b/>
          <w:bCs/>
          <w:sz w:val="24"/>
          <w:szCs w:val="24"/>
          <w:u w:val="single"/>
        </w:rPr>
      </w:pPr>
      <w:r w:rsidRPr="00483BF0">
        <w:rPr>
          <w:rFonts w:ascii="Arial" w:hAnsi="Arial" w:cs="Arial"/>
          <w:b/>
          <w:bCs/>
          <w:sz w:val="24"/>
          <w:szCs w:val="24"/>
          <w:u w:val="single"/>
        </w:rPr>
        <w:lastRenderedPageBreak/>
        <w:t>CONTRATACIONES, ADQUISIONES Y OBRA PÚBLICA.</w:t>
      </w:r>
    </w:p>
    <w:p w14:paraId="5F0857E3" w14:textId="77777777" w:rsidR="00B13342" w:rsidRPr="00483BF0" w:rsidRDefault="00B13342" w:rsidP="00B13342">
      <w:pPr>
        <w:widowControl w:val="0"/>
        <w:autoSpaceDE w:val="0"/>
        <w:autoSpaceDN w:val="0"/>
        <w:spacing w:before="184" w:after="0" w:line="256" w:lineRule="auto"/>
        <w:rPr>
          <w:rFonts w:ascii="Arial" w:eastAsia="Arial" w:hAnsi="Arial" w:cs="Arial"/>
          <w:b/>
          <w:sz w:val="24"/>
          <w:szCs w:val="24"/>
          <w:lang w:val="es-ES" w:eastAsia="es-ES" w:bidi="es-ES"/>
        </w:rPr>
      </w:pPr>
      <w:r w:rsidRPr="00B13342">
        <w:rPr>
          <w:rFonts w:ascii="Arial" w:eastAsia="Arial" w:hAnsi="Arial" w:cs="Arial"/>
          <w:b/>
          <w:sz w:val="24"/>
          <w:szCs w:val="24"/>
          <w:u w:val="single"/>
          <w:lang w:val="es-ES" w:eastAsia="es-ES" w:bidi="es-ES"/>
        </w:rPr>
        <w:t>Normativa</w:t>
      </w:r>
      <w:r w:rsidRPr="00483BF0">
        <w:rPr>
          <w:rFonts w:ascii="Arial" w:eastAsia="Arial" w:hAnsi="Arial" w:cs="Arial"/>
          <w:b/>
          <w:sz w:val="24"/>
          <w:szCs w:val="24"/>
          <w:lang w:val="es-ES" w:eastAsia="es-ES" w:bidi="es-ES"/>
        </w:rPr>
        <w:t>:</w:t>
      </w:r>
    </w:p>
    <w:p w14:paraId="5E2079D4" w14:textId="77777777" w:rsidR="00FA05CC" w:rsidRPr="00B13342" w:rsidRDefault="00FA05CC" w:rsidP="00FA05CC">
      <w:pPr>
        <w:widowControl w:val="0"/>
        <w:autoSpaceDE w:val="0"/>
        <w:autoSpaceDN w:val="0"/>
        <w:spacing w:before="184" w:after="0" w:line="256" w:lineRule="auto"/>
        <w:rPr>
          <w:rFonts w:ascii="Arial" w:eastAsia="Arial" w:hAnsi="Arial" w:cs="Arial"/>
          <w:b/>
          <w:sz w:val="24"/>
          <w:szCs w:val="24"/>
          <w:lang w:val="es-ES" w:eastAsia="es-ES" w:bidi="es-ES"/>
        </w:rPr>
      </w:pPr>
      <w:r w:rsidRPr="00B13342">
        <w:rPr>
          <w:rFonts w:ascii="Arial" w:eastAsia="Arial" w:hAnsi="Arial" w:cs="Arial"/>
          <w:b/>
          <w:sz w:val="24"/>
          <w:szCs w:val="24"/>
          <w:lang w:val="es-ES" w:eastAsia="es-ES" w:bidi="es-ES"/>
        </w:rPr>
        <w:t>Ley de Obras Públicas y Servicios Relacionados con las Mismas del Estado de Quintana Roo.</w:t>
      </w:r>
    </w:p>
    <w:p w14:paraId="1EEE961B" w14:textId="77777777" w:rsidR="00B13342" w:rsidRDefault="00B13342" w:rsidP="00B13342">
      <w:pPr>
        <w:spacing w:line="276" w:lineRule="auto"/>
        <w:jc w:val="both"/>
        <w:rPr>
          <w:rFonts w:ascii="Arial" w:hAnsi="Arial" w:cs="Arial"/>
          <w:b/>
          <w:bCs/>
          <w:sz w:val="24"/>
          <w:szCs w:val="24"/>
        </w:rPr>
      </w:pPr>
    </w:p>
    <w:p w14:paraId="4201465A" w14:textId="77777777" w:rsidR="00B13342" w:rsidRPr="00B13342" w:rsidRDefault="00B13342" w:rsidP="00B13342">
      <w:pPr>
        <w:spacing w:line="276" w:lineRule="auto"/>
        <w:jc w:val="both"/>
        <w:rPr>
          <w:rFonts w:ascii="Arial" w:hAnsi="Arial" w:cs="Arial"/>
          <w:b/>
          <w:bCs/>
          <w:sz w:val="24"/>
          <w:szCs w:val="24"/>
        </w:rPr>
      </w:pPr>
      <w:r w:rsidRPr="00483BF0">
        <w:rPr>
          <w:rFonts w:ascii="Arial" w:hAnsi="Arial" w:cs="Arial"/>
          <w:b/>
          <w:bCs/>
          <w:sz w:val="24"/>
          <w:szCs w:val="24"/>
        </w:rPr>
        <w:t xml:space="preserve">Propuesta </w:t>
      </w:r>
      <w:r w:rsidRPr="00B13342">
        <w:rPr>
          <w:rFonts w:ascii="Arial" w:hAnsi="Arial" w:cs="Arial"/>
          <w:b/>
          <w:bCs/>
          <w:sz w:val="24"/>
          <w:szCs w:val="24"/>
        </w:rPr>
        <w:t>4:</w:t>
      </w:r>
    </w:p>
    <w:p w14:paraId="45F4BB8B" w14:textId="77777777" w:rsidR="00B13342" w:rsidRPr="0024619B" w:rsidRDefault="00B13342" w:rsidP="00FA05CC">
      <w:pPr>
        <w:spacing w:line="276" w:lineRule="auto"/>
        <w:jc w:val="both"/>
        <w:rPr>
          <w:rFonts w:ascii="Arial" w:hAnsi="Arial" w:cs="Arial"/>
          <w:b/>
          <w:sz w:val="24"/>
          <w:szCs w:val="24"/>
        </w:rPr>
      </w:pPr>
      <w:r w:rsidRPr="0024619B">
        <w:rPr>
          <w:rFonts w:ascii="Arial" w:hAnsi="Arial" w:cs="Arial"/>
          <w:b/>
          <w:bCs/>
          <w:sz w:val="24"/>
          <w:szCs w:val="24"/>
        </w:rPr>
        <w:t>Actualizar y adecuar disposiciones</w:t>
      </w:r>
      <w:r w:rsidRPr="0024619B">
        <w:rPr>
          <w:rFonts w:ascii="Arial" w:hAnsi="Arial" w:cs="Arial"/>
          <w:b/>
          <w:sz w:val="24"/>
          <w:szCs w:val="24"/>
        </w:rPr>
        <w:t xml:space="preserve"> </w:t>
      </w:r>
    </w:p>
    <w:p w14:paraId="58CB9CF6" w14:textId="77777777" w:rsidR="00FA05CC" w:rsidRPr="00483BF0" w:rsidRDefault="00FA05CC" w:rsidP="00FA05CC">
      <w:pPr>
        <w:spacing w:line="276" w:lineRule="auto"/>
        <w:jc w:val="both"/>
        <w:rPr>
          <w:rFonts w:ascii="Arial" w:hAnsi="Arial" w:cs="Arial"/>
          <w:sz w:val="24"/>
          <w:szCs w:val="24"/>
        </w:rPr>
      </w:pPr>
      <w:r w:rsidRPr="00483BF0">
        <w:rPr>
          <w:rFonts w:ascii="Arial" w:hAnsi="Arial" w:cs="Arial"/>
          <w:sz w:val="24"/>
          <w:szCs w:val="24"/>
        </w:rPr>
        <w:t>Se debe de corregir la referencia que se hace en el Artículo 41 fracción III, del Título Tercero “Del Procedimiento, Contratación y Ejecución de la Obra”, Capítulo III “De las Excepciones a la Licitación Pública”, de la Ley de Obras Públicas y Servicios Relacionados con las Mismas del Estado de Quintan Roo, estableciendo que:</w:t>
      </w:r>
    </w:p>
    <w:p w14:paraId="16515E90" w14:textId="77777777" w:rsidR="00FA05CC" w:rsidRPr="00483BF0" w:rsidRDefault="00FA05CC" w:rsidP="00FA05CC">
      <w:pPr>
        <w:spacing w:line="276" w:lineRule="auto"/>
        <w:jc w:val="both"/>
        <w:rPr>
          <w:rFonts w:ascii="Arial" w:hAnsi="Arial" w:cs="Arial"/>
          <w:sz w:val="24"/>
          <w:szCs w:val="24"/>
        </w:rPr>
      </w:pPr>
      <w:r w:rsidRPr="00483BF0">
        <w:rPr>
          <w:rFonts w:ascii="Arial" w:hAnsi="Arial" w:cs="Arial"/>
          <w:sz w:val="24"/>
          <w:szCs w:val="24"/>
        </w:rPr>
        <w:t>Dice:</w:t>
      </w:r>
    </w:p>
    <w:p w14:paraId="4AA581F2" w14:textId="77777777" w:rsidR="00FA05CC" w:rsidRPr="00483BF0" w:rsidRDefault="00FA05CC" w:rsidP="00FA05CC">
      <w:pPr>
        <w:spacing w:line="276" w:lineRule="auto"/>
        <w:ind w:left="567"/>
        <w:jc w:val="both"/>
        <w:rPr>
          <w:rFonts w:ascii="Arial" w:hAnsi="Arial" w:cs="Arial"/>
          <w:sz w:val="24"/>
          <w:szCs w:val="24"/>
        </w:rPr>
      </w:pPr>
      <w:r w:rsidRPr="00483BF0">
        <w:rPr>
          <w:rFonts w:ascii="Arial" w:hAnsi="Arial" w:cs="Arial"/>
          <w:sz w:val="24"/>
          <w:szCs w:val="24"/>
        </w:rPr>
        <w:t>“</w:t>
      </w:r>
      <w:r w:rsidR="00B13342" w:rsidRPr="00483BF0">
        <w:rPr>
          <w:rFonts w:ascii="Arial" w:hAnsi="Arial" w:cs="Arial"/>
          <w:b/>
          <w:bCs/>
          <w:sz w:val="24"/>
          <w:szCs w:val="24"/>
        </w:rPr>
        <w:t xml:space="preserve">Artículo </w:t>
      </w:r>
      <w:r w:rsidRPr="00483BF0">
        <w:rPr>
          <w:rFonts w:ascii="Arial" w:hAnsi="Arial" w:cs="Arial"/>
          <w:b/>
          <w:bCs/>
          <w:sz w:val="24"/>
          <w:szCs w:val="24"/>
        </w:rPr>
        <w:t>41.-</w:t>
      </w:r>
      <w:r w:rsidRPr="00483BF0">
        <w:rPr>
          <w:rFonts w:ascii="Arial" w:hAnsi="Arial" w:cs="Arial"/>
          <w:sz w:val="24"/>
          <w:szCs w:val="24"/>
        </w:rPr>
        <w:t xml:space="preserve"> El procedimiento de invitación a cuando menos tres personas se sujetarán a lo siguiente: …</w:t>
      </w:r>
    </w:p>
    <w:p w14:paraId="4A76ED44" w14:textId="77777777" w:rsidR="00FA05CC" w:rsidRPr="00483BF0" w:rsidRDefault="00FA05CC" w:rsidP="00FA05CC">
      <w:pPr>
        <w:spacing w:line="276" w:lineRule="auto"/>
        <w:ind w:left="567"/>
        <w:jc w:val="both"/>
        <w:rPr>
          <w:rFonts w:ascii="Arial" w:hAnsi="Arial" w:cs="Arial"/>
          <w:sz w:val="24"/>
          <w:szCs w:val="24"/>
        </w:rPr>
      </w:pPr>
      <w:r w:rsidRPr="00483BF0">
        <w:rPr>
          <w:rFonts w:ascii="Arial" w:hAnsi="Arial" w:cs="Arial"/>
          <w:sz w:val="24"/>
          <w:szCs w:val="24"/>
        </w:rPr>
        <w:t>… III.- En las bases se indicarán, según las características, complejidad y magnitud de los trabajos, aquellos aspectos que correspondan al artículo 27 de esta ley; …”</w:t>
      </w:r>
    </w:p>
    <w:p w14:paraId="4F792710" w14:textId="77777777" w:rsidR="00FA05CC" w:rsidRPr="00483BF0" w:rsidRDefault="00FA05CC" w:rsidP="00FA05CC">
      <w:pPr>
        <w:spacing w:line="276" w:lineRule="auto"/>
        <w:jc w:val="both"/>
        <w:rPr>
          <w:rFonts w:ascii="Arial" w:hAnsi="Arial" w:cs="Arial"/>
          <w:sz w:val="24"/>
          <w:szCs w:val="24"/>
        </w:rPr>
      </w:pPr>
    </w:p>
    <w:p w14:paraId="75DC7716" w14:textId="77777777" w:rsidR="00FA05CC" w:rsidRPr="00483BF0" w:rsidRDefault="00FA05CC" w:rsidP="00FA05CC">
      <w:pPr>
        <w:spacing w:line="276" w:lineRule="auto"/>
        <w:jc w:val="both"/>
        <w:rPr>
          <w:rFonts w:ascii="Arial" w:hAnsi="Arial" w:cs="Arial"/>
          <w:sz w:val="24"/>
          <w:szCs w:val="24"/>
        </w:rPr>
      </w:pPr>
      <w:r w:rsidRPr="00483BF0">
        <w:rPr>
          <w:rFonts w:ascii="Arial" w:hAnsi="Arial" w:cs="Arial"/>
          <w:sz w:val="24"/>
          <w:szCs w:val="24"/>
        </w:rPr>
        <w:t>En la fracción anterior, hace mención del apego que se debe de tener al contenido de las bases, sin embargo, al observar el Artículo 27, de la ley mencionada con antelación, habla sobre los requisitos mínimos que debe contener la Convocatoria a la Licitación Pública.</w:t>
      </w:r>
    </w:p>
    <w:p w14:paraId="25D184E0" w14:textId="77777777" w:rsidR="00FA05CC" w:rsidRPr="00483BF0" w:rsidRDefault="00FA05CC" w:rsidP="00FA05CC">
      <w:pPr>
        <w:spacing w:line="276" w:lineRule="auto"/>
        <w:jc w:val="both"/>
        <w:rPr>
          <w:rFonts w:ascii="Arial" w:hAnsi="Arial" w:cs="Arial"/>
          <w:sz w:val="24"/>
          <w:szCs w:val="24"/>
        </w:rPr>
      </w:pPr>
      <w:r w:rsidRPr="00483BF0">
        <w:rPr>
          <w:rFonts w:ascii="Arial" w:hAnsi="Arial" w:cs="Arial"/>
          <w:sz w:val="24"/>
          <w:szCs w:val="24"/>
        </w:rPr>
        <w:t>Luego entonces, el articulo correcto que debería de ir en la fracción III del artículo 41 en vez del “27” es el “28”, toda vez, que, en este artículo se encuentra el listado del contenido de las bases que emitan las instancias convocantes.</w:t>
      </w:r>
    </w:p>
    <w:p w14:paraId="71E33ED8" w14:textId="77777777" w:rsidR="0024619B" w:rsidRDefault="0024619B" w:rsidP="00FA05CC">
      <w:pPr>
        <w:spacing w:line="276" w:lineRule="auto"/>
        <w:jc w:val="both"/>
        <w:rPr>
          <w:rFonts w:ascii="Arial" w:hAnsi="Arial" w:cs="Arial"/>
          <w:b/>
          <w:sz w:val="24"/>
          <w:szCs w:val="24"/>
        </w:rPr>
      </w:pPr>
    </w:p>
    <w:p w14:paraId="35EECA86" w14:textId="77777777" w:rsidR="00CC276C" w:rsidRPr="0024619B" w:rsidRDefault="00FA05CC" w:rsidP="00FA05CC">
      <w:pPr>
        <w:spacing w:line="276" w:lineRule="auto"/>
        <w:jc w:val="both"/>
        <w:rPr>
          <w:rFonts w:ascii="Arial" w:hAnsi="Arial" w:cs="Arial"/>
          <w:b/>
          <w:sz w:val="24"/>
          <w:szCs w:val="24"/>
        </w:rPr>
      </w:pPr>
      <w:r w:rsidRPr="0024619B">
        <w:rPr>
          <w:rFonts w:ascii="Arial" w:hAnsi="Arial" w:cs="Arial"/>
          <w:b/>
          <w:sz w:val="24"/>
          <w:szCs w:val="24"/>
        </w:rPr>
        <w:t>Debe Decir:</w:t>
      </w:r>
    </w:p>
    <w:p w14:paraId="24DC3971" w14:textId="77777777" w:rsidR="00FA05CC" w:rsidRPr="00483BF0" w:rsidRDefault="00FA05CC" w:rsidP="00FA05CC">
      <w:pPr>
        <w:spacing w:line="276" w:lineRule="auto"/>
        <w:ind w:left="567"/>
        <w:jc w:val="both"/>
        <w:rPr>
          <w:rFonts w:ascii="Arial" w:hAnsi="Arial" w:cs="Arial"/>
          <w:sz w:val="24"/>
          <w:szCs w:val="24"/>
        </w:rPr>
      </w:pPr>
      <w:r w:rsidRPr="00483BF0">
        <w:rPr>
          <w:rFonts w:ascii="Arial" w:hAnsi="Arial" w:cs="Arial"/>
          <w:sz w:val="24"/>
          <w:szCs w:val="24"/>
        </w:rPr>
        <w:t>“</w:t>
      </w:r>
      <w:r w:rsidR="00B13342" w:rsidRPr="00483BF0">
        <w:rPr>
          <w:rFonts w:ascii="Arial" w:hAnsi="Arial" w:cs="Arial"/>
          <w:b/>
          <w:bCs/>
          <w:sz w:val="24"/>
          <w:szCs w:val="24"/>
        </w:rPr>
        <w:t xml:space="preserve">Artículo </w:t>
      </w:r>
      <w:r w:rsidRPr="00483BF0">
        <w:rPr>
          <w:rFonts w:ascii="Arial" w:hAnsi="Arial" w:cs="Arial"/>
          <w:b/>
          <w:bCs/>
          <w:sz w:val="24"/>
          <w:szCs w:val="24"/>
        </w:rPr>
        <w:t>41.-</w:t>
      </w:r>
      <w:r w:rsidRPr="00483BF0">
        <w:rPr>
          <w:rFonts w:ascii="Arial" w:hAnsi="Arial" w:cs="Arial"/>
          <w:sz w:val="24"/>
          <w:szCs w:val="24"/>
        </w:rPr>
        <w:t xml:space="preserve"> El . . .</w:t>
      </w:r>
    </w:p>
    <w:p w14:paraId="2F9477D2" w14:textId="77777777" w:rsidR="00FA05CC" w:rsidRPr="00483BF0" w:rsidRDefault="00FA05CC" w:rsidP="00FA05CC">
      <w:pPr>
        <w:spacing w:line="276" w:lineRule="auto"/>
        <w:ind w:left="567"/>
        <w:jc w:val="both"/>
        <w:rPr>
          <w:rFonts w:ascii="Arial" w:hAnsi="Arial" w:cs="Arial"/>
          <w:sz w:val="24"/>
          <w:szCs w:val="24"/>
        </w:rPr>
      </w:pPr>
      <w:r w:rsidRPr="00483BF0">
        <w:rPr>
          <w:rFonts w:ascii="Arial" w:hAnsi="Arial" w:cs="Arial"/>
          <w:sz w:val="24"/>
          <w:szCs w:val="24"/>
        </w:rPr>
        <w:t xml:space="preserve">… III.- En las bases se indicarán, según las características, complejidad y magnitud de los trabajos, aquellos aspectos que correspondan al artículo </w:t>
      </w:r>
      <w:r w:rsidRPr="00483BF0">
        <w:rPr>
          <w:rFonts w:ascii="Arial" w:hAnsi="Arial" w:cs="Arial"/>
          <w:color w:val="1F4E79" w:themeColor="accent1" w:themeShade="80"/>
          <w:sz w:val="24"/>
          <w:szCs w:val="24"/>
        </w:rPr>
        <w:t>28</w:t>
      </w:r>
      <w:r w:rsidRPr="00483BF0">
        <w:rPr>
          <w:rFonts w:ascii="Arial" w:hAnsi="Arial" w:cs="Arial"/>
          <w:sz w:val="24"/>
          <w:szCs w:val="24"/>
        </w:rPr>
        <w:t xml:space="preserve"> de esta ley; …”</w:t>
      </w:r>
    </w:p>
    <w:p w14:paraId="6DC58FF9" w14:textId="77777777" w:rsidR="00FA05CC" w:rsidRPr="00483BF0" w:rsidRDefault="00FA05CC" w:rsidP="00FA05CC">
      <w:pPr>
        <w:spacing w:line="276" w:lineRule="auto"/>
        <w:jc w:val="both"/>
        <w:rPr>
          <w:rFonts w:ascii="Arial" w:hAnsi="Arial" w:cs="Arial"/>
          <w:b/>
          <w:bCs/>
          <w:sz w:val="24"/>
          <w:szCs w:val="24"/>
        </w:rPr>
      </w:pPr>
    </w:p>
    <w:p w14:paraId="4F3137BF" w14:textId="77777777" w:rsidR="00FA05CC" w:rsidRPr="00483BF0" w:rsidRDefault="00FA05CC" w:rsidP="00FA05CC">
      <w:pPr>
        <w:spacing w:line="276" w:lineRule="auto"/>
        <w:jc w:val="both"/>
        <w:rPr>
          <w:rFonts w:ascii="Arial" w:hAnsi="Arial" w:cs="Arial"/>
          <w:b/>
          <w:bCs/>
          <w:sz w:val="24"/>
          <w:szCs w:val="24"/>
        </w:rPr>
      </w:pPr>
      <w:r w:rsidRPr="00483BF0">
        <w:rPr>
          <w:rFonts w:ascii="Arial" w:hAnsi="Arial" w:cs="Arial"/>
          <w:b/>
          <w:bCs/>
          <w:sz w:val="24"/>
          <w:szCs w:val="24"/>
        </w:rPr>
        <w:lastRenderedPageBreak/>
        <w:t>Objetivo:</w:t>
      </w:r>
    </w:p>
    <w:p w14:paraId="2E3470A1" w14:textId="77777777" w:rsidR="00FA05CC" w:rsidRPr="00483BF0" w:rsidRDefault="00FA05CC" w:rsidP="00FA05CC">
      <w:pPr>
        <w:spacing w:line="276" w:lineRule="auto"/>
        <w:jc w:val="both"/>
        <w:rPr>
          <w:rFonts w:ascii="Arial" w:hAnsi="Arial" w:cs="Arial"/>
          <w:sz w:val="24"/>
          <w:szCs w:val="24"/>
        </w:rPr>
      </w:pPr>
      <w:r w:rsidRPr="00483BF0">
        <w:rPr>
          <w:rFonts w:ascii="Arial" w:hAnsi="Arial" w:cs="Arial"/>
          <w:sz w:val="24"/>
          <w:szCs w:val="24"/>
        </w:rPr>
        <w:t>Actualizar la Ley de Obras Públicas y servicios Relacionadas con las Mismas, acorde a lo establecido en el Artículo 28 de ley en mención, dentro del cual se establecen los requisitos mínimos que deben de contener las bases que emiten las instancias convocantes.</w:t>
      </w:r>
    </w:p>
    <w:p w14:paraId="2CD1ACF4" w14:textId="77777777" w:rsidR="00FA05CC" w:rsidRPr="00483BF0" w:rsidRDefault="00FA05CC" w:rsidP="00FA05CC">
      <w:pPr>
        <w:spacing w:line="276" w:lineRule="auto"/>
        <w:jc w:val="both"/>
        <w:rPr>
          <w:rFonts w:ascii="Arial" w:hAnsi="Arial" w:cs="Arial"/>
          <w:sz w:val="24"/>
          <w:szCs w:val="24"/>
        </w:rPr>
      </w:pPr>
    </w:p>
    <w:p w14:paraId="02E4C5AA" w14:textId="77777777" w:rsidR="00FA05CC" w:rsidRPr="00483BF0" w:rsidRDefault="00FA05CC" w:rsidP="00FA05CC">
      <w:pPr>
        <w:spacing w:line="276" w:lineRule="auto"/>
        <w:jc w:val="both"/>
        <w:rPr>
          <w:rFonts w:ascii="Arial" w:hAnsi="Arial" w:cs="Arial"/>
          <w:b/>
          <w:bCs/>
          <w:sz w:val="24"/>
          <w:szCs w:val="24"/>
        </w:rPr>
      </w:pPr>
      <w:r w:rsidRPr="00483BF0">
        <w:rPr>
          <w:rFonts w:ascii="Arial" w:hAnsi="Arial" w:cs="Arial"/>
          <w:b/>
          <w:bCs/>
          <w:sz w:val="24"/>
          <w:szCs w:val="24"/>
        </w:rPr>
        <w:t>Riesgo Asociado:</w:t>
      </w:r>
    </w:p>
    <w:p w14:paraId="1D7FC701" w14:textId="77777777" w:rsidR="00FA05CC" w:rsidRPr="00483BF0" w:rsidRDefault="00FA05CC" w:rsidP="00FA05CC">
      <w:pPr>
        <w:spacing w:line="276" w:lineRule="auto"/>
        <w:jc w:val="both"/>
        <w:rPr>
          <w:rFonts w:ascii="Arial" w:hAnsi="Arial" w:cs="Arial"/>
          <w:b/>
          <w:bCs/>
          <w:sz w:val="24"/>
          <w:szCs w:val="24"/>
        </w:rPr>
      </w:pPr>
      <w:r w:rsidRPr="00483BF0">
        <w:rPr>
          <w:rFonts w:ascii="Arial" w:hAnsi="Arial" w:cs="Arial"/>
          <w:sz w:val="24"/>
          <w:szCs w:val="24"/>
        </w:rPr>
        <w:t>El tener una referencia errónea referente a lo que se debe de realizar dentro del proceso de Licitación por Invitación Cuando Menos Tres Personas, en lo que concierne al contenido de las bases de la licitación, deja una brecha de ambigüedad al momento de aplicar la Ley de Obras Públicas y Servicios relacionadas con las Mismas del Estado de Quintana Roo, que hace referencia al Artículo 27 que habla sobre las convocatorias a la “Licitación Pública”, y no al contenido que debe de tener las bases del concurso, las cuales se establecen en el Artículo 28 de la misma.</w:t>
      </w:r>
    </w:p>
    <w:p w14:paraId="4A022657" w14:textId="77777777" w:rsidR="00FA05CC" w:rsidRDefault="00FA05CC" w:rsidP="00FA05CC">
      <w:pPr>
        <w:spacing w:line="276" w:lineRule="auto"/>
        <w:rPr>
          <w:rFonts w:ascii="Arial" w:hAnsi="Arial" w:cs="Arial"/>
          <w:b/>
          <w:sz w:val="24"/>
          <w:szCs w:val="24"/>
          <w:u w:val="single"/>
        </w:rPr>
      </w:pPr>
    </w:p>
    <w:p w14:paraId="4F85B231" w14:textId="77777777" w:rsidR="0024619B" w:rsidRDefault="0024619B" w:rsidP="00FA05CC">
      <w:pPr>
        <w:spacing w:line="276" w:lineRule="auto"/>
        <w:rPr>
          <w:rFonts w:ascii="Arial" w:hAnsi="Arial" w:cs="Arial"/>
          <w:b/>
          <w:sz w:val="24"/>
          <w:szCs w:val="24"/>
          <w:u w:val="single"/>
        </w:rPr>
      </w:pPr>
    </w:p>
    <w:p w14:paraId="5711F2CB" w14:textId="77777777" w:rsidR="0024619B" w:rsidRDefault="0024619B" w:rsidP="00FA05CC">
      <w:pPr>
        <w:spacing w:line="276" w:lineRule="auto"/>
        <w:rPr>
          <w:rFonts w:ascii="Arial" w:hAnsi="Arial" w:cs="Arial"/>
          <w:b/>
          <w:sz w:val="24"/>
          <w:szCs w:val="24"/>
          <w:u w:val="single"/>
        </w:rPr>
      </w:pPr>
    </w:p>
    <w:p w14:paraId="669C2C49" w14:textId="77777777" w:rsidR="0024619B" w:rsidRDefault="0024619B" w:rsidP="00FA05CC">
      <w:pPr>
        <w:spacing w:line="276" w:lineRule="auto"/>
        <w:rPr>
          <w:rFonts w:ascii="Arial" w:hAnsi="Arial" w:cs="Arial"/>
          <w:b/>
          <w:sz w:val="24"/>
          <w:szCs w:val="24"/>
          <w:u w:val="single"/>
        </w:rPr>
      </w:pPr>
    </w:p>
    <w:p w14:paraId="105BE4DC" w14:textId="77777777" w:rsidR="0024619B" w:rsidRDefault="0024619B" w:rsidP="00FA05CC">
      <w:pPr>
        <w:spacing w:line="276" w:lineRule="auto"/>
        <w:rPr>
          <w:rFonts w:ascii="Arial" w:hAnsi="Arial" w:cs="Arial"/>
          <w:b/>
          <w:sz w:val="24"/>
          <w:szCs w:val="24"/>
          <w:u w:val="single"/>
        </w:rPr>
      </w:pPr>
    </w:p>
    <w:p w14:paraId="30677476" w14:textId="77777777" w:rsidR="0024619B" w:rsidRDefault="0024619B" w:rsidP="00FA05CC">
      <w:pPr>
        <w:spacing w:line="276" w:lineRule="auto"/>
        <w:rPr>
          <w:rFonts w:ascii="Arial" w:hAnsi="Arial" w:cs="Arial"/>
          <w:b/>
          <w:sz w:val="24"/>
          <w:szCs w:val="24"/>
          <w:u w:val="single"/>
        </w:rPr>
      </w:pPr>
    </w:p>
    <w:p w14:paraId="0BEB909D" w14:textId="77777777" w:rsidR="0024619B" w:rsidRDefault="0024619B" w:rsidP="00FA05CC">
      <w:pPr>
        <w:spacing w:line="276" w:lineRule="auto"/>
        <w:rPr>
          <w:rFonts w:ascii="Arial" w:hAnsi="Arial" w:cs="Arial"/>
          <w:b/>
          <w:sz w:val="24"/>
          <w:szCs w:val="24"/>
          <w:u w:val="single"/>
        </w:rPr>
      </w:pPr>
    </w:p>
    <w:p w14:paraId="67177DEC" w14:textId="77777777" w:rsidR="0024619B" w:rsidRDefault="0024619B" w:rsidP="00FA05CC">
      <w:pPr>
        <w:spacing w:line="276" w:lineRule="auto"/>
        <w:rPr>
          <w:rFonts w:ascii="Arial" w:hAnsi="Arial" w:cs="Arial"/>
          <w:b/>
          <w:sz w:val="24"/>
          <w:szCs w:val="24"/>
          <w:u w:val="single"/>
        </w:rPr>
      </w:pPr>
    </w:p>
    <w:p w14:paraId="0B46AAFE" w14:textId="77777777" w:rsidR="0024619B" w:rsidRDefault="0024619B" w:rsidP="00FA05CC">
      <w:pPr>
        <w:spacing w:line="276" w:lineRule="auto"/>
        <w:rPr>
          <w:rFonts w:ascii="Arial" w:hAnsi="Arial" w:cs="Arial"/>
          <w:b/>
          <w:sz w:val="24"/>
          <w:szCs w:val="24"/>
          <w:u w:val="single"/>
        </w:rPr>
      </w:pPr>
    </w:p>
    <w:p w14:paraId="311A8719" w14:textId="77777777" w:rsidR="0024619B" w:rsidRDefault="0024619B" w:rsidP="00FA05CC">
      <w:pPr>
        <w:spacing w:line="276" w:lineRule="auto"/>
        <w:rPr>
          <w:rFonts w:ascii="Arial" w:hAnsi="Arial" w:cs="Arial"/>
          <w:b/>
          <w:sz w:val="24"/>
          <w:szCs w:val="24"/>
          <w:u w:val="single"/>
        </w:rPr>
      </w:pPr>
    </w:p>
    <w:p w14:paraId="61BDA618" w14:textId="77777777" w:rsidR="0024619B" w:rsidRDefault="0024619B" w:rsidP="00FA05CC">
      <w:pPr>
        <w:spacing w:line="276" w:lineRule="auto"/>
        <w:rPr>
          <w:rFonts w:ascii="Arial" w:hAnsi="Arial" w:cs="Arial"/>
          <w:b/>
          <w:sz w:val="24"/>
          <w:szCs w:val="24"/>
          <w:u w:val="single"/>
        </w:rPr>
      </w:pPr>
    </w:p>
    <w:p w14:paraId="4399C2A8" w14:textId="77777777" w:rsidR="0024619B" w:rsidRDefault="0024619B" w:rsidP="00FA05CC">
      <w:pPr>
        <w:spacing w:line="276" w:lineRule="auto"/>
        <w:rPr>
          <w:rFonts w:ascii="Arial" w:hAnsi="Arial" w:cs="Arial"/>
          <w:b/>
          <w:sz w:val="24"/>
          <w:szCs w:val="24"/>
          <w:u w:val="single"/>
        </w:rPr>
      </w:pPr>
    </w:p>
    <w:p w14:paraId="7CCD7BFF" w14:textId="77777777" w:rsidR="0024619B" w:rsidRDefault="0024619B" w:rsidP="00FA05CC">
      <w:pPr>
        <w:spacing w:line="276" w:lineRule="auto"/>
        <w:rPr>
          <w:rFonts w:ascii="Arial" w:hAnsi="Arial" w:cs="Arial"/>
          <w:b/>
          <w:sz w:val="24"/>
          <w:szCs w:val="24"/>
          <w:u w:val="single"/>
        </w:rPr>
      </w:pPr>
    </w:p>
    <w:p w14:paraId="721AE516" w14:textId="77777777" w:rsidR="0024619B" w:rsidRDefault="0024619B" w:rsidP="00FA05CC">
      <w:pPr>
        <w:spacing w:line="276" w:lineRule="auto"/>
        <w:rPr>
          <w:rFonts w:ascii="Arial" w:hAnsi="Arial" w:cs="Arial"/>
          <w:b/>
          <w:sz w:val="24"/>
          <w:szCs w:val="24"/>
          <w:u w:val="single"/>
        </w:rPr>
      </w:pPr>
    </w:p>
    <w:p w14:paraId="0CD37C26" w14:textId="77777777" w:rsidR="0024619B" w:rsidRDefault="0024619B" w:rsidP="00FA05CC">
      <w:pPr>
        <w:spacing w:line="276" w:lineRule="auto"/>
        <w:rPr>
          <w:rFonts w:ascii="Arial" w:hAnsi="Arial" w:cs="Arial"/>
          <w:b/>
          <w:sz w:val="24"/>
          <w:szCs w:val="24"/>
          <w:u w:val="single"/>
        </w:rPr>
      </w:pPr>
    </w:p>
    <w:p w14:paraId="284E7AB9" w14:textId="77777777" w:rsidR="0024619B" w:rsidRDefault="0024619B" w:rsidP="00FA05CC">
      <w:pPr>
        <w:spacing w:line="276" w:lineRule="auto"/>
        <w:rPr>
          <w:rFonts w:ascii="Arial" w:hAnsi="Arial" w:cs="Arial"/>
          <w:b/>
          <w:sz w:val="24"/>
          <w:szCs w:val="24"/>
          <w:u w:val="single"/>
        </w:rPr>
      </w:pPr>
    </w:p>
    <w:p w14:paraId="65C6D888" w14:textId="77777777" w:rsidR="00B13342" w:rsidRPr="00B13342" w:rsidRDefault="00B13342" w:rsidP="00B13342">
      <w:pPr>
        <w:widowControl w:val="0"/>
        <w:autoSpaceDE w:val="0"/>
        <w:autoSpaceDN w:val="0"/>
        <w:spacing w:before="184" w:after="0" w:line="256" w:lineRule="auto"/>
        <w:rPr>
          <w:rFonts w:ascii="Arial" w:eastAsia="Arial" w:hAnsi="Arial" w:cs="Arial"/>
          <w:b/>
          <w:sz w:val="24"/>
          <w:szCs w:val="24"/>
          <w:u w:val="single"/>
          <w:lang w:val="es-ES" w:eastAsia="es-ES" w:bidi="es-ES"/>
        </w:rPr>
      </w:pPr>
      <w:r w:rsidRPr="00B13342">
        <w:rPr>
          <w:rFonts w:ascii="Arial" w:eastAsia="Arial" w:hAnsi="Arial" w:cs="Arial"/>
          <w:b/>
          <w:sz w:val="24"/>
          <w:szCs w:val="24"/>
          <w:u w:val="single"/>
          <w:lang w:val="es-ES" w:eastAsia="es-ES" w:bidi="es-ES"/>
        </w:rPr>
        <w:lastRenderedPageBreak/>
        <w:t>Normativa:</w:t>
      </w:r>
    </w:p>
    <w:p w14:paraId="186DC4A2" w14:textId="77777777" w:rsidR="00B13342" w:rsidRPr="0024619B" w:rsidRDefault="00B13342" w:rsidP="00FA05CC">
      <w:pPr>
        <w:spacing w:line="276" w:lineRule="auto"/>
        <w:rPr>
          <w:rFonts w:ascii="Arial" w:eastAsia="Arial" w:hAnsi="Arial" w:cs="Arial"/>
          <w:sz w:val="16"/>
          <w:szCs w:val="16"/>
          <w:lang w:val="es-ES" w:eastAsia="es-ES" w:bidi="es-ES"/>
        </w:rPr>
      </w:pPr>
    </w:p>
    <w:p w14:paraId="461D2B8E" w14:textId="77777777" w:rsidR="00B13342" w:rsidRPr="00B13342" w:rsidRDefault="00B13342" w:rsidP="00FA05CC">
      <w:pPr>
        <w:spacing w:line="276" w:lineRule="auto"/>
        <w:rPr>
          <w:rFonts w:ascii="Arial" w:hAnsi="Arial" w:cs="Arial"/>
          <w:b/>
          <w:sz w:val="24"/>
          <w:szCs w:val="24"/>
          <w:u w:val="single"/>
        </w:rPr>
      </w:pPr>
      <w:r w:rsidRPr="00B13342">
        <w:rPr>
          <w:rFonts w:ascii="Arial" w:eastAsia="Arial" w:hAnsi="Arial" w:cs="Arial"/>
          <w:b/>
          <w:sz w:val="24"/>
          <w:szCs w:val="24"/>
          <w:lang w:val="es-ES" w:eastAsia="es-ES" w:bidi="es-ES"/>
        </w:rPr>
        <w:t>Ley de Obras Públicas y Servicios Relacionados con las Mismas del Estado de Quintana Roo.</w:t>
      </w:r>
    </w:p>
    <w:p w14:paraId="681CC2F8" w14:textId="77777777" w:rsidR="00FA05CC" w:rsidRPr="00483BF0" w:rsidRDefault="003F4EFB" w:rsidP="00FA05CC">
      <w:pPr>
        <w:spacing w:line="276" w:lineRule="auto"/>
        <w:jc w:val="both"/>
        <w:rPr>
          <w:rFonts w:ascii="Arial" w:hAnsi="Arial" w:cs="Arial"/>
          <w:b/>
          <w:bCs/>
          <w:sz w:val="24"/>
          <w:szCs w:val="24"/>
          <w:u w:val="single"/>
        </w:rPr>
      </w:pPr>
      <w:r w:rsidRPr="00483BF0">
        <w:rPr>
          <w:rFonts w:ascii="Arial" w:hAnsi="Arial" w:cs="Arial"/>
          <w:b/>
          <w:bCs/>
          <w:sz w:val="24"/>
          <w:szCs w:val="24"/>
        </w:rPr>
        <w:t>Propuesta</w:t>
      </w:r>
      <w:r w:rsidR="00FA05CC" w:rsidRPr="00B13342">
        <w:rPr>
          <w:rFonts w:ascii="Arial" w:hAnsi="Arial" w:cs="Arial"/>
          <w:b/>
          <w:bCs/>
          <w:sz w:val="24"/>
          <w:szCs w:val="24"/>
        </w:rPr>
        <w:t xml:space="preserve"> 5:</w:t>
      </w:r>
    </w:p>
    <w:p w14:paraId="3270A2E0" w14:textId="77777777" w:rsidR="0024619B" w:rsidRDefault="0024619B" w:rsidP="00FA05CC">
      <w:pPr>
        <w:widowControl w:val="0"/>
        <w:autoSpaceDE w:val="0"/>
        <w:autoSpaceDN w:val="0"/>
        <w:spacing w:before="184" w:after="0" w:line="256" w:lineRule="auto"/>
        <w:rPr>
          <w:rFonts w:ascii="Arial" w:eastAsia="Arial" w:hAnsi="Arial" w:cs="Arial"/>
          <w:b/>
          <w:sz w:val="24"/>
          <w:szCs w:val="24"/>
          <w:lang w:val="es-ES" w:eastAsia="es-ES" w:bidi="es-ES"/>
        </w:rPr>
      </w:pPr>
    </w:p>
    <w:p w14:paraId="26252BBE" w14:textId="77777777" w:rsidR="00B13342" w:rsidRPr="0024619B" w:rsidRDefault="0024619B" w:rsidP="0024619B">
      <w:pPr>
        <w:widowControl w:val="0"/>
        <w:autoSpaceDE w:val="0"/>
        <w:autoSpaceDN w:val="0"/>
        <w:spacing w:before="184" w:after="0" w:line="256" w:lineRule="auto"/>
        <w:rPr>
          <w:rFonts w:ascii="Arial" w:eastAsia="Arial" w:hAnsi="Arial" w:cs="Arial"/>
          <w:b/>
          <w:sz w:val="24"/>
          <w:szCs w:val="24"/>
          <w:lang w:val="es-ES" w:eastAsia="es-ES" w:bidi="es-ES"/>
        </w:rPr>
      </w:pPr>
      <w:r>
        <w:rPr>
          <w:rFonts w:ascii="Arial" w:eastAsia="Arial" w:hAnsi="Arial" w:cs="Arial"/>
          <w:b/>
          <w:sz w:val="24"/>
          <w:szCs w:val="24"/>
          <w:lang w:val="es-ES" w:eastAsia="es-ES" w:bidi="es-ES"/>
        </w:rPr>
        <w:t>Antecedente.</w:t>
      </w:r>
    </w:p>
    <w:p w14:paraId="7B0BCC9F" w14:textId="77777777" w:rsidR="00FA05CC" w:rsidRPr="00483BF0" w:rsidRDefault="00FA05CC" w:rsidP="0024619B">
      <w:pPr>
        <w:spacing w:before="240"/>
        <w:jc w:val="both"/>
        <w:rPr>
          <w:rFonts w:ascii="Arial" w:hAnsi="Arial" w:cs="Arial"/>
          <w:sz w:val="24"/>
          <w:szCs w:val="24"/>
        </w:rPr>
      </w:pPr>
      <w:r w:rsidRPr="00483BF0">
        <w:rPr>
          <w:rFonts w:ascii="Arial" w:hAnsi="Arial" w:cs="Arial"/>
          <w:sz w:val="24"/>
          <w:szCs w:val="24"/>
        </w:rPr>
        <w:t>La Ley de Obras Públicas y Servicios Relacionados con las Mismas del Estado de Quintana Roo, contempla en su Capítulo III, De las Excepciones a la Licitación Pública.</w:t>
      </w:r>
    </w:p>
    <w:p w14:paraId="0EB5DD3C" w14:textId="77777777" w:rsidR="00FA05CC" w:rsidRPr="00483BF0" w:rsidRDefault="00FA05CC" w:rsidP="00FA05CC">
      <w:pPr>
        <w:jc w:val="both"/>
        <w:rPr>
          <w:rFonts w:ascii="Arial" w:hAnsi="Arial" w:cs="Arial"/>
          <w:sz w:val="24"/>
          <w:szCs w:val="24"/>
        </w:rPr>
      </w:pPr>
      <w:r w:rsidRPr="0024619B">
        <w:rPr>
          <w:rFonts w:ascii="Arial" w:hAnsi="Arial" w:cs="Arial"/>
          <w:b/>
          <w:sz w:val="24"/>
          <w:szCs w:val="24"/>
        </w:rPr>
        <w:t>Artículo 38.-</w:t>
      </w:r>
      <w:r w:rsidRPr="00483BF0">
        <w:rPr>
          <w:rFonts w:ascii="Arial" w:hAnsi="Arial" w:cs="Arial"/>
          <w:sz w:val="24"/>
          <w:szCs w:val="24"/>
        </w:rPr>
        <w:t xml:space="preserve"> En los supuestos que prevén los artículos 39 y 40 de esta ley, las dependencias, entidades y ayuntamientos, bajo su responsabilidad, podrán optar por no llevar a cabo el procedimiento de licitación pública y celebrar contratos a través de los procedimientos de invitación a cuando menos tres personas o de adjudicación directa.</w:t>
      </w:r>
    </w:p>
    <w:p w14:paraId="71F508CE" w14:textId="77777777" w:rsidR="00FA05CC" w:rsidRPr="00483BF0" w:rsidRDefault="00FA05CC" w:rsidP="00FA05CC">
      <w:pPr>
        <w:jc w:val="both"/>
        <w:rPr>
          <w:rFonts w:ascii="Arial" w:hAnsi="Arial" w:cs="Arial"/>
          <w:sz w:val="24"/>
          <w:szCs w:val="24"/>
        </w:rPr>
      </w:pPr>
      <w:r w:rsidRPr="0024619B">
        <w:rPr>
          <w:rFonts w:ascii="Arial" w:hAnsi="Arial" w:cs="Arial"/>
          <w:b/>
          <w:sz w:val="24"/>
          <w:szCs w:val="24"/>
        </w:rPr>
        <w:t>Artículo 39.-</w:t>
      </w:r>
      <w:r w:rsidRPr="00483BF0">
        <w:rPr>
          <w:rFonts w:ascii="Arial" w:hAnsi="Arial" w:cs="Arial"/>
          <w:sz w:val="24"/>
          <w:szCs w:val="24"/>
        </w:rPr>
        <w:t xml:space="preserve"> Las dependencias, entidades y ayuntamientos, bajo su responsabilidad, podrán contratar obras públicas o servicios relacionados con las mismas, sin sujetarse al procedimiento de licitación pública, a través de los procedimientos de invitación a cuando menos tres personas o de adjudicación directa, cuando: ….</w:t>
      </w:r>
    </w:p>
    <w:p w14:paraId="605FC803" w14:textId="77777777" w:rsidR="00FA05CC" w:rsidRPr="00483BF0" w:rsidRDefault="00FA05CC" w:rsidP="00FA05CC">
      <w:pPr>
        <w:widowControl w:val="0"/>
        <w:autoSpaceDE w:val="0"/>
        <w:autoSpaceDN w:val="0"/>
        <w:spacing w:before="184" w:after="0" w:line="256" w:lineRule="auto"/>
        <w:jc w:val="both"/>
        <w:rPr>
          <w:rFonts w:ascii="Arial" w:eastAsia="Arial" w:hAnsi="Arial" w:cs="Arial"/>
          <w:sz w:val="24"/>
          <w:szCs w:val="24"/>
          <w:lang w:val="es-ES" w:eastAsia="es-ES" w:bidi="es-ES"/>
        </w:rPr>
      </w:pPr>
      <w:r w:rsidRPr="0024619B">
        <w:rPr>
          <w:rFonts w:ascii="Arial" w:hAnsi="Arial" w:cs="Arial"/>
          <w:b/>
          <w:sz w:val="24"/>
          <w:szCs w:val="24"/>
        </w:rPr>
        <w:t>Artículo 40.-</w:t>
      </w:r>
      <w:r w:rsidRPr="00483BF0">
        <w:rPr>
          <w:rFonts w:ascii="Arial" w:hAnsi="Arial" w:cs="Arial"/>
          <w:sz w:val="24"/>
          <w:szCs w:val="24"/>
        </w:rPr>
        <w:t xml:space="preserve"> Las dependencias, entidades y ayuntamientos bajo su responsabilidad, podrán contratar obras públicas o servicios relacionados con las mismas, sin sujetarse al procedimiento de licitación pública; mediante adjudicación directa, cuando el importe de cada operación no exceda de siete mil veces el salario mínimo general vigente en el Estado y por invitación a cuando menos tres contratistas cuando el importe de cada operación no exceda de cuarenta y siete mil quinientas veces el salario mínimo general vigente en el Estado; tratándose de servicios relacionados con la obra pública a través del procedimiento de invitación restringida por adjudicación directa, cuando el importe no exceda de dos mil quinientas veces el salario mínimo general vigente en el Estado y por invitación a cuando menos tres contratistas cuando el importe no exceda de veintiséis mil veces el salario mínimo general vigente en el Estado, siempre que los contratos no se fraccionen para quedar comprendidas en los supuestos de excepción a la licitación pública a que se refiere este artículo.</w:t>
      </w:r>
    </w:p>
    <w:p w14:paraId="5588FA9F" w14:textId="77777777" w:rsidR="00FA05CC" w:rsidRDefault="00FA05CC" w:rsidP="00FA05CC">
      <w:pPr>
        <w:widowControl w:val="0"/>
        <w:autoSpaceDE w:val="0"/>
        <w:autoSpaceDN w:val="0"/>
        <w:spacing w:before="184" w:after="0" w:line="256" w:lineRule="auto"/>
        <w:jc w:val="both"/>
        <w:rPr>
          <w:rFonts w:ascii="Arial" w:eastAsia="Arial" w:hAnsi="Arial" w:cs="Arial"/>
          <w:sz w:val="24"/>
          <w:szCs w:val="24"/>
          <w:lang w:val="es-ES" w:eastAsia="es-ES" w:bidi="es-ES"/>
        </w:rPr>
      </w:pPr>
    </w:p>
    <w:p w14:paraId="0303964F" w14:textId="77777777" w:rsidR="0024619B" w:rsidRDefault="0024619B" w:rsidP="00FA05CC">
      <w:pPr>
        <w:widowControl w:val="0"/>
        <w:autoSpaceDE w:val="0"/>
        <w:autoSpaceDN w:val="0"/>
        <w:spacing w:before="184" w:after="0" w:line="256" w:lineRule="auto"/>
        <w:jc w:val="both"/>
        <w:rPr>
          <w:rFonts w:ascii="Arial" w:eastAsia="Arial" w:hAnsi="Arial" w:cs="Arial"/>
          <w:sz w:val="24"/>
          <w:szCs w:val="24"/>
          <w:lang w:val="es-ES" w:eastAsia="es-ES" w:bidi="es-ES"/>
        </w:rPr>
      </w:pPr>
    </w:p>
    <w:p w14:paraId="3BAA016F" w14:textId="77777777" w:rsidR="0024619B" w:rsidRPr="0024619B" w:rsidRDefault="0024619B" w:rsidP="00FA05CC">
      <w:pPr>
        <w:widowControl w:val="0"/>
        <w:autoSpaceDE w:val="0"/>
        <w:autoSpaceDN w:val="0"/>
        <w:spacing w:before="184" w:after="0" w:line="256" w:lineRule="auto"/>
        <w:jc w:val="both"/>
        <w:rPr>
          <w:rFonts w:ascii="Arial" w:eastAsia="Arial" w:hAnsi="Arial" w:cs="Arial"/>
          <w:sz w:val="4"/>
          <w:szCs w:val="4"/>
          <w:lang w:val="es-ES" w:eastAsia="es-ES" w:bidi="es-ES"/>
        </w:rPr>
      </w:pPr>
    </w:p>
    <w:p w14:paraId="0405C3AA" w14:textId="77777777" w:rsidR="00FA05CC" w:rsidRPr="0024619B" w:rsidRDefault="00FA05CC" w:rsidP="00FA05CC">
      <w:pPr>
        <w:spacing w:line="276" w:lineRule="auto"/>
        <w:jc w:val="both"/>
        <w:rPr>
          <w:rFonts w:ascii="Arial" w:hAnsi="Arial" w:cs="Arial"/>
          <w:b/>
          <w:sz w:val="24"/>
          <w:szCs w:val="24"/>
        </w:rPr>
      </w:pPr>
      <w:r w:rsidRPr="0024619B">
        <w:rPr>
          <w:rFonts w:ascii="Arial" w:hAnsi="Arial" w:cs="Arial"/>
          <w:b/>
          <w:sz w:val="24"/>
          <w:szCs w:val="24"/>
        </w:rPr>
        <w:lastRenderedPageBreak/>
        <w:t>Actualizar y adecuar disposiciones</w:t>
      </w:r>
    </w:p>
    <w:p w14:paraId="6C300E0C" w14:textId="77777777" w:rsidR="00FA05CC" w:rsidRPr="00483BF0" w:rsidRDefault="00FA05CC" w:rsidP="00FA05CC">
      <w:pPr>
        <w:jc w:val="both"/>
        <w:rPr>
          <w:rFonts w:ascii="Arial" w:hAnsi="Arial" w:cs="Arial"/>
          <w:sz w:val="24"/>
          <w:szCs w:val="24"/>
        </w:rPr>
      </w:pPr>
      <w:r w:rsidRPr="00483BF0">
        <w:rPr>
          <w:rFonts w:ascii="Arial" w:hAnsi="Arial" w:cs="Arial"/>
          <w:sz w:val="24"/>
          <w:szCs w:val="24"/>
        </w:rPr>
        <w:t xml:space="preserve">Adecuar el artículo 40 de la Ley de Obras Públicas y Servicios Relacionados con las Mismas del Estado de Quintana Roo. </w:t>
      </w:r>
    </w:p>
    <w:p w14:paraId="0A97D288" w14:textId="77777777" w:rsidR="00FA05CC" w:rsidRPr="00483BF0" w:rsidRDefault="00FA05CC" w:rsidP="00FA05CC">
      <w:pPr>
        <w:jc w:val="both"/>
        <w:rPr>
          <w:rFonts w:ascii="Arial" w:hAnsi="Arial" w:cs="Arial"/>
          <w:sz w:val="24"/>
          <w:szCs w:val="24"/>
        </w:rPr>
      </w:pPr>
      <w:r w:rsidRPr="00483BF0">
        <w:rPr>
          <w:rFonts w:ascii="Arial" w:hAnsi="Arial" w:cs="Arial"/>
          <w:sz w:val="24"/>
          <w:szCs w:val="24"/>
        </w:rPr>
        <w:t xml:space="preserve">Adecuar el artículo 90 del Presupuesto de Egresos del Gobierno del Estado para el </w:t>
      </w:r>
      <w:r w:rsidR="00B13342">
        <w:rPr>
          <w:rFonts w:ascii="Arial" w:hAnsi="Arial" w:cs="Arial"/>
          <w:sz w:val="24"/>
          <w:szCs w:val="24"/>
        </w:rPr>
        <w:t>Ejercicio Fiscal 2024</w:t>
      </w:r>
      <w:r w:rsidRPr="00483BF0">
        <w:rPr>
          <w:rFonts w:ascii="Arial" w:hAnsi="Arial" w:cs="Arial"/>
          <w:sz w:val="24"/>
          <w:szCs w:val="24"/>
        </w:rPr>
        <w:t>.</w:t>
      </w:r>
    </w:p>
    <w:p w14:paraId="7D745BBB" w14:textId="77777777" w:rsidR="00FA05CC" w:rsidRPr="00483BF0" w:rsidRDefault="00FA05CC" w:rsidP="00FA05CC">
      <w:pPr>
        <w:jc w:val="both"/>
        <w:rPr>
          <w:rFonts w:ascii="Arial" w:hAnsi="Arial" w:cs="Arial"/>
          <w:sz w:val="24"/>
          <w:szCs w:val="24"/>
        </w:rPr>
      </w:pPr>
      <w:r w:rsidRPr="00483BF0">
        <w:rPr>
          <w:rFonts w:ascii="Arial" w:hAnsi="Arial" w:cs="Arial"/>
          <w:sz w:val="24"/>
          <w:szCs w:val="24"/>
        </w:rPr>
        <w:t>En apego lo previsto en el artículo 40 párrafo primero de la Ley de Obras Públicas y Servicios relacionados con las mismas del Estado de Quintana Roo, las dependencias y entidades, bajo su responsabilidad, podrán contratar obras públicas y servicios, mediante los procedimientos que a continuación se señalan:</w:t>
      </w:r>
    </w:p>
    <w:p w14:paraId="73F01B34" w14:textId="77777777" w:rsidR="00FA05CC" w:rsidRPr="00483BF0" w:rsidRDefault="00FA05CC" w:rsidP="00FA05CC">
      <w:pPr>
        <w:jc w:val="both"/>
        <w:rPr>
          <w:rFonts w:ascii="Arial" w:hAnsi="Arial" w:cs="Arial"/>
          <w:sz w:val="24"/>
          <w:szCs w:val="24"/>
        </w:rPr>
      </w:pPr>
      <w:r w:rsidRPr="00483BF0">
        <w:rPr>
          <w:rFonts w:ascii="Arial" w:hAnsi="Arial" w:cs="Arial"/>
          <w:sz w:val="24"/>
          <w:szCs w:val="24"/>
        </w:rPr>
        <w:t>Las dependencias, entidades y ayuntamientos bajo su responsabilidad, podrán contratar obras públicas o servicios relacionados con las mismas, sin sujetarse al procedimiento de licitación pública; mediante adjudicación directa, cuando el importe de cada operación no exceda de siete mil veces el salario mínimo general vigente en el Estado y por invitación a cuando menos tres contratistas cuando el importe de cada operación no exceda de cuarenta y siete mil quinientas veces el salario mínimo general vigente en el Estado; tratándose de servicios relacionados con la obra pública a través del procedimiento de invitación restringida por adjudicación directa, cuando el importe no exceda de dos mil quinientas veces el salario mínimo general vigente en el Estado y por invitación a cuando menos tres contratistas cuando el importe no exceda de veintiséis mil veces el salario mínimo general vigente en el Estado, siempre que los contratos no se fraccionen para quedar comprendidas en los supuestos de excepción a la licitación pública a que se refiere este artículo.</w:t>
      </w:r>
    </w:p>
    <w:p w14:paraId="5D5086E9" w14:textId="77777777" w:rsidR="00FA05CC" w:rsidRPr="00483BF0" w:rsidRDefault="00FA05CC" w:rsidP="00FA05CC">
      <w:pPr>
        <w:jc w:val="both"/>
        <w:rPr>
          <w:rFonts w:ascii="Arial" w:hAnsi="Arial" w:cs="Arial"/>
          <w:sz w:val="24"/>
          <w:szCs w:val="24"/>
        </w:rPr>
      </w:pPr>
      <w:r w:rsidRPr="00483BF0">
        <w:rPr>
          <w:rFonts w:ascii="Arial" w:hAnsi="Arial" w:cs="Arial"/>
          <w:sz w:val="24"/>
          <w:szCs w:val="24"/>
        </w:rPr>
        <w:t>Al respecto se presentan dos propuestas, a saber:</w:t>
      </w:r>
    </w:p>
    <w:p w14:paraId="75547D92" w14:textId="77777777" w:rsidR="00FA05CC" w:rsidRPr="00483BF0" w:rsidRDefault="00FA05CC" w:rsidP="00FA05CC">
      <w:pPr>
        <w:jc w:val="both"/>
        <w:rPr>
          <w:rFonts w:ascii="Arial" w:hAnsi="Arial" w:cs="Arial"/>
          <w:sz w:val="24"/>
          <w:szCs w:val="24"/>
        </w:rPr>
      </w:pPr>
    </w:p>
    <w:p w14:paraId="45623D94" w14:textId="77777777" w:rsidR="00FA05CC" w:rsidRPr="00483BF0" w:rsidRDefault="00FA05CC" w:rsidP="00FA05CC">
      <w:pPr>
        <w:jc w:val="both"/>
        <w:rPr>
          <w:rFonts w:ascii="Arial" w:hAnsi="Arial" w:cs="Arial"/>
          <w:b/>
          <w:bCs/>
          <w:sz w:val="24"/>
          <w:szCs w:val="20"/>
        </w:rPr>
      </w:pPr>
      <w:r w:rsidRPr="00483BF0">
        <w:rPr>
          <w:rFonts w:ascii="Arial" w:hAnsi="Arial" w:cs="Arial"/>
          <w:b/>
          <w:bCs/>
          <w:sz w:val="24"/>
          <w:szCs w:val="20"/>
        </w:rPr>
        <w:t>OPCIÓN 1</w:t>
      </w:r>
    </w:p>
    <w:p w14:paraId="64E13433" w14:textId="77777777" w:rsidR="00FA05CC" w:rsidRPr="00483BF0" w:rsidRDefault="00FA05CC" w:rsidP="00FA05CC">
      <w:pPr>
        <w:jc w:val="both"/>
        <w:rPr>
          <w:rFonts w:ascii="Arial" w:hAnsi="Arial" w:cs="Arial"/>
          <w:sz w:val="24"/>
          <w:szCs w:val="20"/>
        </w:rPr>
      </w:pPr>
      <w:r w:rsidRPr="00483BF0">
        <w:rPr>
          <w:rFonts w:ascii="Arial" w:hAnsi="Arial" w:cs="Arial"/>
          <w:sz w:val="24"/>
          <w:szCs w:val="20"/>
        </w:rPr>
        <w:t>Se debe de corregir la referencia que se hace en el Artículo 90 del Presupuesto de Egresos del Estado en referencia a los montos máximos asignados a las obras públicas y servicios relacionadas con las mismas que se pueden contratar mediante la Adjudicación Directa o la Invitación a cuando menos tres Contratistas, ya que se e</w:t>
      </w:r>
      <w:r w:rsidR="00B13342">
        <w:rPr>
          <w:rFonts w:ascii="Arial" w:hAnsi="Arial" w:cs="Arial"/>
          <w:sz w:val="24"/>
          <w:szCs w:val="20"/>
        </w:rPr>
        <w:t>ncuentran cuantificados en UMAs.</w:t>
      </w:r>
      <w:r w:rsidRPr="00483BF0">
        <w:rPr>
          <w:rFonts w:ascii="Arial" w:hAnsi="Arial" w:cs="Arial"/>
          <w:sz w:val="24"/>
          <w:szCs w:val="20"/>
        </w:rPr>
        <w:t xml:space="preserve"> </w:t>
      </w:r>
    </w:p>
    <w:p w14:paraId="2E9C75C6" w14:textId="77777777" w:rsidR="00FA05CC" w:rsidRPr="00483BF0" w:rsidRDefault="00FA05CC" w:rsidP="00FA05CC">
      <w:pPr>
        <w:jc w:val="both"/>
        <w:rPr>
          <w:rFonts w:ascii="Arial" w:hAnsi="Arial" w:cs="Arial"/>
          <w:b/>
          <w:bCs/>
          <w:sz w:val="24"/>
          <w:szCs w:val="20"/>
        </w:rPr>
      </w:pPr>
      <w:r w:rsidRPr="00483BF0">
        <w:rPr>
          <w:rFonts w:ascii="Arial" w:hAnsi="Arial" w:cs="Arial"/>
          <w:b/>
          <w:bCs/>
          <w:sz w:val="24"/>
          <w:szCs w:val="20"/>
        </w:rPr>
        <w:t>Dice:</w:t>
      </w:r>
    </w:p>
    <w:p w14:paraId="435F0053" w14:textId="77777777" w:rsidR="00FA05CC" w:rsidRPr="00483BF0" w:rsidRDefault="00B13342" w:rsidP="00FA05CC">
      <w:pPr>
        <w:jc w:val="both"/>
        <w:rPr>
          <w:rFonts w:ascii="Arial" w:hAnsi="Arial" w:cs="Arial"/>
          <w:sz w:val="24"/>
          <w:szCs w:val="20"/>
        </w:rPr>
      </w:pPr>
      <w:r w:rsidRPr="00483BF0">
        <w:rPr>
          <w:rFonts w:ascii="Arial" w:hAnsi="Arial" w:cs="Arial"/>
          <w:b/>
          <w:bCs/>
          <w:sz w:val="24"/>
          <w:szCs w:val="20"/>
        </w:rPr>
        <w:t xml:space="preserve">Artículo </w:t>
      </w:r>
      <w:r w:rsidR="00FA05CC" w:rsidRPr="00483BF0">
        <w:rPr>
          <w:rFonts w:ascii="Arial" w:hAnsi="Arial" w:cs="Arial"/>
          <w:b/>
          <w:bCs/>
          <w:sz w:val="24"/>
          <w:szCs w:val="20"/>
        </w:rPr>
        <w:t>90.-</w:t>
      </w:r>
      <w:r w:rsidR="00FA05CC" w:rsidRPr="00483BF0">
        <w:rPr>
          <w:rFonts w:ascii="Arial" w:hAnsi="Arial" w:cs="Arial"/>
          <w:sz w:val="24"/>
          <w:szCs w:val="20"/>
        </w:rPr>
        <w:t xml:space="preserve"> Para los efectos del </w:t>
      </w:r>
      <w:r w:rsidRPr="00483BF0">
        <w:rPr>
          <w:rFonts w:ascii="Arial" w:hAnsi="Arial" w:cs="Arial"/>
          <w:sz w:val="24"/>
          <w:szCs w:val="20"/>
        </w:rPr>
        <w:t xml:space="preserve">artículo </w:t>
      </w:r>
      <w:r w:rsidR="00FA05CC" w:rsidRPr="00483BF0">
        <w:rPr>
          <w:rFonts w:ascii="Arial" w:hAnsi="Arial" w:cs="Arial"/>
          <w:sz w:val="24"/>
          <w:szCs w:val="20"/>
        </w:rPr>
        <w:t xml:space="preserve">40 de la Ley de Obras Públicas y Servicios Relacionados con las Mismas del Estado de Quintana Roo, los montos máximos de adjudicación directa y los de adjudicación mediante invitación a cuando menos tres contratistas, obras públicas y servicios relacionados con las mismas, serán los señalados a continuación: </w:t>
      </w:r>
    </w:p>
    <w:tbl>
      <w:tblPr>
        <w:tblStyle w:val="Tablaconcuadrcula"/>
        <w:tblW w:w="0" w:type="auto"/>
        <w:tblInd w:w="-5" w:type="dxa"/>
        <w:shd w:val="clear" w:color="auto" w:fill="FFFF00"/>
        <w:tblLayout w:type="fixed"/>
        <w:tblLook w:val="04A0" w:firstRow="1" w:lastRow="0" w:firstColumn="1" w:lastColumn="0" w:noHBand="0" w:noVBand="1"/>
      </w:tblPr>
      <w:tblGrid>
        <w:gridCol w:w="1985"/>
        <w:gridCol w:w="2410"/>
        <w:gridCol w:w="2409"/>
        <w:gridCol w:w="2694"/>
      </w:tblGrid>
      <w:tr w:rsidR="00FA05CC" w:rsidRPr="006C3937" w14:paraId="190E5403" w14:textId="77777777" w:rsidTr="0024619B">
        <w:tc>
          <w:tcPr>
            <w:tcW w:w="9498" w:type="dxa"/>
            <w:gridSpan w:val="4"/>
            <w:shd w:val="clear" w:color="auto" w:fill="A6A6A6" w:themeFill="background1" w:themeFillShade="A6"/>
          </w:tcPr>
          <w:p w14:paraId="2E9C505D" w14:textId="77777777" w:rsidR="00FA05CC" w:rsidRPr="0024619B" w:rsidRDefault="00FA05CC" w:rsidP="000E55D3">
            <w:pPr>
              <w:jc w:val="center"/>
              <w:rPr>
                <w:rFonts w:ascii="Arial" w:hAnsi="Arial" w:cs="Arial"/>
                <w:b/>
                <w:color w:val="FFFFFF" w:themeColor="background1"/>
                <w:sz w:val="20"/>
                <w:szCs w:val="24"/>
              </w:rPr>
            </w:pPr>
            <w:r w:rsidRPr="0024619B">
              <w:rPr>
                <w:rFonts w:ascii="Arial" w:hAnsi="Arial" w:cs="Arial"/>
                <w:b/>
                <w:color w:val="FFFFFF" w:themeColor="background1"/>
                <w:sz w:val="20"/>
                <w:szCs w:val="24"/>
              </w:rPr>
              <w:lastRenderedPageBreak/>
              <w:t>Obras Públicas y Servicios Relacionados con las Mismas</w:t>
            </w:r>
          </w:p>
          <w:p w14:paraId="3DC3BBF4" w14:textId="77777777" w:rsidR="00FA05CC" w:rsidRPr="006C3937" w:rsidRDefault="00FA05CC" w:rsidP="000E55D3">
            <w:pPr>
              <w:jc w:val="center"/>
              <w:rPr>
                <w:rFonts w:ascii="Arial" w:hAnsi="Arial" w:cs="Arial"/>
                <w:sz w:val="20"/>
                <w:szCs w:val="24"/>
              </w:rPr>
            </w:pPr>
            <w:r w:rsidRPr="0024619B">
              <w:rPr>
                <w:rFonts w:ascii="Arial" w:hAnsi="Arial" w:cs="Arial"/>
                <w:b/>
                <w:color w:val="FFFFFF" w:themeColor="background1"/>
                <w:sz w:val="20"/>
                <w:szCs w:val="24"/>
              </w:rPr>
              <w:t>Unidad de Medida y Actualización (UMA)</w:t>
            </w:r>
          </w:p>
        </w:tc>
      </w:tr>
      <w:tr w:rsidR="00FA05CC" w:rsidRPr="006C3937" w14:paraId="00CC0BB6" w14:textId="77777777" w:rsidTr="00D66991">
        <w:trPr>
          <w:trHeight w:val="1494"/>
        </w:trPr>
        <w:tc>
          <w:tcPr>
            <w:tcW w:w="1985" w:type="dxa"/>
            <w:shd w:val="clear" w:color="auto" w:fill="auto"/>
          </w:tcPr>
          <w:p w14:paraId="55B9BECC"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Monto máximo total de cada obra pública que podrá adjudicarse directamente</w:t>
            </w:r>
          </w:p>
        </w:tc>
        <w:tc>
          <w:tcPr>
            <w:tcW w:w="2410" w:type="dxa"/>
            <w:shd w:val="clear" w:color="auto" w:fill="auto"/>
          </w:tcPr>
          <w:p w14:paraId="51D96B6E"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Monto máximo total de cada servicio relacionado con obra pública que podrá adjudicarse directamente</w:t>
            </w:r>
          </w:p>
        </w:tc>
        <w:tc>
          <w:tcPr>
            <w:tcW w:w="2409" w:type="dxa"/>
            <w:shd w:val="clear" w:color="auto" w:fill="auto"/>
          </w:tcPr>
          <w:p w14:paraId="1CFB3434"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Monto máximo total de cada obra pública que podrá adjudicarse mediante invitación a cuando menos tres contratistas</w:t>
            </w:r>
          </w:p>
        </w:tc>
        <w:tc>
          <w:tcPr>
            <w:tcW w:w="2694" w:type="dxa"/>
            <w:shd w:val="clear" w:color="auto" w:fill="auto"/>
          </w:tcPr>
          <w:p w14:paraId="6C0E6F2D"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Monto máximo total de cada servicio relacionado con obra pública que podrán adjudicarse mediante invitación a cuando menos tres contratistas</w:t>
            </w:r>
          </w:p>
        </w:tc>
      </w:tr>
      <w:tr w:rsidR="00FA05CC" w:rsidRPr="006C3937" w14:paraId="48B4235C" w14:textId="77777777" w:rsidTr="00D66991">
        <w:trPr>
          <w:trHeight w:val="565"/>
        </w:trPr>
        <w:tc>
          <w:tcPr>
            <w:tcW w:w="1985" w:type="dxa"/>
            <w:shd w:val="clear" w:color="auto" w:fill="auto"/>
          </w:tcPr>
          <w:p w14:paraId="2EE9EA0F"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Dependencia y Entidades</w:t>
            </w:r>
          </w:p>
        </w:tc>
        <w:tc>
          <w:tcPr>
            <w:tcW w:w="2410" w:type="dxa"/>
            <w:shd w:val="clear" w:color="auto" w:fill="auto"/>
          </w:tcPr>
          <w:p w14:paraId="5EC509FB"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Dependencia y Entidades</w:t>
            </w:r>
          </w:p>
        </w:tc>
        <w:tc>
          <w:tcPr>
            <w:tcW w:w="2409" w:type="dxa"/>
            <w:shd w:val="clear" w:color="auto" w:fill="auto"/>
          </w:tcPr>
          <w:p w14:paraId="481CC0EE"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Dependencia y Entidades</w:t>
            </w:r>
          </w:p>
        </w:tc>
        <w:tc>
          <w:tcPr>
            <w:tcW w:w="2694" w:type="dxa"/>
            <w:shd w:val="clear" w:color="auto" w:fill="auto"/>
          </w:tcPr>
          <w:p w14:paraId="12224B6C"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Dependencia y Entidades</w:t>
            </w:r>
          </w:p>
        </w:tc>
      </w:tr>
      <w:tr w:rsidR="00FA05CC" w:rsidRPr="00483BF0" w14:paraId="4024B66B" w14:textId="77777777" w:rsidTr="00D66991">
        <w:trPr>
          <w:trHeight w:val="844"/>
        </w:trPr>
        <w:tc>
          <w:tcPr>
            <w:tcW w:w="1985" w:type="dxa"/>
            <w:shd w:val="clear" w:color="auto" w:fill="auto"/>
          </w:tcPr>
          <w:p w14:paraId="41BD51F2"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Siete mil veces del valor de la UMA vigente.</w:t>
            </w:r>
          </w:p>
        </w:tc>
        <w:tc>
          <w:tcPr>
            <w:tcW w:w="2410" w:type="dxa"/>
            <w:shd w:val="clear" w:color="auto" w:fill="auto"/>
          </w:tcPr>
          <w:p w14:paraId="16FD7C5F"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Dos mil quinientas veces del valor de la UMA vigente.</w:t>
            </w:r>
          </w:p>
        </w:tc>
        <w:tc>
          <w:tcPr>
            <w:tcW w:w="2409" w:type="dxa"/>
            <w:shd w:val="clear" w:color="auto" w:fill="auto"/>
          </w:tcPr>
          <w:p w14:paraId="1598F89E"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Cuarenta y siete mil quinientas veces del valor de la UMA vigente.</w:t>
            </w:r>
          </w:p>
        </w:tc>
        <w:tc>
          <w:tcPr>
            <w:tcW w:w="2694" w:type="dxa"/>
            <w:shd w:val="clear" w:color="auto" w:fill="auto"/>
          </w:tcPr>
          <w:p w14:paraId="28869067" w14:textId="77777777" w:rsidR="00FA05CC" w:rsidRPr="006C3937" w:rsidRDefault="00FA05CC" w:rsidP="00D66991">
            <w:pPr>
              <w:jc w:val="both"/>
              <w:rPr>
                <w:rFonts w:ascii="Arial" w:hAnsi="Arial" w:cs="Arial"/>
                <w:sz w:val="20"/>
                <w:szCs w:val="24"/>
              </w:rPr>
            </w:pPr>
            <w:r w:rsidRPr="006C3937">
              <w:rPr>
                <w:rFonts w:ascii="Arial" w:hAnsi="Arial" w:cs="Arial"/>
                <w:sz w:val="20"/>
                <w:szCs w:val="24"/>
              </w:rPr>
              <w:t>Veintiséis mil veces del valor de la UMA vigente.</w:t>
            </w:r>
          </w:p>
          <w:p w14:paraId="4D5E9270" w14:textId="77777777" w:rsidR="00FA05CC" w:rsidRPr="006C3937" w:rsidRDefault="00FA05CC" w:rsidP="00D66991">
            <w:pPr>
              <w:jc w:val="both"/>
              <w:rPr>
                <w:rFonts w:ascii="Arial" w:hAnsi="Arial" w:cs="Arial"/>
                <w:sz w:val="20"/>
                <w:szCs w:val="24"/>
              </w:rPr>
            </w:pPr>
          </w:p>
        </w:tc>
      </w:tr>
    </w:tbl>
    <w:p w14:paraId="5B76F7A4" w14:textId="77777777" w:rsidR="00FA05CC" w:rsidRPr="00483BF0" w:rsidRDefault="00FA05CC" w:rsidP="00FA05CC">
      <w:pPr>
        <w:pStyle w:val="Default"/>
        <w:jc w:val="both"/>
        <w:rPr>
          <w:rFonts w:ascii="Arial" w:hAnsi="Arial" w:cs="Arial"/>
          <w:color w:val="auto"/>
          <w:sz w:val="20"/>
          <w:szCs w:val="20"/>
        </w:rPr>
      </w:pPr>
    </w:p>
    <w:p w14:paraId="7E07476F" w14:textId="77777777" w:rsidR="00FA05CC" w:rsidRDefault="00FA05CC" w:rsidP="009B15EB">
      <w:pPr>
        <w:pStyle w:val="Default"/>
        <w:spacing w:line="276" w:lineRule="auto"/>
        <w:jc w:val="both"/>
        <w:rPr>
          <w:rFonts w:ascii="Arial" w:hAnsi="Arial" w:cs="Arial"/>
          <w:color w:val="auto"/>
          <w:szCs w:val="20"/>
        </w:rPr>
      </w:pPr>
      <w:r w:rsidRPr="00483BF0">
        <w:rPr>
          <w:rFonts w:ascii="Arial" w:hAnsi="Arial" w:cs="Arial"/>
          <w:color w:val="auto"/>
          <w:szCs w:val="20"/>
        </w:rPr>
        <w:t xml:space="preserve">Los montos resultantes de la operación aritmética deberán considerarse sin incluir el importe del Impuesto al Valor Agregado. </w:t>
      </w:r>
    </w:p>
    <w:p w14:paraId="784C6D00" w14:textId="77777777" w:rsidR="0024619B" w:rsidRPr="00483BF0" w:rsidRDefault="0024619B" w:rsidP="009B15EB">
      <w:pPr>
        <w:pStyle w:val="Default"/>
        <w:spacing w:line="276" w:lineRule="auto"/>
        <w:jc w:val="both"/>
        <w:rPr>
          <w:rFonts w:ascii="Arial" w:hAnsi="Arial" w:cs="Arial"/>
          <w:color w:val="auto"/>
          <w:szCs w:val="20"/>
        </w:rPr>
      </w:pPr>
    </w:p>
    <w:p w14:paraId="26FE869F" w14:textId="77777777" w:rsidR="00FA05CC" w:rsidRPr="00A671A4" w:rsidRDefault="00FA05CC" w:rsidP="009B15EB">
      <w:pPr>
        <w:pStyle w:val="Default"/>
        <w:spacing w:line="276" w:lineRule="auto"/>
        <w:jc w:val="both"/>
        <w:rPr>
          <w:rFonts w:ascii="Arial" w:hAnsi="Arial" w:cs="Arial"/>
          <w:color w:val="auto"/>
          <w:szCs w:val="20"/>
        </w:rPr>
      </w:pPr>
      <w:r w:rsidRPr="00483BF0">
        <w:rPr>
          <w:rFonts w:ascii="Arial" w:hAnsi="Arial" w:cs="Arial"/>
          <w:color w:val="auto"/>
          <w:szCs w:val="20"/>
        </w:rPr>
        <w:t xml:space="preserve">Cuando se ejecuten obras o servicios relacionados con las mismas en los que se ejerzan asignaciones presupuestarias federales, se deberán apegar a la normatividad aplicable o a la que se pacte en los acuerdos o convenios respectivos. </w:t>
      </w:r>
      <w:r w:rsidRPr="00483BF0">
        <w:rPr>
          <w:rFonts w:ascii="Arial" w:hAnsi="Arial" w:cs="Arial"/>
          <w:szCs w:val="20"/>
        </w:rPr>
        <w:t>Programas de inversión sujetos a reglas de operación e información en materia de transferencias y subsidios.</w:t>
      </w:r>
    </w:p>
    <w:p w14:paraId="0D7F51B7" w14:textId="77777777" w:rsidR="00A671A4" w:rsidRDefault="00A671A4" w:rsidP="009B15EB">
      <w:pPr>
        <w:spacing w:line="276" w:lineRule="auto"/>
        <w:jc w:val="both"/>
        <w:rPr>
          <w:rFonts w:ascii="Arial" w:hAnsi="Arial" w:cs="Arial"/>
          <w:b/>
          <w:bCs/>
          <w:sz w:val="24"/>
          <w:szCs w:val="20"/>
        </w:rPr>
      </w:pPr>
    </w:p>
    <w:p w14:paraId="686E85B0" w14:textId="77777777" w:rsidR="00FA05CC" w:rsidRPr="00483BF0" w:rsidRDefault="00FA05CC" w:rsidP="009B15EB">
      <w:pPr>
        <w:spacing w:line="276" w:lineRule="auto"/>
        <w:jc w:val="both"/>
        <w:rPr>
          <w:rFonts w:ascii="Arial" w:hAnsi="Arial" w:cs="Arial"/>
          <w:b/>
          <w:bCs/>
          <w:sz w:val="24"/>
          <w:szCs w:val="20"/>
        </w:rPr>
      </w:pPr>
      <w:r w:rsidRPr="00483BF0">
        <w:rPr>
          <w:rFonts w:ascii="Arial" w:hAnsi="Arial" w:cs="Arial"/>
          <w:b/>
          <w:bCs/>
          <w:sz w:val="24"/>
          <w:szCs w:val="20"/>
        </w:rPr>
        <w:t>Debe decir:</w:t>
      </w:r>
    </w:p>
    <w:p w14:paraId="730B9138" w14:textId="77777777" w:rsidR="00FA05CC" w:rsidRPr="0024619B" w:rsidRDefault="00B13342" w:rsidP="009B15EB">
      <w:pPr>
        <w:spacing w:line="276" w:lineRule="auto"/>
        <w:jc w:val="both"/>
        <w:rPr>
          <w:rFonts w:ascii="Arial" w:hAnsi="Arial" w:cs="Arial"/>
          <w:sz w:val="24"/>
          <w:szCs w:val="20"/>
        </w:rPr>
      </w:pPr>
      <w:r w:rsidRPr="00483BF0">
        <w:rPr>
          <w:rFonts w:ascii="Arial" w:hAnsi="Arial" w:cs="Arial"/>
          <w:b/>
          <w:bCs/>
          <w:sz w:val="24"/>
          <w:szCs w:val="20"/>
        </w:rPr>
        <w:t xml:space="preserve">Artículo </w:t>
      </w:r>
      <w:r w:rsidR="00FA05CC" w:rsidRPr="00483BF0">
        <w:rPr>
          <w:rFonts w:ascii="Arial" w:hAnsi="Arial" w:cs="Arial"/>
          <w:b/>
          <w:bCs/>
          <w:sz w:val="24"/>
          <w:szCs w:val="20"/>
        </w:rPr>
        <w:t>90.-</w:t>
      </w:r>
      <w:r w:rsidR="00FA05CC" w:rsidRPr="00483BF0">
        <w:rPr>
          <w:rFonts w:ascii="Arial" w:hAnsi="Arial" w:cs="Arial"/>
          <w:sz w:val="24"/>
          <w:szCs w:val="20"/>
        </w:rPr>
        <w:t xml:space="preserve"> Para los efectos del Artículo 40 de la Ley de Obras Públicas y Servicios Relacionados con las Mismas del Estado de Quintana Roo, los montos máximos de adjudicación directa y los de adjudicación mediante invitación a cuando menos tres contratistas, obras públicas y servicios relacionados con las mismas, serán</w:t>
      </w:r>
      <w:r w:rsidR="0024619B">
        <w:rPr>
          <w:rFonts w:ascii="Arial" w:hAnsi="Arial" w:cs="Arial"/>
          <w:sz w:val="24"/>
          <w:szCs w:val="20"/>
        </w:rPr>
        <w:t xml:space="preserve"> los señalados a continuación: </w:t>
      </w:r>
    </w:p>
    <w:tbl>
      <w:tblPr>
        <w:tblStyle w:val="Tablaconcuadrcula"/>
        <w:tblW w:w="9634" w:type="dxa"/>
        <w:shd w:val="clear" w:color="auto" w:fill="FFFF00"/>
        <w:tblLayout w:type="fixed"/>
        <w:tblLook w:val="04A0" w:firstRow="1" w:lastRow="0" w:firstColumn="1" w:lastColumn="0" w:noHBand="0" w:noVBand="1"/>
      </w:tblPr>
      <w:tblGrid>
        <w:gridCol w:w="1980"/>
        <w:gridCol w:w="2551"/>
        <w:gridCol w:w="2410"/>
        <w:gridCol w:w="2693"/>
      </w:tblGrid>
      <w:tr w:rsidR="00FA05CC" w:rsidRPr="00483BF0" w14:paraId="6B7A5AEC" w14:textId="77777777" w:rsidTr="0024619B">
        <w:tc>
          <w:tcPr>
            <w:tcW w:w="9634" w:type="dxa"/>
            <w:gridSpan w:val="4"/>
            <w:shd w:val="clear" w:color="auto" w:fill="BFBFBF" w:themeFill="background1" w:themeFillShade="BF"/>
          </w:tcPr>
          <w:p w14:paraId="1DCEFAD8" w14:textId="77777777" w:rsidR="00FA05CC" w:rsidRPr="0024619B" w:rsidRDefault="00FA05CC" w:rsidP="000E55D3">
            <w:pPr>
              <w:jc w:val="center"/>
              <w:rPr>
                <w:rFonts w:ascii="Arial" w:hAnsi="Arial" w:cs="Arial"/>
                <w:b/>
                <w:color w:val="FFFFFF" w:themeColor="background1"/>
                <w:sz w:val="20"/>
                <w:szCs w:val="16"/>
              </w:rPr>
            </w:pPr>
            <w:r w:rsidRPr="0024619B">
              <w:rPr>
                <w:rFonts w:ascii="Arial" w:hAnsi="Arial" w:cs="Arial"/>
                <w:b/>
                <w:color w:val="FFFFFF" w:themeColor="background1"/>
                <w:sz w:val="20"/>
                <w:szCs w:val="16"/>
              </w:rPr>
              <w:t>Obras Públicas y Servicios Relacionados con las Mismas</w:t>
            </w:r>
          </w:p>
          <w:p w14:paraId="287A00B8" w14:textId="77777777" w:rsidR="00FA05CC" w:rsidRPr="00483BF0" w:rsidRDefault="00FA05CC" w:rsidP="000E55D3">
            <w:pPr>
              <w:jc w:val="center"/>
              <w:rPr>
                <w:rFonts w:ascii="Arial" w:hAnsi="Arial" w:cs="Arial"/>
                <w:sz w:val="20"/>
                <w:szCs w:val="16"/>
              </w:rPr>
            </w:pPr>
            <w:r w:rsidRPr="0024619B">
              <w:rPr>
                <w:rFonts w:ascii="Arial" w:hAnsi="Arial" w:cs="Arial"/>
                <w:b/>
                <w:color w:val="FFFFFF" w:themeColor="background1"/>
                <w:sz w:val="20"/>
                <w:szCs w:val="16"/>
              </w:rPr>
              <w:t>Salario Mínimo General vigente en el Estado</w:t>
            </w:r>
          </w:p>
        </w:tc>
      </w:tr>
      <w:tr w:rsidR="00FA05CC" w:rsidRPr="00483BF0" w14:paraId="1BE844E5" w14:textId="77777777" w:rsidTr="00D66991">
        <w:trPr>
          <w:trHeight w:val="1407"/>
        </w:trPr>
        <w:tc>
          <w:tcPr>
            <w:tcW w:w="1980" w:type="dxa"/>
            <w:shd w:val="clear" w:color="auto" w:fill="auto"/>
          </w:tcPr>
          <w:p w14:paraId="4FFF05E5"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Monto máximo total de cada obra pública que podrá adjudicarse directamente</w:t>
            </w:r>
          </w:p>
        </w:tc>
        <w:tc>
          <w:tcPr>
            <w:tcW w:w="2551" w:type="dxa"/>
            <w:shd w:val="clear" w:color="auto" w:fill="auto"/>
          </w:tcPr>
          <w:p w14:paraId="05920D45"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Monto máximo total de cada servicio relacionado con obra pública que podrá adjudicarse directamente</w:t>
            </w:r>
          </w:p>
          <w:p w14:paraId="4F13B2D5" w14:textId="77777777" w:rsidR="00FA05CC" w:rsidRPr="00483BF0" w:rsidRDefault="00FA05CC" w:rsidP="00D66991">
            <w:pPr>
              <w:jc w:val="both"/>
              <w:rPr>
                <w:rFonts w:ascii="Arial" w:hAnsi="Arial" w:cs="Arial"/>
                <w:sz w:val="20"/>
                <w:szCs w:val="16"/>
              </w:rPr>
            </w:pPr>
          </w:p>
        </w:tc>
        <w:tc>
          <w:tcPr>
            <w:tcW w:w="2410" w:type="dxa"/>
            <w:shd w:val="clear" w:color="auto" w:fill="auto"/>
          </w:tcPr>
          <w:p w14:paraId="41C07A02"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Monto máximo total de cada obra pública que podrá adjudicarse mediante invitación a cuando menos tres contratistas</w:t>
            </w:r>
          </w:p>
          <w:p w14:paraId="10157665" w14:textId="77777777" w:rsidR="00FA05CC" w:rsidRPr="00483BF0" w:rsidRDefault="00FA05CC" w:rsidP="00D66991">
            <w:pPr>
              <w:jc w:val="both"/>
              <w:rPr>
                <w:rFonts w:ascii="Arial" w:hAnsi="Arial" w:cs="Arial"/>
                <w:sz w:val="20"/>
                <w:szCs w:val="16"/>
              </w:rPr>
            </w:pPr>
          </w:p>
        </w:tc>
        <w:tc>
          <w:tcPr>
            <w:tcW w:w="2693" w:type="dxa"/>
            <w:shd w:val="clear" w:color="auto" w:fill="auto"/>
          </w:tcPr>
          <w:p w14:paraId="226BC81A"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Monto máximo total de cada servicio relacionado con obra pública que podrán adjudicarse mediante invitación a cuando menos tres contratistas</w:t>
            </w:r>
          </w:p>
        </w:tc>
      </w:tr>
      <w:tr w:rsidR="00FA05CC" w:rsidRPr="00483BF0" w14:paraId="4CA13988" w14:textId="77777777" w:rsidTr="0024619B">
        <w:tc>
          <w:tcPr>
            <w:tcW w:w="1980" w:type="dxa"/>
            <w:shd w:val="clear" w:color="auto" w:fill="auto"/>
          </w:tcPr>
          <w:p w14:paraId="38A7C88D"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Dependencia y Entidades</w:t>
            </w:r>
          </w:p>
        </w:tc>
        <w:tc>
          <w:tcPr>
            <w:tcW w:w="2551" w:type="dxa"/>
            <w:shd w:val="clear" w:color="auto" w:fill="auto"/>
          </w:tcPr>
          <w:p w14:paraId="17C5AE61"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Dependencia y Entidades</w:t>
            </w:r>
          </w:p>
        </w:tc>
        <w:tc>
          <w:tcPr>
            <w:tcW w:w="2410" w:type="dxa"/>
            <w:shd w:val="clear" w:color="auto" w:fill="auto"/>
          </w:tcPr>
          <w:p w14:paraId="15BF7AF6"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Dependencia y Entidades</w:t>
            </w:r>
          </w:p>
        </w:tc>
        <w:tc>
          <w:tcPr>
            <w:tcW w:w="2693" w:type="dxa"/>
            <w:shd w:val="clear" w:color="auto" w:fill="auto"/>
          </w:tcPr>
          <w:p w14:paraId="6DDCD9ED"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Dependencia y Entidades</w:t>
            </w:r>
          </w:p>
        </w:tc>
      </w:tr>
      <w:tr w:rsidR="00FA05CC" w:rsidRPr="00483BF0" w14:paraId="28E83454" w14:textId="77777777" w:rsidTr="0024619B">
        <w:tc>
          <w:tcPr>
            <w:tcW w:w="1980" w:type="dxa"/>
            <w:shd w:val="clear" w:color="auto" w:fill="auto"/>
          </w:tcPr>
          <w:p w14:paraId="6028E78D"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 xml:space="preserve">Siete mil </w:t>
            </w:r>
            <w:r w:rsidRPr="00751D7E">
              <w:rPr>
                <w:rFonts w:ascii="Arial" w:hAnsi="Arial" w:cs="Arial"/>
                <w:sz w:val="20"/>
                <w:szCs w:val="16"/>
              </w:rPr>
              <w:t>veces del valor del Salario Mínimo General vigente en el Estado.</w:t>
            </w:r>
          </w:p>
        </w:tc>
        <w:tc>
          <w:tcPr>
            <w:tcW w:w="2551" w:type="dxa"/>
            <w:shd w:val="clear" w:color="auto" w:fill="auto"/>
          </w:tcPr>
          <w:p w14:paraId="1C480190"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 xml:space="preserve">Dos mil quinientas veces </w:t>
            </w:r>
            <w:r w:rsidRPr="00751D7E">
              <w:rPr>
                <w:rFonts w:ascii="Arial" w:hAnsi="Arial" w:cs="Arial"/>
                <w:sz w:val="20"/>
                <w:szCs w:val="16"/>
              </w:rPr>
              <w:t>del valor del Salario Mínimo General vigente en el Estado.</w:t>
            </w:r>
          </w:p>
        </w:tc>
        <w:tc>
          <w:tcPr>
            <w:tcW w:w="2410" w:type="dxa"/>
            <w:shd w:val="clear" w:color="auto" w:fill="auto"/>
          </w:tcPr>
          <w:p w14:paraId="1170B606"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 xml:space="preserve">Cuarenta y siete mil quinientas </w:t>
            </w:r>
            <w:r w:rsidRPr="00751D7E">
              <w:rPr>
                <w:rFonts w:ascii="Arial" w:hAnsi="Arial" w:cs="Arial"/>
                <w:sz w:val="20"/>
                <w:szCs w:val="16"/>
              </w:rPr>
              <w:t>veces del valor del Salario Mínimo General vigente en el Estado.</w:t>
            </w:r>
          </w:p>
        </w:tc>
        <w:tc>
          <w:tcPr>
            <w:tcW w:w="2693" w:type="dxa"/>
            <w:shd w:val="clear" w:color="auto" w:fill="auto"/>
          </w:tcPr>
          <w:p w14:paraId="2C03CD50" w14:textId="77777777" w:rsidR="00FA05CC" w:rsidRPr="00483BF0" w:rsidRDefault="00FA05CC" w:rsidP="00D66991">
            <w:pPr>
              <w:jc w:val="both"/>
              <w:rPr>
                <w:rFonts w:ascii="Arial" w:hAnsi="Arial" w:cs="Arial"/>
                <w:sz w:val="20"/>
                <w:szCs w:val="16"/>
              </w:rPr>
            </w:pPr>
            <w:r w:rsidRPr="00483BF0">
              <w:rPr>
                <w:rFonts w:ascii="Arial" w:hAnsi="Arial" w:cs="Arial"/>
                <w:sz w:val="20"/>
                <w:szCs w:val="16"/>
              </w:rPr>
              <w:t>Veintiséis mil</w:t>
            </w:r>
            <w:r w:rsidR="001376C7">
              <w:rPr>
                <w:rFonts w:ascii="Arial" w:hAnsi="Arial" w:cs="Arial"/>
                <w:sz w:val="20"/>
                <w:szCs w:val="16"/>
              </w:rPr>
              <w:t xml:space="preserve"> </w:t>
            </w:r>
            <w:r w:rsidRPr="00751D7E">
              <w:rPr>
                <w:rFonts w:ascii="Arial" w:hAnsi="Arial" w:cs="Arial"/>
                <w:sz w:val="20"/>
                <w:szCs w:val="16"/>
              </w:rPr>
              <w:t>veces del valor del Salario Mínimo General vigente en el Estado.</w:t>
            </w:r>
          </w:p>
        </w:tc>
      </w:tr>
    </w:tbl>
    <w:p w14:paraId="12599C7C" w14:textId="77777777" w:rsidR="00FA05CC" w:rsidRPr="00483BF0" w:rsidRDefault="00FA05CC" w:rsidP="00FA05CC">
      <w:pPr>
        <w:pStyle w:val="Default"/>
        <w:jc w:val="both"/>
        <w:rPr>
          <w:rFonts w:ascii="Arial" w:hAnsi="Arial" w:cs="Arial"/>
          <w:color w:val="auto"/>
          <w:szCs w:val="20"/>
        </w:rPr>
      </w:pPr>
      <w:r w:rsidRPr="00483BF0">
        <w:rPr>
          <w:rFonts w:ascii="Arial" w:hAnsi="Arial" w:cs="Arial"/>
          <w:color w:val="auto"/>
          <w:szCs w:val="20"/>
        </w:rPr>
        <w:lastRenderedPageBreak/>
        <w:t xml:space="preserve">Los montos resultantes de la operación aritmética deberán considerarse sin incluir el importe del Impuesto al Valor Agregado. </w:t>
      </w:r>
    </w:p>
    <w:p w14:paraId="12D4F892" w14:textId="77777777" w:rsidR="00FA05CC" w:rsidRPr="00483BF0" w:rsidRDefault="00FA05CC" w:rsidP="00FA05CC">
      <w:pPr>
        <w:pStyle w:val="Default"/>
        <w:jc w:val="both"/>
        <w:rPr>
          <w:rFonts w:ascii="Arial" w:hAnsi="Arial" w:cs="Arial"/>
          <w:color w:val="auto"/>
          <w:szCs w:val="20"/>
        </w:rPr>
      </w:pPr>
    </w:p>
    <w:p w14:paraId="0F50C35F" w14:textId="77777777" w:rsidR="00FA05CC" w:rsidRPr="00483BF0" w:rsidRDefault="00FA05CC" w:rsidP="00FA05CC">
      <w:pPr>
        <w:pStyle w:val="Default"/>
        <w:jc w:val="both"/>
        <w:rPr>
          <w:rFonts w:ascii="Arial" w:hAnsi="Arial" w:cs="Arial"/>
          <w:color w:val="auto"/>
          <w:szCs w:val="20"/>
        </w:rPr>
      </w:pPr>
      <w:r w:rsidRPr="00483BF0">
        <w:rPr>
          <w:rFonts w:ascii="Arial" w:hAnsi="Arial" w:cs="Arial"/>
          <w:color w:val="auto"/>
          <w:szCs w:val="20"/>
        </w:rPr>
        <w:t>Cuando se ejecuten obras o servicios relacionados con las mismas en los que se ejerzan asignaciones presupuestarias federales, se deberán apegar a la normatividad aplicable o a la que se pacte en los acuerdos o convenios respectivos.</w:t>
      </w:r>
    </w:p>
    <w:p w14:paraId="2863CE2F" w14:textId="77777777" w:rsidR="00FA05CC" w:rsidRPr="00483BF0" w:rsidRDefault="00FA05CC" w:rsidP="00FA05CC">
      <w:pPr>
        <w:jc w:val="both"/>
        <w:rPr>
          <w:rFonts w:ascii="Arial" w:hAnsi="Arial" w:cs="Arial"/>
          <w:sz w:val="24"/>
          <w:szCs w:val="20"/>
        </w:rPr>
      </w:pPr>
    </w:p>
    <w:p w14:paraId="17E99D2B" w14:textId="77777777" w:rsidR="0024619B" w:rsidRDefault="00FA05CC" w:rsidP="00FA05CC">
      <w:pPr>
        <w:jc w:val="both"/>
        <w:rPr>
          <w:rFonts w:ascii="Arial" w:hAnsi="Arial" w:cs="Arial"/>
          <w:sz w:val="24"/>
          <w:szCs w:val="20"/>
        </w:rPr>
      </w:pPr>
      <w:r w:rsidRPr="00483BF0">
        <w:rPr>
          <w:rFonts w:ascii="Arial" w:hAnsi="Arial" w:cs="Arial"/>
          <w:sz w:val="24"/>
          <w:szCs w:val="20"/>
        </w:rPr>
        <w:t>Programas de inversión sujetos a reglas de operación e información en materia de transferencias y subsidios.</w:t>
      </w:r>
    </w:p>
    <w:p w14:paraId="783F4805" w14:textId="77777777" w:rsidR="0024619B" w:rsidRPr="00483BF0" w:rsidRDefault="0024619B" w:rsidP="00FA05CC">
      <w:pPr>
        <w:jc w:val="both"/>
        <w:rPr>
          <w:rFonts w:ascii="Arial" w:hAnsi="Arial" w:cs="Arial"/>
          <w:sz w:val="24"/>
          <w:szCs w:val="20"/>
        </w:rPr>
      </w:pPr>
    </w:p>
    <w:p w14:paraId="2EBADA02" w14:textId="77777777" w:rsidR="00FA05CC" w:rsidRPr="00483BF0" w:rsidRDefault="00FA05CC" w:rsidP="00FA05CC">
      <w:pPr>
        <w:jc w:val="both"/>
        <w:rPr>
          <w:rFonts w:ascii="Arial" w:hAnsi="Arial" w:cs="Arial"/>
          <w:b/>
          <w:bCs/>
          <w:sz w:val="24"/>
          <w:szCs w:val="20"/>
        </w:rPr>
      </w:pPr>
      <w:r w:rsidRPr="00483BF0">
        <w:rPr>
          <w:rFonts w:ascii="Arial" w:hAnsi="Arial" w:cs="Arial"/>
          <w:b/>
          <w:bCs/>
          <w:sz w:val="24"/>
          <w:szCs w:val="20"/>
        </w:rPr>
        <w:t>OPCIÓN 2</w:t>
      </w:r>
    </w:p>
    <w:p w14:paraId="514A51AC" w14:textId="77777777" w:rsidR="00FA05CC" w:rsidRPr="00483BF0" w:rsidRDefault="00FA05CC" w:rsidP="00FA05CC">
      <w:pPr>
        <w:jc w:val="both"/>
        <w:rPr>
          <w:rFonts w:ascii="Arial" w:hAnsi="Arial" w:cs="Arial"/>
          <w:sz w:val="24"/>
          <w:szCs w:val="20"/>
        </w:rPr>
      </w:pPr>
      <w:r w:rsidRPr="00483BF0">
        <w:rPr>
          <w:rFonts w:ascii="Arial" w:hAnsi="Arial" w:cs="Arial"/>
          <w:sz w:val="24"/>
          <w:szCs w:val="20"/>
        </w:rPr>
        <w:t>Se debe de corregir la referencia que se hace en el Artículo 40 de la Ley de Obras Públicas y Servicios Relacionadas con las Mismas del Estado de Quintana Roo en referencia a los montos máximos asignados a las obras públicas y servicios relacionadas con las mismas que se pueden contratar mediante la Adjudicación Directa o la Invitación a cuando menos tres Contratistas, ya que se encuentran cuantificados con referencia al Salario Mínimo General Vigente en el Estado.</w:t>
      </w:r>
    </w:p>
    <w:p w14:paraId="2B2C103F" w14:textId="77777777" w:rsidR="00FA05CC" w:rsidRPr="00483BF0" w:rsidRDefault="00FA05CC" w:rsidP="00FA05CC">
      <w:pPr>
        <w:jc w:val="both"/>
        <w:rPr>
          <w:rFonts w:ascii="Arial" w:hAnsi="Arial" w:cs="Arial"/>
          <w:b/>
          <w:bCs/>
          <w:sz w:val="24"/>
          <w:szCs w:val="24"/>
        </w:rPr>
      </w:pPr>
      <w:r w:rsidRPr="00483BF0">
        <w:rPr>
          <w:rFonts w:ascii="Arial" w:hAnsi="Arial" w:cs="Arial"/>
          <w:sz w:val="24"/>
          <w:szCs w:val="24"/>
        </w:rPr>
        <w:t xml:space="preserve"> </w:t>
      </w:r>
      <w:r w:rsidRPr="00483BF0">
        <w:rPr>
          <w:rFonts w:ascii="Arial" w:hAnsi="Arial" w:cs="Arial"/>
          <w:b/>
          <w:bCs/>
          <w:sz w:val="24"/>
          <w:szCs w:val="24"/>
        </w:rPr>
        <w:t>Dice:</w:t>
      </w:r>
    </w:p>
    <w:p w14:paraId="547815C8" w14:textId="77777777" w:rsidR="00FA05CC" w:rsidRPr="00483BF0" w:rsidRDefault="00B13342" w:rsidP="00FA05CC">
      <w:pPr>
        <w:ind w:left="567"/>
        <w:jc w:val="both"/>
        <w:rPr>
          <w:rFonts w:ascii="Arial" w:hAnsi="Arial" w:cs="Arial"/>
          <w:sz w:val="24"/>
          <w:szCs w:val="24"/>
        </w:rPr>
      </w:pPr>
      <w:r w:rsidRPr="00483BF0">
        <w:rPr>
          <w:rFonts w:ascii="Arial" w:hAnsi="Arial" w:cs="Arial"/>
          <w:b/>
          <w:bCs/>
          <w:sz w:val="24"/>
          <w:szCs w:val="24"/>
        </w:rPr>
        <w:t xml:space="preserve">Artículo </w:t>
      </w:r>
      <w:r w:rsidR="00FA05CC" w:rsidRPr="00483BF0">
        <w:rPr>
          <w:rFonts w:ascii="Arial" w:hAnsi="Arial" w:cs="Arial"/>
          <w:b/>
          <w:bCs/>
          <w:sz w:val="24"/>
          <w:szCs w:val="24"/>
        </w:rPr>
        <w:t>40.-</w:t>
      </w:r>
      <w:r w:rsidR="00FA05CC" w:rsidRPr="00483BF0">
        <w:rPr>
          <w:rFonts w:ascii="Arial" w:hAnsi="Arial" w:cs="Arial"/>
          <w:sz w:val="24"/>
          <w:szCs w:val="24"/>
        </w:rPr>
        <w:t xml:space="preserve"> Las dependencias, entidades y ayuntamientos bajo su responsabilidad, podrán contratar obras públicas o servicios relacionados con las mismas, sin sujetarse al procedimiento de licitación pública; mediante adjudicación directa, cuando el importe de cada operación no exceda de siete mil veces el salario mínimo general vigente en el Estado y por invitación a cuando menos tres contratistas cuando el importe de cada operación no exceda de cuarenta y siete mil quinientas veces el salario mínimo general vigente en el Estado; tratándose de servicios relacionados con la obra pública a través del procedimiento de invitación restringida por adjudicación directa, cuando el importe no exceda de dos mil quinientas veces el salario mínimo general vigente en el Estado y por invitación a cuando menos tres contratistas cuando el importe no exceda de veintiséis mil veces el salario mínimo general vigente en el Estado, siempre que los contratos no se fraccionen para quedar comprendidas en los supuestos de excepción a la licitación pública a que se refiere este artículo.</w:t>
      </w:r>
    </w:p>
    <w:p w14:paraId="1DE86BC8" w14:textId="77777777" w:rsidR="00FA05CC" w:rsidRPr="00483BF0" w:rsidRDefault="00FA05CC" w:rsidP="00FA05CC">
      <w:pPr>
        <w:jc w:val="both"/>
        <w:rPr>
          <w:rFonts w:ascii="Arial" w:hAnsi="Arial" w:cs="Arial"/>
          <w:b/>
          <w:bCs/>
          <w:sz w:val="24"/>
          <w:szCs w:val="24"/>
        </w:rPr>
      </w:pPr>
      <w:r w:rsidRPr="00483BF0">
        <w:rPr>
          <w:rFonts w:ascii="Arial" w:hAnsi="Arial" w:cs="Arial"/>
          <w:b/>
          <w:bCs/>
          <w:sz w:val="24"/>
          <w:szCs w:val="24"/>
        </w:rPr>
        <w:t>Debe decir:</w:t>
      </w:r>
    </w:p>
    <w:p w14:paraId="787B8E20" w14:textId="77777777" w:rsidR="00FA05CC" w:rsidRPr="00483BF0" w:rsidRDefault="00B13342" w:rsidP="00FA05CC">
      <w:pPr>
        <w:ind w:left="567"/>
        <w:jc w:val="both"/>
        <w:rPr>
          <w:rFonts w:ascii="Arial" w:hAnsi="Arial" w:cs="Arial"/>
          <w:sz w:val="24"/>
          <w:szCs w:val="24"/>
        </w:rPr>
      </w:pPr>
      <w:r w:rsidRPr="00483BF0">
        <w:rPr>
          <w:rFonts w:ascii="Arial" w:hAnsi="Arial" w:cs="Arial"/>
          <w:b/>
          <w:bCs/>
          <w:sz w:val="24"/>
          <w:szCs w:val="24"/>
        </w:rPr>
        <w:t xml:space="preserve">Artículo </w:t>
      </w:r>
      <w:r w:rsidR="00FA05CC" w:rsidRPr="00483BF0">
        <w:rPr>
          <w:rFonts w:ascii="Arial" w:hAnsi="Arial" w:cs="Arial"/>
          <w:b/>
          <w:bCs/>
          <w:sz w:val="24"/>
          <w:szCs w:val="24"/>
        </w:rPr>
        <w:t>40.-</w:t>
      </w:r>
      <w:r w:rsidR="00FA05CC" w:rsidRPr="00483BF0">
        <w:rPr>
          <w:rFonts w:ascii="Arial" w:hAnsi="Arial" w:cs="Arial"/>
          <w:sz w:val="24"/>
          <w:szCs w:val="24"/>
        </w:rPr>
        <w:t xml:space="preserve"> Las dependencias, entidades y ayuntamientos bajo su responsabilidad, podrán contratar obras públicas o servicios relacionados con las mismas, sin sujetarse al procedimiento de licitación pública; mediante adjudicación directa, cuando el importe de cada operación no exceda de siete mil veces </w:t>
      </w:r>
      <w:r w:rsidR="00FA05CC" w:rsidRPr="00751D7E">
        <w:rPr>
          <w:rFonts w:ascii="Arial" w:hAnsi="Arial" w:cs="Arial"/>
          <w:sz w:val="24"/>
          <w:szCs w:val="24"/>
        </w:rPr>
        <w:t>el valor de la UMA vigente</w:t>
      </w:r>
      <w:r w:rsidR="00FA05CC" w:rsidRPr="00483BF0">
        <w:rPr>
          <w:rFonts w:ascii="Arial" w:hAnsi="Arial" w:cs="Arial"/>
          <w:sz w:val="24"/>
          <w:szCs w:val="24"/>
        </w:rPr>
        <w:t xml:space="preserve"> en el Estado y por invitación a cuando </w:t>
      </w:r>
      <w:r w:rsidR="00FA05CC" w:rsidRPr="00483BF0">
        <w:rPr>
          <w:rFonts w:ascii="Arial" w:hAnsi="Arial" w:cs="Arial"/>
          <w:sz w:val="24"/>
          <w:szCs w:val="24"/>
        </w:rPr>
        <w:lastRenderedPageBreak/>
        <w:t xml:space="preserve">menos tres contratistas cuando el importe de cada operación no exceda de cuarenta y siete mil quinientas </w:t>
      </w:r>
      <w:r w:rsidR="00FA05CC" w:rsidRPr="00751D7E">
        <w:rPr>
          <w:rFonts w:ascii="Arial" w:hAnsi="Arial" w:cs="Arial"/>
          <w:sz w:val="24"/>
          <w:szCs w:val="24"/>
        </w:rPr>
        <w:t>veces el valor de la UMA vigente en el</w:t>
      </w:r>
      <w:r w:rsidR="00FA05CC" w:rsidRPr="00483BF0">
        <w:rPr>
          <w:rFonts w:ascii="Arial" w:hAnsi="Arial" w:cs="Arial"/>
          <w:sz w:val="24"/>
          <w:szCs w:val="24"/>
        </w:rPr>
        <w:t xml:space="preserve"> Estado; tratándose de servicios relacionados con la obra pública a través del procedimiento de invitación restringida por adjudicación directa, cuando el importe no exceda de dos mil quinientas veces </w:t>
      </w:r>
      <w:r w:rsidR="00FA05CC" w:rsidRPr="00751D7E">
        <w:rPr>
          <w:rFonts w:ascii="Arial" w:hAnsi="Arial" w:cs="Arial"/>
          <w:sz w:val="24"/>
          <w:szCs w:val="24"/>
        </w:rPr>
        <w:t>el valor de la UMA vigente</w:t>
      </w:r>
      <w:r w:rsidR="00FA05CC" w:rsidRPr="00483BF0">
        <w:rPr>
          <w:rFonts w:ascii="Arial" w:hAnsi="Arial" w:cs="Arial"/>
          <w:sz w:val="24"/>
          <w:szCs w:val="24"/>
        </w:rPr>
        <w:t xml:space="preserve"> en el Estado y por invitación a cuando menos tres contratistas cuando el importe no exceda de veintiséis mil veces </w:t>
      </w:r>
      <w:r w:rsidR="00FA05CC" w:rsidRPr="00751D7E">
        <w:rPr>
          <w:rFonts w:ascii="Arial" w:hAnsi="Arial" w:cs="Arial"/>
          <w:sz w:val="24"/>
          <w:szCs w:val="24"/>
        </w:rPr>
        <w:t>el valor de la UMA vigente</w:t>
      </w:r>
      <w:r w:rsidR="00FA05CC" w:rsidRPr="00483BF0">
        <w:rPr>
          <w:rFonts w:ascii="Arial" w:hAnsi="Arial" w:cs="Arial"/>
          <w:sz w:val="24"/>
          <w:szCs w:val="24"/>
        </w:rPr>
        <w:t xml:space="preserve"> en el Estado, siempre que los contratos no se fraccionen para quedar comprendidas en los supuestos de excepción a la licitación pública a que se refiere este artículo</w:t>
      </w:r>
      <w:r w:rsidR="00A671A4">
        <w:rPr>
          <w:rFonts w:ascii="Arial" w:hAnsi="Arial" w:cs="Arial"/>
          <w:sz w:val="24"/>
          <w:szCs w:val="24"/>
        </w:rPr>
        <w:t>.</w:t>
      </w:r>
    </w:p>
    <w:p w14:paraId="370863DA" w14:textId="77777777" w:rsidR="0024619B" w:rsidRDefault="0024619B" w:rsidP="00FA05CC">
      <w:pPr>
        <w:spacing w:line="276" w:lineRule="auto"/>
        <w:jc w:val="both"/>
        <w:rPr>
          <w:rFonts w:ascii="Arial" w:hAnsi="Arial" w:cs="Arial"/>
          <w:b/>
          <w:bCs/>
          <w:sz w:val="24"/>
          <w:szCs w:val="24"/>
        </w:rPr>
      </w:pPr>
    </w:p>
    <w:p w14:paraId="57EB7058" w14:textId="77777777" w:rsidR="00FA05CC" w:rsidRPr="00483BF0" w:rsidRDefault="00FA05CC" w:rsidP="00FA05CC">
      <w:pPr>
        <w:spacing w:line="276" w:lineRule="auto"/>
        <w:jc w:val="both"/>
        <w:rPr>
          <w:rFonts w:ascii="Arial" w:hAnsi="Arial" w:cs="Arial"/>
          <w:b/>
          <w:bCs/>
          <w:sz w:val="24"/>
          <w:szCs w:val="24"/>
        </w:rPr>
      </w:pPr>
      <w:r w:rsidRPr="00483BF0">
        <w:rPr>
          <w:rFonts w:ascii="Arial" w:hAnsi="Arial" w:cs="Arial"/>
          <w:b/>
          <w:bCs/>
          <w:sz w:val="24"/>
          <w:szCs w:val="24"/>
        </w:rPr>
        <w:t>Objetivo:</w:t>
      </w:r>
    </w:p>
    <w:p w14:paraId="7E41CB1D" w14:textId="77777777" w:rsidR="00FA05CC" w:rsidRPr="00483BF0" w:rsidRDefault="00FA05CC" w:rsidP="00FA05CC">
      <w:pPr>
        <w:spacing w:line="276" w:lineRule="auto"/>
        <w:jc w:val="both"/>
        <w:rPr>
          <w:rFonts w:ascii="Arial" w:hAnsi="Arial" w:cs="Arial"/>
          <w:sz w:val="24"/>
          <w:szCs w:val="24"/>
        </w:rPr>
      </w:pPr>
      <w:r w:rsidRPr="00483BF0">
        <w:rPr>
          <w:rFonts w:ascii="Arial" w:hAnsi="Arial" w:cs="Arial"/>
          <w:sz w:val="24"/>
          <w:szCs w:val="24"/>
        </w:rPr>
        <w:t xml:space="preserve">Adecuar u homologar los importes que se manejan en el artículo 40 de la Ley de Obras Públicas y Servicios Relacionados con las Mismas del Estado de Quintana Roo (LOPSRMEQROO) y en el artículo 90 del Presupuesto de Egresos del Gobierno Estado de Quintana Roo (PEGEQROO), para el Ejercicio Fiscal </w:t>
      </w:r>
      <w:r w:rsidRPr="008E2DB4">
        <w:rPr>
          <w:rFonts w:ascii="Arial" w:hAnsi="Arial" w:cs="Arial"/>
          <w:sz w:val="24"/>
          <w:szCs w:val="24"/>
        </w:rPr>
        <w:t>202</w:t>
      </w:r>
      <w:r w:rsidR="00B13342">
        <w:rPr>
          <w:rFonts w:ascii="Arial" w:hAnsi="Arial" w:cs="Arial"/>
          <w:sz w:val="24"/>
          <w:szCs w:val="24"/>
        </w:rPr>
        <w:t>4</w:t>
      </w:r>
      <w:r w:rsidRPr="008E2DB4">
        <w:rPr>
          <w:rFonts w:ascii="Arial" w:hAnsi="Arial" w:cs="Arial"/>
          <w:sz w:val="24"/>
          <w:szCs w:val="24"/>
        </w:rPr>
        <w:t>.</w:t>
      </w:r>
      <w:r w:rsidRPr="00483BF0">
        <w:rPr>
          <w:rFonts w:ascii="Arial" w:hAnsi="Arial" w:cs="Arial"/>
          <w:sz w:val="24"/>
          <w:szCs w:val="24"/>
        </w:rPr>
        <w:t xml:space="preserve"> En la LOPSRMEQROO los montos máximos de adjudicación se calculan en base a salarios mínimos y en el PEGEQROO se establece en función del valor de la Unidad de Medida y Actualización (UMA) vigente. </w:t>
      </w:r>
    </w:p>
    <w:p w14:paraId="3D1A0DFF" w14:textId="77777777" w:rsidR="00FA05CC" w:rsidRPr="00483BF0" w:rsidRDefault="00FA05CC" w:rsidP="00FA05CC">
      <w:pPr>
        <w:rPr>
          <w:rFonts w:ascii="Arial" w:hAnsi="Arial" w:cs="Arial"/>
          <w:sz w:val="24"/>
          <w:szCs w:val="24"/>
        </w:rPr>
      </w:pPr>
      <w:r w:rsidRPr="00483BF0">
        <w:rPr>
          <w:rFonts w:ascii="Arial" w:hAnsi="Arial" w:cs="Arial"/>
          <w:sz w:val="24"/>
          <w:szCs w:val="24"/>
        </w:rPr>
        <w:t>De igual manera sucede en las adquisiciones.</w:t>
      </w:r>
    </w:p>
    <w:p w14:paraId="2B97D039" w14:textId="77777777" w:rsidR="0024619B" w:rsidRDefault="0024619B" w:rsidP="00FA05CC">
      <w:pPr>
        <w:spacing w:line="276" w:lineRule="auto"/>
        <w:jc w:val="both"/>
        <w:rPr>
          <w:rFonts w:ascii="Arial" w:hAnsi="Arial" w:cs="Arial"/>
          <w:b/>
          <w:bCs/>
          <w:sz w:val="24"/>
          <w:szCs w:val="24"/>
        </w:rPr>
      </w:pPr>
    </w:p>
    <w:p w14:paraId="7A1BD359" w14:textId="77777777" w:rsidR="00FA05CC" w:rsidRPr="00483BF0" w:rsidRDefault="00FA05CC" w:rsidP="00FA05CC">
      <w:pPr>
        <w:spacing w:line="276" w:lineRule="auto"/>
        <w:jc w:val="both"/>
        <w:rPr>
          <w:rFonts w:ascii="Arial" w:hAnsi="Arial" w:cs="Arial"/>
          <w:b/>
          <w:bCs/>
          <w:sz w:val="24"/>
          <w:szCs w:val="24"/>
        </w:rPr>
      </w:pPr>
      <w:r w:rsidRPr="00483BF0">
        <w:rPr>
          <w:rFonts w:ascii="Arial" w:hAnsi="Arial" w:cs="Arial"/>
          <w:b/>
          <w:bCs/>
          <w:sz w:val="24"/>
          <w:szCs w:val="24"/>
        </w:rPr>
        <w:t>Riesgo Asociado:</w:t>
      </w:r>
    </w:p>
    <w:p w14:paraId="188809D3" w14:textId="77777777" w:rsidR="00FA05CC" w:rsidRPr="00483BF0" w:rsidRDefault="00FA05CC" w:rsidP="00FA05CC">
      <w:pPr>
        <w:spacing w:line="276" w:lineRule="auto"/>
        <w:jc w:val="both"/>
        <w:rPr>
          <w:rFonts w:ascii="Arial" w:hAnsi="Arial" w:cs="Arial"/>
          <w:sz w:val="24"/>
          <w:szCs w:val="24"/>
        </w:rPr>
      </w:pPr>
      <w:r w:rsidRPr="00483BF0">
        <w:rPr>
          <w:rFonts w:ascii="Arial" w:hAnsi="Arial" w:cs="Arial"/>
          <w:sz w:val="24"/>
          <w:szCs w:val="24"/>
        </w:rPr>
        <w:t>Se pueden dar controversias al momento de establecer los montos máximos permitidos para las adjudicaciones de las obras y servicios relacionados con las obras públicas, ya que se manejan importes diferentes en lo referente al valor del Salario Mínimo general vigente en el Estado y la Unidad de Medida y Actualización.</w:t>
      </w:r>
    </w:p>
    <w:p w14:paraId="35EDAD4F" w14:textId="77777777" w:rsidR="00FA05CC" w:rsidRPr="00483BF0" w:rsidRDefault="00FA05CC" w:rsidP="00FA05CC">
      <w:pPr>
        <w:jc w:val="both"/>
        <w:rPr>
          <w:rFonts w:ascii="Arial" w:hAnsi="Arial" w:cs="Arial"/>
          <w:sz w:val="24"/>
          <w:szCs w:val="24"/>
        </w:rPr>
      </w:pPr>
    </w:p>
    <w:p w14:paraId="7A1E7860" w14:textId="77777777" w:rsidR="00FA05CC" w:rsidRPr="00483BF0" w:rsidRDefault="00FA05CC" w:rsidP="00FA05CC">
      <w:pPr>
        <w:jc w:val="both"/>
        <w:rPr>
          <w:rFonts w:ascii="Arial" w:hAnsi="Arial" w:cs="Arial"/>
          <w:sz w:val="24"/>
          <w:szCs w:val="24"/>
        </w:rPr>
      </w:pPr>
      <w:r w:rsidRPr="00483BF0">
        <w:rPr>
          <w:rFonts w:ascii="Arial" w:hAnsi="Arial" w:cs="Arial"/>
          <w:sz w:val="24"/>
          <w:szCs w:val="24"/>
        </w:rPr>
        <w:t>Se pueden presentar posibles actos de corrupción al manejar los referentes de ley en beneficio de la asignación de los contratos, al seleccionar el fundamento legal que justifique la asignación de montos elevados en estas modalidades de contratación.</w:t>
      </w:r>
    </w:p>
    <w:p w14:paraId="7DFD026B" w14:textId="77777777" w:rsidR="00872B68" w:rsidRDefault="00872B68" w:rsidP="008F28C9">
      <w:pPr>
        <w:rPr>
          <w:rFonts w:ascii="Arial" w:hAnsi="Arial" w:cs="Arial"/>
          <w:sz w:val="24"/>
          <w:szCs w:val="24"/>
        </w:rPr>
      </w:pPr>
    </w:p>
    <w:p w14:paraId="6E52B356" w14:textId="77777777" w:rsidR="009B15EB" w:rsidRDefault="009B15EB" w:rsidP="008F28C9">
      <w:pPr>
        <w:rPr>
          <w:rFonts w:ascii="Arial" w:hAnsi="Arial" w:cs="Arial"/>
          <w:sz w:val="24"/>
          <w:szCs w:val="24"/>
        </w:rPr>
        <w:sectPr w:rsidR="009B15EB" w:rsidSect="00747D75">
          <w:headerReference w:type="default" r:id="rId51"/>
          <w:footerReference w:type="default" r:id="rId52"/>
          <w:pgSz w:w="12240" w:h="15840"/>
          <w:pgMar w:top="1404" w:right="1701" w:bottom="993" w:left="1701" w:header="426" w:footer="708" w:gutter="0"/>
          <w:pgNumType w:start="68"/>
          <w:cols w:space="708"/>
          <w:docGrid w:linePitch="360"/>
        </w:sectPr>
      </w:pPr>
    </w:p>
    <w:p w14:paraId="75B6DCCE" w14:textId="77777777" w:rsidR="009B15EB" w:rsidRPr="008F28C9" w:rsidRDefault="009B15EB" w:rsidP="008F28C9">
      <w:pPr>
        <w:rPr>
          <w:rFonts w:ascii="Arial" w:hAnsi="Arial" w:cs="Arial"/>
          <w:sz w:val="24"/>
          <w:szCs w:val="24"/>
        </w:rPr>
        <w:sectPr w:rsidR="009B15EB" w:rsidRPr="008F28C9" w:rsidSect="00747D75">
          <w:headerReference w:type="default" r:id="rId53"/>
          <w:footerReference w:type="default" r:id="rId54"/>
          <w:pgSz w:w="12240" w:h="15840"/>
          <w:pgMar w:top="1404" w:right="1701" w:bottom="993" w:left="1701" w:header="426" w:footer="708" w:gutter="0"/>
          <w:cols w:space="708"/>
          <w:docGrid w:linePitch="360"/>
        </w:sectPr>
      </w:pPr>
    </w:p>
    <w:p w14:paraId="0341C0B4" w14:textId="77777777" w:rsidR="0075187D" w:rsidRDefault="0075187D" w:rsidP="00D132A9">
      <w:pPr>
        <w:rPr>
          <w:rFonts w:ascii="Arial" w:hAnsi="Arial" w:cs="Arial"/>
          <w:sz w:val="24"/>
          <w:szCs w:val="24"/>
        </w:rPr>
      </w:pPr>
    </w:p>
    <w:p w14:paraId="0C8A623B" w14:textId="77777777" w:rsidR="0075187D" w:rsidRDefault="0075187D" w:rsidP="00D132A9">
      <w:pPr>
        <w:rPr>
          <w:rFonts w:ascii="Arial" w:hAnsi="Arial" w:cs="Arial"/>
          <w:sz w:val="24"/>
          <w:szCs w:val="24"/>
        </w:rPr>
      </w:pPr>
    </w:p>
    <w:p w14:paraId="33E724B0" w14:textId="77777777" w:rsidR="0075187D" w:rsidRDefault="0075187D" w:rsidP="00D132A9">
      <w:pPr>
        <w:rPr>
          <w:rFonts w:ascii="Arial" w:hAnsi="Arial" w:cs="Arial"/>
          <w:sz w:val="24"/>
          <w:szCs w:val="24"/>
        </w:rPr>
      </w:pPr>
    </w:p>
    <w:p w14:paraId="457747B3" w14:textId="77777777" w:rsidR="0075187D" w:rsidRDefault="0075187D" w:rsidP="00D132A9">
      <w:pPr>
        <w:rPr>
          <w:rFonts w:ascii="Arial" w:hAnsi="Arial" w:cs="Arial"/>
          <w:sz w:val="24"/>
          <w:szCs w:val="24"/>
        </w:rPr>
      </w:pPr>
    </w:p>
    <w:p w14:paraId="0C066B78" w14:textId="77777777" w:rsidR="00D132A9" w:rsidRDefault="00D132A9" w:rsidP="00D132A9">
      <w:pPr>
        <w:rPr>
          <w:rFonts w:ascii="Arial" w:hAnsi="Arial" w:cs="Arial"/>
          <w:sz w:val="24"/>
          <w:szCs w:val="24"/>
        </w:rPr>
      </w:pPr>
    </w:p>
    <w:p w14:paraId="6D5596AF" w14:textId="77777777" w:rsidR="00414495" w:rsidRDefault="00414495" w:rsidP="00D132A9">
      <w:pPr>
        <w:rPr>
          <w:rFonts w:ascii="Arial" w:hAnsi="Arial" w:cs="Arial"/>
          <w:sz w:val="24"/>
          <w:szCs w:val="24"/>
        </w:rPr>
      </w:pPr>
    </w:p>
    <w:p w14:paraId="0782AB58" w14:textId="77777777" w:rsidR="00E9545C" w:rsidRDefault="00E9545C" w:rsidP="00D132A9">
      <w:pPr>
        <w:rPr>
          <w:rFonts w:ascii="Arial" w:hAnsi="Arial" w:cs="Arial"/>
          <w:sz w:val="24"/>
          <w:szCs w:val="24"/>
        </w:rPr>
      </w:pPr>
    </w:p>
    <w:p w14:paraId="3AF3F482" w14:textId="77777777" w:rsidR="00D132A9" w:rsidRDefault="00D132A9" w:rsidP="00D132A9">
      <w:pPr>
        <w:rPr>
          <w:rFonts w:ascii="Arial" w:hAnsi="Arial" w:cs="Arial"/>
          <w:sz w:val="24"/>
          <w:szCs w:val="24"/>
        </w:rPr>
      </w:pPr>
    </w:p>
    <w:p w14:paraId="3BF7F924" w14:textId="77777777" w:rsidR="00D4696C" w:rsidRDefault="00D4696C" w:rsidP="00D132A9">
      <w:pPr>
        <w:rPr>
          <w:rFonts w:ascii="Arial" w:hAnsi="Arial" w:cs="Arial"/>
          <w:sz w:val="24"/>
          <w:szCs w:val="24"/>
        </w:rPr>
      </w:pPr>
    </w:p>
    <w:p w14:paraId="331DB2B8" w14:textId="77777777" w:rsidR="002641A5" w:rsidRDefault="00FD4225" w:rsidP="002641A5">
      <w:pPr>
        <w:pStyle w:val="Ttulo1"/>
        <w:spacing w:before="0" w:line="276" w:lineRule="auto"/>
        <w:jc w:val="center"/>
        <w:rPr>
          <w:rFonts w:ascii="Arial" w:eastAsia="Arial" w:hAnsi="Arial" w:cs="Arial"/>
          <w:b/>
          <w:color w:val="auto"/>
          <w:sz w:val="40"/>
          <w:szCs w:val="24"/>
          <w:lang w:val="es-ES" w:eastAsia="es-ES" w:bidi="es-ES"/>
        </w:rPr>
      </w:pPr>
      <w:bookmarkStart w:id="61" w:name="_Toc158567495"/>
      <w:r w:rsidRPr="00E9545C">
        <w:rPr>
          <w:rFonts w:ascii="Arial" w:eastAsia="Arial" w:hAnsi="Arial" w:cs="Arial"/>
          <w:b/>
          <w:color w:val="auto"/>
          <w:sz w:val="40"/>
          <w:szCs w:val="24"/>
          <w:lang w:val="es-ES" w:eastAsia="es-ES" w:bidi="es-ES"/>
        </w:rPr>
        <w:t>CAPÍTULO 5</w:t>
      </w:r>
      <w:bookmarkEnd w:id="61"/>
    </w:p>
    <w:p w14:paraId="155E121D" w14:textId="77777777" w:rsidR="00D34ADE" w:rsidRPr="00E9545C" w:rsidRDefault="00645C5B" w:rsidP="002641A5">
      <w:pPr>
        <w:pStyle w:val="Ttulo1"/>
        <w:spacing w:before="0" w:line="276" w:lineRule="auto"/>
        <w:jc w:val="both"/>
        <w:rPr>
          <w:rFonts w:ascii="Arial" w:eastAsia="Arial" w:hAnsi="Arial" w:cs="Arial"/>
          <w:b/>
          <w:color w:val="auto"/>
          <w:sz w:val="40"/>
          <w:szCs w:val="24"/>
          <w:lang w:val="es-ES" w:eastAsia="es-ES" w:bidi="es-ES"/>
        </w:rPr>
      </w:pPr>
      <w:bookmarkStart w:id="62" w:name="_Toc158567496"/>
      <w:r w:rsidRPr="00E9545C">
        <w:rPr>
          <w:rFonts w:ascii="Arial" w:eastAsia="Arial" w:hAnsi="Arial" w:cs="Arial"/>
          <w:b/>
          <w:color w:val="auto"/>
          <w:sz w:val="40"/>
          <w:szCs w:val="24"/>
          <w:lang w:val="es-ES" w:eastAsia="es-ES" w:bidi="es-ES"/>
        </w:rPr>
        <w:t>Análisis sobre las Proyecciones de las Finanzas Púbicas Contenidas en los Criterios Generales de Política Económica para el Ejercicio Fiscal 202</w:t>
      </w:r>
      <w:r w:rsidR="0046336D">
        <w:rPr>
          <w:rFonts w:ascii="Arial" w:eastAsia="Arial" w:hAnsi="Arial" w:cs="Arial"/>
          <w:b/>
          <w:color w:val="auto"/>
          <w:sz w:val="40"/>
          <w:szCs w:val="24"/>
          <w:lang w:val="es-ES" w:eastAsia="es-ES" w:bidi="es-ES"/>
        </w:rPr>
        <w:t>2</w:t>
      </w:r>
      <w:r w:rsidRPr="00E9545C">
        <w:rPr>
          <w:rFonts w:ascii="Arial" w:eastAsia="Arial" w:hAnsi="Arial" w:cs="Arial"/>
          <w:b/>
          <w:color w:val="auto"/>
          <w:sz w:val="40"/>
          <w:szCs w:val="24"/>
          <w:lang w:val="es-ES" w:eastAsia="es-ES" w:bidi="es-ES"/>
        </w:rPr>
        <w:t>, y los Datos Observados al Final del Mismo</w:t>
      </w:r>
      <w:bookmarkEnd w:id="62"/>
    </w:p>
    <w:p w14:paraId="54E9B122" w14:textId="77777777" w:rsidR="00215A85" w:rsidRPr="0075187D" w:rsidRDefault="00124818" w:rsidP="00CC276C">
      <w:pPr>
        <w:spacing w:before="240"/>
        <w:jc w:val="center"/>
        <w:rPr>
          <w:rFonts w:ascii="Arial" w:eastAsia="Arial" w:hAnsi="Arial" w:cs="Arial"/>
          <w:sz w:val="28"/>
          <w:szCs w:val="20"/>
          <w:lang w:val="es-ES" w:eastAsia="es-ES" w:bidi="es-ES"/>
        </w:rPr>
      </w:pPr>
      <w:r w:rsidRPr="0075187D">
        <w:rPr>
          <w:rFonts w:ascii="Arial" w:eastAsia="Arial" w:hAnsi="Arial" w:cs="Arial"/>
          <w:sz w:val="28"/>
          <w:szCs w:val="20"/>
          <w:lang w:val="es-ES" w:eastAsia="es-ES" w:bidi="es-ES"/>
        </w:rPr>
        <w:t>Cumplimiento de la Fracción VI, artículo 36 de la LFRCEQROO</w:t>
      </w:r>
    </w:p>
    <w:p w14:paraId="243D53F3" w14:textId="77777777" w:rsidR="00D4696C" w:rsidRDefault="00D4696C" w:rsidP="00D4696C">
      <w:pPr>
        <w:rPr>
          <w:rFonts w:ascii="Arial" w:hAnsi="Arial" w:cs="Arial"/>
          <w:sz w:val="24"/>
          <w:szCs w:val="24"/>
        </w:rPr>
      </w:pPr>
    </w:p>
    <w:p w14:paraId="5FCA48A6" w14:textId="77777777" w:rsidR="00D4696C" w:rsidRDefault="00D4696C" w:rsidP="00D4696C">
      <w:pPr>
        <w:rPr>
          <w:rFonts w:ascii="Arial" w:hAnsi="Arial" w:cs="Arial"/>
          <w:sz w:val="24"/>
          <w:szCs w:val="24"/>
        </w:rPr>
      </w:pPr>
    </w:p>
    <w:p w14:paraId="6E51EB0F" w14:textId="77777777" w:rsidR="00D4696C" w:rsidRDefault="00D4696C" w:rsidP="00D4696C">
      <w:pPr>
        <w:rPr>
          <w:rFonts w:ascii="Arial" w:hAnsi="Arial" w:cs="Arial"/>
          <w:sz w:val="24"/>
          <w:szCs w:val="24"/>
        </w:rPr>
      </w:pPr>
    </w:p>
    <w:p w14:paraId="57B387B9" w14:textId="77777777" w:rsidR="00D4696C" w:rsidRDefault="00D4696C" w:rsidP="00D4696C">
      <w:pPr>
        <w:rPr>
          <w:rFonts w:ascii="Arial" w:hAnsi="Arial" w:cs="Arial"/>
          <w:sz w:val="24"/>
          <w:szCs w:val="24"/>
        </w:rPr>
      </w:pPr>
    </w:p>
    <w:p w14:paraId="1D6AA5FE" w14:textId="77777777" w:rsidR="00D4696C" w:rsidRDefault="00D4696C" w:rsidP="00D4696C">
      <w:pPr>
        <w:rPr>
          <w:rFonts w:ascii="Arial" w:hAnsi="Arial" w:cs="Arial"/>
          <w:sz w:val="24"/>
          <w:szCs w:val="24"/>
        </w:rPr>
      </w:pPr>
    </w:p>
    <w:p w14:paraId="1F6EB653" w14:textId="77777777" w:rsidR="009B15EB" w:rsidRDefault="009B15EB" w:rsidP="00D4696C">
      <w:pPr>
        <w:rPr>
          <w:rFonts w:ascii="Arial" w:hAnsi="Arial" w:cs="Arial"/>
          <w:sz w:val="24"/>
          <w:szCs w:val="24"/>
        </w:rPr>
      </w:pPr>
    </w:p>
    <w:p w14:paraId="755558B4" w14:textId="77777777" w:rsidR="00D4696C" w:rsidRDefault="00D4696C" w:rsidP="00D4696C">
      <w:pPr>
        <w:rPr>
          <w:rFonts w:ascii="Arial" w:hAnsi="Arial" w:cs="Arial"/>
          <w:sz w:val="24"/>
          <w:szCs w:val="24"/>
        </w:rPr>
      </w:pPr>
    </w:p>
    <w:p w14:paraId="6638E753" w14:textId="77777777" w:rsidR="00D4696C" w:rsidRDefault="00D4696C" w:rsidP="00D4696C">
      <w:pPr>
        <w:rPr>
          <w:rFonts w:ascii="Arial" w:hAnsi="Arial" w:cs="Arial"/>
          <w:sz w:val="24"/>
          <w:szCs w:val="24"/>
        </w:rPr>
      </w:pPr>
    </w:p>
    <w:p w14:paraId="300F57C2" w14:textId="77777777" w:rsidR="00D4696C" w:rsidRDefault="00D4696C" w:rsidP="00D4696C">
      <w:pPr>
        <w:rPr>
          <w:rFonts w:ascii="Arial" w:hAnsi="Arial" w:cs="Arial"/>
          <w:sz w:val="24"/>
          <w:szCs w:val="24"/>
        </w:rPr>
      </w:pPr>
    </w:p>
    <w:p w14:paraId="57A689F0" w14:textId="77777777" w:rsidR="00D4696C" w:rsidRDefault="00D4696C" w:rsidP="00D4696C">
      <w:pPr>
        <w:rPr>
          <w:rFonts w:ascii="Arial" w:hAnsi="Arial" w:cs="Arial"/>
          <w:sz w:val="24"/>
          <w:szCs w:val="24"/>
        </w:rPr>
      </w:pPr>
    </w:p>
    <w:p w14:paraId="2B069B93" w14:textId="77777777" w:rsidR="0046336D" w:rsidRPr="00E37D56" w:rsidRDefault="0046336D" w:rsidP="0046336D">
      <w:pPr>
        <w:widowControl w:val="0"/>
        <w:autoSpaceDE w:val="0"/>
        <w:autoSpaceDN w:val="0"/>
        <w:spacing w:before="93"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lastRenderedPageBreak/>
        <w:t>La Ley de Fiscalización y Rendición de Cuentas del Estado de Quintana Roo, en su artículo 36, fracción VI, define que el Informe General debe incluir un análisis sobre las proyecciones de las finanzas públicas contenidas en los Criterios Generales de Política Económica para el ejercicio fiscal correspondiente y los datos observados al final del mismo.</w:t>
      </w:r>
    </w:p>
    <w:p w14:paraId="378B12A5" w14:textId="77777777" w:rsidR="0046336D" w:rsidRPr="00872B68" w:rsidRDefault="0046336D" w:rsidP="0046336D">
      <w:pPr>
        <w:widowControl w:val="0"/>
        <w:autoSpaceDE w:val="0"/>
        <w:autoSpaceDN w:val="0"/>
        <w:spacing w:before="7" w:after="0" w:line="276" w:lineRule="auto"/>
        <w:rPr>
          <w:rFonts w:ascii="Arial" w:eastAsia="Arial" w:hAnsi="Arial" w:cs="Arial"/>
          <w:sz w:val="12"/>
          <w:szCs w:val="24"/>
          <w:lang w:val="es-ES"/>
        </w:rPr>
      </w:pPr>
    </w:p>
    <w:p w14:paraId="6D571F47" w14:textId="77777777" w:rsidR="0046336D" w:rsidRPr="00872B68" w:rsidRDefault="0046336D" w:rsidP="0046336D">
      <w:pPr>
        <w:widowControl w:val="0"/>
        <w:autoSpaceDE w:val="0"/>
        <w:autoSpaceDN w:val="0"/>
        <w:spacing w:before="7" w:after="0" w:line="276" w:lineRule="auto"/>
        <w:rPr>
          <w:rFonts w:ascii="Arial" w:eastAsia="Arial" w:hAnsi="Arial" w:cs="Arial"/>
          <w:sz w:val="8"/>
          <w:szCs w:val="24"/>
          <w:lang w:val="es-ES"/>
        </w:rPr>
      </w:pPr>
    </w:p>
    <w:p w14:paraId="4257D0BE" w14:textId="77777777" w:rsidR="0046336D" w:rsidRPr="00E37D56" w:rsidRDefault="0046336D" w:rsidP="0046336D">
      <w:pPr>
        <w:widowControl w:val="0"/>
        <w:autoSpaceDE w:val="0"/>
        <w:autoSpaceDN w:val="0"/>
        <w:spacing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t xml:space="preserve">Con la finalidad de proporcionar un análisis comprensivo de lo anterior, se revisan las proyecciones contenidas en los Criterios Generales de Política Económica </w:t>
      </w:r>
      <w:r>
        <w:rPr>
          <w:rFonts w:ascii="Arial" w:eastAsia="Arial" w:hAnsi="Arial" w:cs="Arial"/>
          <w:sz w:val="24"/>
          <w:szCs w:val="24"/>
          <w:lang w:val="es-ES"/>
        </w:rPr>
        <w:t xml:space="preserve">para </w:t>
      </w:r>
      <w:r w:rsidRPr="00E37D56">
        <w:rPr>
          <w:rFonts w:ascii="Arial" w:eastAsia="Arial" w:hAnsi="Arial" w:cs="Arial"/>
          <w:sz w:val="24"/>
          <w:szCs w:val="24"/>
          <w:lang w:val="es-ES"/>
        </w:rPr>
        <w:t>202</w:t>
      </w:r>
      <w:r>
        <w:rPr>
          <w:rFonts w:ascii="Arial" w:eastAsia="Arial" w:hAnsi="Arial" w:cs="Arial"/>
          <w:sz w:val="24"/>
          <w:szCs w:val="24"/>
          <w:lang w:val="es-ES"/>
        </w:rPr>
        <w:t>2</w:t>
      </w:r>
      <w:r w:rsidRPr="00E37D56">
        <w:rPr>
          <w:rFonts w:ascii="Arial" w:eastAsia="Arial" w:hAnsi="Arial" w:cs="Arial"/>
          <w:sz w:val="24"/>
          <w:szCs w:val="24"/>
          <w:lang w:val="es-ES"/>
        </w:rPr>
        <w:t>, lo aprobado por el H. Congreso de la Unión y los gastos, contenidos en la Cuenta Pública de</w:t>
      </w:r>
      <w:r w:rsidRPr="00E37D56">
        <w:rPr>
          <w:rFonts w:ascii="Arial" w:eastAsia="Arial" w:hAnsi="Arial" w:cs="Arial"/>
          <w:spacing w:val="-9"/>
          <w:sz w:val="24"/>
          <w:szCs w:val="24"/>
          <w:lang w:val="es-ES"/>
        </w:rPr>
        <w:t xml:space="preserve"> </w:t>
      </w:r>
      <w:r w:rsidRPr="00E37D56">
        <w:rPr>
          <w:rFonts w:ascii="Arial" w:eastAsia="Arial" w:hAnsi="Arial" w:cs="Arial"/>
          <w:sz w:val="24"/>
          <w:szCs w:val="24"/>
          <w:lang w:val="es-ES"/>
        </w:rPr>
        <w:t>la</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Federación,</w:t>
      </w:r>
      <w:r w:rsidRPr="00E37D56">
        <w:rPr>
          <w:rFonts w:ascii="Arial" w:eastAsia="Arial" w:hAnsi="Arial" w:cs="Arial"/>
          <w:spacing w:val="-5"/>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conformidad</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a</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lo</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dispuesto</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en</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la</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Ley</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Disciplina</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Financiera</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9"/>
          <w:sz w:val="24"/>
          <w:szCs w:val="24"/>
          <w:lang w:val="es-ES"/>
        </w:rPr>
        <w:t xml:space="preserve"> </w:t>
      </w:r>
      <w:r w:rsidRPr="00E37D56">
        <w:rPr>
          <w:rFonts w:ascii="Arial" w:eastAsia="Arial" w:hAnsi="Arial" w:cs="Arial"/>
          <w:sz w:val="24"/>
          <w:szCs w:val="24"/>
          <w:lang w:val="es-ES"/>
        </w:rPr>
        <w:t>las Entidades Federativas y los Municipios.</w:t>
      </w:r>
    </w:p>
    <w:p w14:paraId="3DEFDCDE" w14:textId="77777777" w:rsidR="0046336D" w:rsidRPr="00872B68" w:rsidRDefault="0046336D" w:rsidP="0046336D">
      <w:pPr>
        <w:widowControl w:val="0"/>
        <w:autoSpaceDE w:val="0"/>
        <w:autoSpaceDN w:val="0"/>
        <w:spacing w:after="0" w:line="276" w:lineRule="auto"/>
        <w:jc w:val="both"/>
        <w:rPr>
          <w:rFonts w:ascii="Arial" w:eastAsia="Arial" w:hAnsi="Arial" w:cs="Arial"/>
          <w:sz w:val="10"/>
          <w:szCs w:val="24"/>
          <w:lang w:val="es-ES"/>
        </w:rPr>
      </w:pPr>
    </w:p>
    <w:p w14:paraId="35F9144E" w14:textId="77777777" w:rsidR="0046336D" w:rsidRPr="00872B68" w:rsidRDefault="0046336D" w:rsidP="0046336D">
      <w:pPr>
        <w:widowControl w:val="0"/>
        <w:autoSpaceDE w:val="0"/>
        <w:autoSpaceDN w:val="0"/>
        <w:spacing w:after="0" w:line="276" w:lineRule="auto"/>
        <w:ind w:left="-142" w:right="142"/>
        <w:jc w:val="both"/>
        <w:rPr>
          <w:rFonts w:ascii="Arial" w:eastAsia="Arial" w:hAnsi="Arial" w:cs="Arial"/>
          <w:sz w:val="6"/>
          <w:szCs w:val="24"/>
          <w:lang w:val="es-ES"/>
        </w:rPr>
      </w:pPr>
    </w:p>
    <w:p w14:paraId="2F8CBE24" w14:textId="77777777" w:rsidR="0046336D" w:rsidRPr="00E37D56" w:rsidRDefault="0046336D" w:rsidP="0046336D">
      <w:pPr>
        <w:widowControl w:val="0"/>
        <w:autoSpaceDE w:val="0"/>
        <w:autoSpaceDN w:val="0"/>
        <w:spacing w:after="0" w:line="276" w:lineRule="auto"/>
        <w:ind w:left="-142" w:right="142"/>
        <w:jc w:val="both"/>
        <w:rPr>
          <w:rFonts w:ascii="Arial" w:eastAsia="Arial" w:hAnsi="Arial" w:cs="Arial"/>
          <w:sz w:val="10"/>
          <w:szCs w:val="24"/>
          <w:lang w:val="es-ES"/>
        </w:rPr>
      </w:pPr>
    </w:p>
    <w:p w14:paraId="456741B2" w14:textId="77777777" w:rsidR="0046336D" w:rsidRPr="00E37D56" w:rsidRDefault="0046336D" w:rsidP="00683FD0">
      <w:pPr>
        <w:keepNext/>
        <w:keepLines/>
        <w:numPr>
          <w:ilvl w:val="0"/>
          <w:numId w:val="8"/>
        </w:numPr>
        <w:spacing w:before="40" w:after="0" w:line="276" w:lineRule="auto"/>
        <w:outlineLvl w:val="1"/>
        <w:rPr>
          <w:rFonts w:ascii="Arial" w:eastAsia="Times New Roman" w:hAnsi="Arial" w:cs="Arial"/>
          <w:b/>
          <w:color w:val="000000"/>
          <w:sz w:val="24"/>
          <w:szCs w:val="26"/>
        </w:rPr>
      </w:pPr>
      <w:bookmarkStart w:id="63" w:name="_TOC_250004"/>
      <w:bookmarkStart w:id="64" w:name="_Toc64067646"/>
      <w:bookmarkStart w:id="65" w:name="_Toc95496686"/>
      <w:bookmarkStart w:id="66" w:name="_Toc158567497"/>
      <w:bookmarkEnd w:id="63"/>
      <w:r w:rsidRPr="00E37D56">
        <w:rPr>
          <w:rFonts w:ascii="Arial" w:eastAsia="Times New Roman" w:hAnsi="Arial" w:cs="Arial"/>
          <w:b/>
          <w:color w:val="000000"/>
          <w:sz w:val="24"/>
          <w:szCs w:val="26"/>
        </w:rPr>
        <w:t xml:space="preserve">Estimaciones y </w:t>
      </w:r>
      <w:r w:rsidR="00A671A4" w:rsidRPr="00E37D56">
        <w:rPr>
          <w:rFonts w:ascii="Arial" w:eastAsia="Times New Roman" w:hAnsi="Arial" w:cs="Arial"/>
          <w:b/>
          <w:color w:val="000000"/>
          <w:sz w:val="24"/>
          <w:szCs w:val="26"/>
        </w:rPr>
        <w:t xml:space="preserve">Resultados Macroeconómicos </w:t>
      </w:r>
      <w:r w:rsidRPr="00E37D56">
        <w:rPr>
          <w:rFonts w:ascii="Arial" w:eastAsia="Times New Roman" w:hAnsi="Arial" w:cs="Arial"/>
          <w:b/>
          <w:color w:val="000000"/>
          <w:sz w:val="24"/>
          <w:szCs w:val="26"/>
        </w:rPr>
        <w:t>para el Ejercicio Fiscal 20</w:t>
      </w:r>
      <w:bookmarkEnd w:id="64"/>
      <w:r w:rsidRPr="00E37D56">
        <w:rPr>
          <w:rFonts w:ascii="Arial" w:eastAsia="Times New Roman" w:hAnsi="Arial" w:cs="Arial"/>
          <w:b/>
          <w:color w:val="000000"/>
          <w:sz w:val="24"/>
          <w:szCs w:val="26"/>
        </w:rPr>
        <w:t>2</w:t>
      </w:r>
      <w:bookmarkEnd w:id="65"/>
      <w:r>
        <w:rPr>
          <w:rFonts w:ascii="Arial" w:eastAsia="Times New Roman" w:hAnsi="Arial" w:cs="Arial"/>
          <w:b/>
          <w:color w:val="000000"/>
          <w:sz w:val="24"/>
          <w:szCs w:val="26"/>
        </w:rPr>
        <w:t>2</w:t>
      </w:r>
      <w:bookmarkEnd w:id="66"/>
    </w:p>
    <w:p w14:paraId="2550229B" w14:textId="77777777" w:rsidR="0046336D" w:rsidRPr="00872B68" w:rsidRDefault="0046336D" w:rsidP="0046336D">
      <w:pPr>
        <w:spacing w:line="276" w:lineRule="auto"/>
        <w:rPr>
          <w:rFonts w:ascii="Trebuchet MS" w:eastAsia="Trebuchet MS" w:hAnsi="Trebuchet MS" w:cs="Times New Roman"/>
          <w:sz w:val="14"/>
        </w:rPr>
      </w:pPr>
    </w:p>
    <w:p w14:paraId="0E4C5F17" w14:textId="77777777" w:rsidR="0046336D" w:rsidRPr="00E37D56" w:rsidRDefault="0046336D" w:rsidP="0046336D">
      <w:pPr>
        <w:keepNext/>
        <w:keepLines/>
        <w:spacing w:before="40" w:after="0" w:line="276" w:lineRule="auto"/>
        <w:ind w:left="283"/>
        <w:outlineLvl w:val="2"/>
        <w:rPr>
          <w:rFonts w:ascii="Arial" w:eastAsia="Times New Roman" w:hAnsi="Arial" w:cs="Arial"/>
          <w:b/>
          <w:color w:val="000000"/>
          <w:sz w:val="24"/>
          <w:szCs w:val="24"/>
        </w:rPr>
      </w:pPr>
      <w:bookmarkStart w:id="67" w:name="_Toc95496687"/>
      <w:bookmarkStart w:id="68" w:name="_Toc158567498"/>
      <w:r w:rsidRPr="00E37D56">
        <w:rPr>
          <w:rFonts w:ascii="Arial" w:eastAsia="Times New Roman" w:hAnsi="Arial" w:cs="Arial"/>
          <w:b/>
          <w:color w:val="000000"/>
          <w:sz w:val="24"/>
          <w:szCs w:val="24"/>
        </w:rPr>
        <w:t>I. Perspectivas Económicas</w:t>
      </w:r>
      <w:bookmarkEnd w:id="67"/>
      <w:bookmarkEnd w:id="68"/>
    </w:p>
    <w:p w14:paraId="22E8B379" w14:textId="77777777" w:rsidR="0046336D" w:rsidRPr="00872B68" w:rsidRDefault="0046336D" w:rsidP="0046336D">
      <w:pPr>
        <w:spacing w:line="276" w:lineRule="auto"/>
        <w:rPr>
          <w:rFonts w:ascii="Arial" w:eastAsia="Trebuchet MS" w:hAnsi="Arial" w:cs="Arial"/>
          <w:sz w:val="14"/>
        </w:rPr>
      </w:pPr>
    </w:p>
    <w:p w14:paraId="5439F2B0" w14:textId="77777777" w:rsidR="0046336D" w:rsidRDefault="0046336D" w:rsidP="0046336D">
      <w:pPr>
        <w:pStyle w:val="TEXTONORMAL"/>
        <w:spacing w:line="276" w:lineRule="auto"/>
        <w:rPr>
          <w:rFonts w:ascii="Arial" w:hAnsi="Arial" w:cs="Arial"/>
          <w:sz w:val="24"/>
          <w:szCs w:val="24"/>
        </w:rPr>
      </w:pPr>
      <w:r w:rsidRPr="00C46677">
        <w:rPr>
          <w:rFonts w:ascii="Arial" w:hAnsi="Arial" w:cs="Arial"/>
          <w:sz w:val="24"/>
          <w:szCs w:val="24"/>
        </w:rPr>
        <w:t xml:space="preserve">En los Criterios Generales de Política Económica para 2022 </w:t>
      </w:r>
      <w:r w:rsidRPr="00C46677">
        <w:rPr>
          <w:rFonts w:ascii="Arial" w:hAnsi="Arial" w:cs="Arial"/>
          <w:b/>
          <w:sz w:val="24"/>
          <w:szCs w:val="24"/>
        </w:rPr>
        <w:t>(CGPE-2022)</w:t>
      </w:r>
      <w:r w:rsidRPr="00C46677">
        <w:rPr>
          <w:rFonts w:ascii="Arial" w:hAnsi="Arial" w:cs="Arial"/>
          <w:sz w:val="24"/>
          <w:szCs w:val="24"/>
        </w:rPr>
        <w:t xml:space="preserve">, se proyectó un crecimiento real anual del Producto Interno Bruto </w:t>
      </w:r>
      <w:r w:rsidRPr="00C46677">
        <w:rPr>
          <w:rFonts w:ascii="Arial" w:hAnsi="Arial" w:cs="Arial"/>
          <w:b/>
          <w:sz w:val="24"/>
          <w:szCs w:val="24"/>
        </w:rPr>
        <w:t>(PIB)</w:t>
      </w:r>
      <w:r w:rsidRPr="00C46677">
        <w:rPr>
          <w:rFonts w:ascii="Arial" w:hAnsi="Arial" w:cs="Arial"/>
          <w:sz w:val="24"/>
          <w:szCs w:val="24"/>
        </w:rPr>
        <w:t xml:space="preserve"> de entre 3.6 y 4.6%, con una estimación puntual de 4.1%; un crecimiento del deflactor del PIB de 3.7% en promedio; así como, un déficit en la cuenta corriente de la balanza de pagos de 0.4% del PIB. Para ello, se consideraron los siguientes supuestos: </w:t>
      </w:r>
    </w:p>
    <w:p w14:paraId="4E201996" w14:textId="77777777" w:rsidR="0046336D" w:rsidRPr="00C46677" w:rsidRDefault="0046336D" w:rsidP="0046336D">
      <w:pPr>
        <w:pStyle w:val="TEXTONORMAL"/>
        <w:spacing w:line="276" w:lineRule="auto"/>
        <w:rPr>
          <w:rFonts w:ascii="Arial" w:hAnsi="Arial" w:cs="Arial"/>
          <w:sz w:val="24"/>
          <w:szCs w:val="24"/>
        </w:rPr>
      </w:pPr>
    </w:p>
    <w:p w14:paraId="40826C8E" w14:textId="77777777" w:rsidR="0046336D" w:rsidRPr="00C46677" w:rsidRDefault="0046336D" w:rsidP="0046336D">
      <w:pPr>
        <w:pStyle w:val="VIETAFLECHA"/>
        <w:spacing w:line="276" w:lineRule="auto"/>
        <w:rPr>
          <w:rFonts w:ascii="Arial" w:hAnsi="Arial" w:cs="Arial"/>
          <w:sz w:val="24"/>
          <w:szCs w:val="24"/>
          <w:lang w:val="es-ES_tradnl"/>
        </w:rPr>
      </w:pPr>
      <w:r w:rsidRPr="00C46677">
        <w:rPr>
          <w:rFonts w:ascii="Arial" w:hAnsi="Arial" w:cs="Arial"/>
          <w:sz w:val="24"/>
          <w:szCs w:val="24"/>
          <w:lang w:val="es-ES_tradnl"/>
        </w:rPr>
        <w:t xml:space="preserve">Una </w:t>
      </w:r>
      <w:r w:rsidRPr="00C46677">
        <w:rPr>
          <w:rFonts w:ascii="Arial" w:hAnsi="Arial" w:cs="Arial"/>
          <w:sz w:val="24"/>
          <w:szCs w:val="24"/>
        </w:rPr>
        <w:t>expectativa</w:t>
      </w:r>
      <w:r w:rsidRPr="00C46677">
        <w:rPr>
          <w:rFonts w:ascii="Arial" w:hAnsi="Arial" w:cs="Arial"/>
          <w:sz w:val="24"/>
          <w:szCs w:val="24"/>
          <w:lang w:val="es-ES_tradnl"/>
        </w:rPr>
        <w:t xml:space="preserve"> de crecimiento del PIB de los Estados Unidos de América </w:t>
      </w:r>
      <w:r w:rsidRPr="00C46677">
        <w:rPr>
          <w:rFonts w:ascii="Arial" w:hAnsi="Arial" w:cs="Arial"/>
          <w:b/>
          <w:sz w:val="24"/>
          <w:szCs w:val="24"/>
          <w:lang w:val="es-ES_tradnl"/>
        </w:rPr>
        <w:t>(EUA)</w:t>
      </w:r>
      <w:r w:rsidRPr="00C46677">
        <w:rPr>
          <w:rFonts w:ascii="Arial" w:hAnsi="Arial" w:cs="Arial"/>
          <w:sz w:val="24"/>
          <w:szCs w:val="24"/>
          <w:lang w:val="es-ES_tradnl"/>
        </w:rPr>
        <w:t xml:space="preserve"> de 4.5% para 2022 y un crecimiento de su producción industrial </w:t>
      </w:r>
      <w:r w:rsidRPr="00200A52">
        <w:rPr>
          <w:rFonts w:ascii="Arial" w:hAnsi="Arial" w:cs="Arial"/>
          <w:sz w:val="24"/>
          <w:szCs w:val="24"/>
          <w:lang w:val="es-ES_tradnl"/>
        </w:rPr>
        <w:t>de 4</w:t>
      </w:r>
      <w:r w:rsidRPr="00C46677">
        <w:rPr>
          <w:rFonts w:ascii="Arial" w:hAnsi="Arial" w:cs="Arial"/>
          <w:sz w:val="24"/>
          <w:szCs w:val="24"/>
          <w:lang w:val="es-ES_tradnl"/>
        </w:rPr>
        <w:t xml:space="preserve">.3%. </w:t>
      </w:r>
    </w:p>
    <w:p w14:paraId="668B4DFD" w14:textId="77777777" w:rsidR="0046336D" w:rsidRPr="00C46677" w:rsidRDefault="0046336D" w:rsidP="0046336D">
      <w:pPr>
        <w:pStyle w:val="VIETAFLECHA"/>
        <w:spacing w:line="276" w:lineRule="auto"/>
        <w:rPr>
          <w:rFonts w:ascii="Arial" w:hAnsi="Arial" w:cs="Arial"/>
          <w:sz w:val="24"/>
          <w:szCs w:val="24"/>
          <w:lang w:val="es-ES_tradnl"/>
        </w:rPr>
      </w:pPr>
      <w:r w:rsidRPr="00C46677">
        <w:rPr>
          <w:rFonts w:ascii="Arial" w:hAnsi="Arial" w:cs="Arial"/>
          <w:sz w:val="24"/>
          <w:szCs w:val="24"/>
          <w:lang w:val="es-ES_tradnl"/>
        </w:rPr>
        <w:t xml:space="preserve">Para el precio promedio del petróleo, el Congreso de la Unión en la Ley de Ingresos de la Federación para el Ejercicio Fiscal 2022 </w:t>
      </w:r>
      <w:r w:rsidRPr="00C46677">
        <w:rPr>
          <w:rFonts w:ascii="Arial" w:hAnsi="Arial" w:cs="Arial"/>
          <w:b/>
          <w:sz w:val="24"/>
          <w:szCs w:val="24"/>
          <w:lang w:val="es-ES_tradnl"/>
        </w:rPr>
        <w:t>(LIF 2022)</w:t>
      </w:r>
      <w:r w:rsidRPr="00C46677">
        <w:rPr>
          <w:rFonts w:ascii="Arial" w:hAnsi="Arial" w:cs="Arial"/>
          <w:sz w:val="24"/>
          <w:szCs w:val="24"/>
          <w:lang w:val="es-ES_tradnl"/>
        </w:rPr>
        <w:t xml:space="preserve"> mantuvo el </w:t>
      </w:r>
      <w:r w:rsidRPr="00C46677">
        <w:rPr>
          <w:rFonts w:ascii="Arial" w:hAnsi="Arial" w:cs="Arial"/>
          <w:sz w:val="24"/>
          <w:szCs w:val="24"/>
        </w:rPr>
        <w:t>nivel</w:t>
      </w:r>
      <w:r w:rsidRPr="00C46677">
        <w:rPr>
          <w:rFonts w:ascii="Arial" w:hAnsi="Arial" w:cs="Arial"/>
          <w:sz w:val="24"/>
          <w:szCs w:val="24"/>
          <w:lang w:val="es-ES_tradnl"/>
        </w:rPr>
        <w:t xml:space="preserve"> propuesto por el Ejecutivo de 55.1 dólares por barril </w:t>
      </w:r>
      <w:r w:rsidRPr="00C46677">
        <w:rPr>
          <w:rFonts w:ascii="Arial" w:hAnsi="Arial" w:cs="Arial"/>
          <w:b/>
          <w:sz w:val="24"/>
          <w:szCs w:val="24"/>
          <w:lang w:val="es-ES_tradnl"/>
        </w:rPr>
        <w:t>(dpb)</w:t>
      </w:r>
      <w:r w:rsidRPr="00C46677">
        <w:rPr>
          <w:rFonts w:ascii="Arial" w:hAnsi="Arial" w:cs="Arial"/>
          <w:sz w:val="24"/>
          <w:szCs w:val="24"/>
          <w:lang w:val="es-ES_tradnl"/>
        </w:rPr>
        <w:t xml:space="preserve">, en línea con el resultado de la fórmula establecida en la Ley Federal de Presupuesto y Responsabilidad Hacendaria </w:t>
      </w:r>
      <w:r w:rsidRPr="00C46677">
        <w:rPr>
          <w:rFonts w:ascii="Arial" w:hAnsi="Arial" w:cs="Arial"/>
          <w:b/>
          <w:sz w:val="24"/>
          <w:szCs w:val="24"/>
          <w:lang w:val="es-ES_tradnl"/>
        </w:rPr>
        <w:t>(LFPRH)</w:t>
      </w:r>
      <w:r w:rsidRPr="00C46677">
        <w:rPr>
          <w:rFonts w:ascii="Arial" w:hAnsi="Arial" w:cs="Arial"/>
          <w:sz w:val="24"/>
          <w:szCs w:val="24"/>
          <w:lang w:val="es-ES_tradnl"/>
        </w:rPr>
        <w:t>.</w:t>
      </w:r>
    </w:p>
    <w:p w14:paraId="093BCAEA" w14:textId="77777777" w:rsidR="0046336D" w:rsidRPr="00C46677" w:rsidRDefault="0046336D" w:rsidP="0046336D">
      <w:pPr>
        <w:pStyle w:val="VIETAFLECHA"/>
        <w:spacing w:line="276" w:lineRule="auto"/>
        <w:rPr>
          <w:rFonts w:ascii="Arial" w:hAnsi="Arial" w:cs="Arial"/>
          <w:sz w:val="24"/>
          <w:szCs w:val="24"/>
          <w:lang w:val="es-ES_tradnl"/>
        </w:rPr>
      </w:pPr>
      <w:r w:rsidRPr="00625F1D">
        <w:rPr>
          <w:rFonts w:ascii="Arial" w:hAnsi="Arial" w:cs="Arial"/>
          <w:sz w:val="24"/>
          <w:szCs w:val="24"/>
          <w:lang w:val="es-ES_tradnl"/>
        </w:rPr>
        <w:t>La inflación de cierre en México para 2022</w:t>
      </w:r>
      <w:r w:rsidRPr="00C46677">
        <w:rPr>
          <w:rFonts w:ascii="Arial" w:hAnsi="Arial" w:cs="Arial"/>
          <w:sz w:val="24"/>
          <w:szCs w:val="24"/>
          <w:lang w:val="es-ES_tradnl"/>
        </w:rPr>
        <w:t xml:space="preserve"> se estimó en </w:t>
      </w:r>
      <w:r w:rsidRPr="00625F1D">
        <w:rPr>
          <w:rFonts w:ascii="Arial" w:hAnsi="Arial" w:cs="Arial"/>
          <w:sz w:val="24"/>
          <w:szCs w:val="24"/>
          <w:lang w:val="es-ES_tradnl"/>
        </w:rPr>
        <w:t>3.4%</w:t>
      </w:r>
      <w:r w:rsidRPr="00C46677">
        <w:rPr>
          <w:rFonts w:ascii="Arial" w:hAnsi="Arial" w:cs="Arial"/>
          <w:sz w:val="24"/>
          <w:szCs w:val="24"/>
          <w:lang w:val="es-ES_tradnl"/>
        </w:rPr>
        <w:t>, consistente con una trayectoria que tienda hacia el objetivo del Banco de México.</w:t>
      </w:r>
    </w:p>
    <w:p w14:paraId="55E42AFA" w14:textId="77777777" w:rsidR="0046336D" w:rsidRPr="00C46677" w:rsidRDefault="0046336D" w:rsidP="00A671A4">
      <w:pPr>
        <w:pStyle w:val="VIETAFLECHA"/>
        <w:spacing w:line="276" w:lineRule="auto"/>
        <w:ind w:left="426" w:hanging="426"/>
        <w:rPr>
          <w:rFonts w:ascii="Arial" w:hAnsi="Arial" w:cs="Arial"/>
          <w:sz w:val="24"/>
          <w:szCs w:val="24"/>
          <w:lang w:val="es-ES_tradnl"/>
        </w:rPr>
      </w:pPr>
      <w:r w:rsidRPr="00C46677">
        <w:rPr>
          <w:rFonts w:ascii="Arial" w:hAnsi="Arial" w:cs="Arial"/>
          <w:sz w:val="24"/>
          <w:szCs w:val="24"/>
          <w:lang w:val="es-ES_tradnl"/>
        </w:rPr>
        <w:t xml:space="preserve">Asimismo, se estimó que en 2022 la tasa de interés de CETES a 28 días cerraría el </w:t>
      </w:r>
      <w:r w:rsidRPr="00625F1D">
        <w:rPr>
          <w:rFonts w:ascii="Arial" w:hAnsi="Arial" w:cs="Arial"/>
          <w:sz w:val="24"/>
          <w:szCs w:val="24"/>
          <w:lang w:val="es-ES_tradnl"/>
        </w:rPr>
        <w:t>año en 5.3%.</w:t>
      </w:r>
      <w:r w:rsidRPr="00C46677">
        <w:rPr>
          <w:rFonts w:ascii="Arial" w:hAnsi="Arial" w:cs="Arial"/>
          <w:sz w:val="24"/>
          <w:szCs w:val="24"/>
          <w:lang w:val="es-ES_tradnl"/>
        </w:rPr>
        <w:t xml:space="preserve"> </w:t>
      </w:r>
    </w:p>
    <w:p w14:paraId="2D51ACF6" w14:textId="77777777" w:rsidR="0046336D" w:rsidRDefault="0046336D" w:rsidP="0046336D">
      <w:pPr>
        <w:pStyle w:val="VIETAFLECHA"/>
        <w:spacing w:line="276" w:lineRule="auto"/>
        <w:rPr>
          <w:rFonts w:ascii="Arial" w:hAnsi="Arial" w:cs="Arial"/>
          <w:sz w:val="24"/>
          <w:szCs w:val="24"/>
          <w:lang w:val="es-ES_tradnl"/>
        </w:rPr>
      </w:pPr>
      <w:r w:rsidRPr="00C46677">
        <w:rPr>
          <w:rFonts w:ascii="Arial" w:hAnsi="Arial" w:cs="Arial"/>
          <w:sz w:val="24"/>
          <w:szCs w:val="24"/>
          <w:lang w:val="es-ES_tradnl"/>
        </w:rPr>
        <w:t>Por último, se propuso utilizar como referencia para las estimaciones de finanzas públicas un tipo de cambio promedio de 20.3 pesos por dólar, ligeramente mayor al promedio proyectado para 2021 de 20.1 pesos por dólar.</w:t>
      </w:r>
    </w:p>
    <w:p w14:paraId="316521AD" w14:textId="77777777" w:rsidR="0046336D" w:rsidRPr="00C46677" w:rsidRDefault="0046336D" w:rsidP="0046336D">
      <w:pPr>
        <w:pStyle w:val="TEXTONORMAL"/>
        <w:spacing w:line="276" w:lineRule="auto"/>
        <w:rPr>
          <w:rFonts w:ascii="Arial" w:hAnsi="Arial" w:cs="Arial"/>
          <w:sz w:val="24"/>
          <w:szCs w:val="24"/>
          <w:lang w:val="es-ES_tradnl"/>
        </w:rPr>
      </w:pPr>
      <w:r w:rsidRPr="00C46677">
        <w:rPr>
          <w:rFonts w:ascii="Arial" w:hAnsi="Arial" w:cs="Arial"/>
          <w:sz w:val="24"/>
          <w:szCs w:val="24"/>
        </w:rPr>
        <w:lastRenderedPageBreak/>
        <w:t>En los CGPE 2022 se expusieron riesgos que, de materializarse, podrían generar un efecto negativo sobre la economía mexicana, dentro de los que destacaban:</w:t>
      </w:r>
    </w:p>
    <w:p w14:paraId="0FC9A831" w14:textId="77777777" w:rsidR="0046336D" w:rsidRPr="00E37D56" w:rsidRDefault="0046336D" w:rsidP="00683FD0">
      <w:pPr>
        <w:widowControl w:val="0"/>
        <w:numPr>
          <w:ilvl w:val="0"/>
          <w:numId w:val="9"/>
        </w:numPr>
        <w:autoSpaceDE w:val="0"/>
        <w:autoSpaceDN w:val="0"/>
        <w:spacing w:before="240" w:after="0" w:line="276" w:lineRule="auto"/>
        <w:jc w:val="both"/>
        <w:rPr>
          <w:rFonts w:ascii="Arial" w:eastAsia="Arial" w:hAnsi="Arial" w:cs="Arial"/>
          <w:sz w:val="24"/>
          <w:szCs w:val="24"/>
          <w:lang w:val="es-ES"/>
        </w:rPr>
      </w:pPr>
      <w:r>
        <w:rPr>
          <w:rFonts w:ascii="Arial" w:eastAsia="Arial" w:hAnsi="Arial" w:cs="Arial"/>
          <w:sz w:val="24"/>
          <w:szCs w:val="24"/>
          <w:lang w:val="es-ES"/>
        </w:rPr>
        <w:t>U</w:t>
      </w:r>
      <w:r w:rsidRPr="00C46677">
        <w:rPr>
          <w:rFonts w:ascii="Arial" w:eastAsia="Arial" w:hAnsi="Arial" w:cs="Arial"/>
          <w:sz w:val="24"/>
          <w:szCs w:val="24"/>
          <w:lang w:val="es-ES"/>
        </w:rPr>
        <w:t>n crecimiento más rápido y por arriba de lo esperado de la inflación en los EUA, que pudiera traer ajustes no anticipados a la política fiscal o monetaria;</w:t>
      </w:r>
    </w:p>
    <w:p w14:paraId="46461812" w14:textId="77777777" w:rsidR="0046336D" w:rsidRPr="00E37D56" w:rsidRDefault="0046336D" w:rsidP="00683FD0">
      <w:pPr>
        <w:widowControl w:val="0"/>
        <w:numPr>
          <w:ilvl w:val="0"/>
          <w:numId w:val="9"/>
        </w:numPr>
        <w:autoSpaceDE w:val="0"/>
        <w:autoSpaceDN w:val="0"/>
        <w:spacing w:before="360" w:after="0" w:line="276" w:lineRule="auto"/>
        <w:jc w:val="both"/>
        <w:rPr>
          <w:rFonts w:ascii="Arial" w:eastAsia="Arial" w:hAnsi="Arial" w:cs="Arial"/>
          <w:sz w:val="24"/>
          <w:szCs w:val="24"/>
          <w:lang w:val="es-ES"/>
        </w:rPr>
      </w:pPr>
      <w:r>
        <w:rPr>
          <w:rFonts w:ascii="Arial" w:eastAsia="Arial" w:hAnsi="Arial" w:cs="Arial"/>
          <w:sz w:val="24"/>
          <w:szCs w:val="24"/>
          <w:lang w:val="es-ES"/>
        </w:rPr>
        <w:t>M</w:t>
      </w:r>
      <w:r w:rsidRPr="00C46677">
        <w:rPr>
          <w:rFonts w:ascii="Arial" w:eastAsia="Arial" w:hAnsi="Arial" w:cs="Arial"/>
          <w:sz w:val="24"/>
          <w:szCs w:val="24"/>
          <w:lang w:val="es-ES"/>
        </w:rPr>
        <w:t>enor inversión privada o pública respecto a la trayectoria consistente con el PIB de tendencia; y</w:t>
      </w:r>
    </w:p>
    <w:p w14:paraId="0A165431" w14:textId="77777777" w:rsidR="0046336D" w:rsidRPr="00E37D56" w:rsidRDefault="0046336D" w:rsidP="00683FD0">
      <w:pPr>
        <w:widowControl w:val="0"/>
        <w:numPr>
          <w:ilvl w:val="0"/>
          <w:numId w:val="9"/>
        </w:numPr>
        <w:autoSpaceDE w:val="0"/>
        <w:autoSpaceDN w:val="0"/>
        <w:spacing w:before="360" w:after="0" w:line="276" w:lineRule="auto"/>
        <w:jc w:val="both"/>
        <w:rPr>
          <w:rFonts w:ascii="Arial" w:eastAsia="Arial" w:hAnsi="Arial" w:cs="Arial"/>
          <w:sz w:val="24"/>
          <w:szCs w:val="24"/>
          <w:lang w:val="es-ES"/>
        </w:rPr>
      </w:pPr>
      <w:r>
        <w:rPr>
          <w:rFonts w:ascii="Arial" w:eastAsia="Arial" w:hAnsi="Arial" w:cs="Arial"/>
          <w:sz w:val="24"/>
          <w:szCs w:val="24"/>
        </w:rPr>
        <w:t>C</w:t>
      </w:r>
      <w:r w:rsidRPr="00C46677">
        <w:rPr>
          <w:rFonts w:ascii="Arial" w:eastAsia="Arial" w:hAnsi="Arial" w:cs="Arial"/>
          <w:sz w:val="24"/>
          <w:szCs w:val="24"/>
        </w:rPr>
        <w:t>onflictos geopolíticos internacionales que afecten el comercio internacional y las previsiones de precios internacionales de materias primas, en particular el precio de la mezcla mexicana de petróleo.</w:t>
      </w:r>
    </w:p>
    <w:p w14:paraId="15A893A0" w14:textId="77777777" w:rsidR="0046336D" w:rsidRPr="00872B68" w:rsidRDefault="0046336D" w:rsidP="0046336D">
      <w:pPr>
        <w:widowControl w:val="0"/>
        <w:autoSpaceDE w:val="0"/>
        <w:autoSpaceDN w:val="0"/>
        <w:spacing w:before="240" w:after="0" w:line="276" w:lineRule="auto"/>
        <w:ind w:left="927"/>
        <w:jc w:val="both"/>
        <w:rPr>
          <w:rFonts w:ascii="Arial" w:eastAsia="Arial" w:hAnsi="Arial" w:cs="Arial"/>
          <w:sz w:val="16"/>
          <w:szCs w:val="24"/>
          <w:lang w:val="es-ES"/>
        </w:rPr>
      </w:pPr>
    </w:p>
    <w:tbl>
      <w:tblPr>
        <w:tblW w:w="5000" w:type="pct"/>
        <w:jc w:val="center"/>
        <w:tblCellMar>
          <w:left w:w="70" w:type="dxa"/>
          <w:right w:w="70" w:type="dxa"/>
        </w:tblCellMar>
        <w:tblLook w:val="04A0" w:firstRow="1" w:lastRow="0" w:firstColumn="1" w:lastColumn="0" w:noHBand="0" w:noVBand="1"/>
      </w:tblPr>
      <w:tblGrid>
        <w:gridCol w:w="2977"/>
        <w:gridCol w:w="1426"/>
        <w:gridCol w:w="1460"/>
        <w:gridCol w:w="1619"/>
        <w:gridCol w:w="18"/>
        <w:gridCol w:w="1338"/>
      </w:tblGrid>
      <w:tr w:rsidR="0046336D" w:rsidRPr="00C61EAA" w14:paraId="0DE17448" w14:textId="77777777" w:rsidTr="0046336D">
        <w:trPr>
          <w:trHeight w:val="237"/>
          <w:jc w:val="center"/>
        </w:trPr>
        <w:tc>
          <w:tcPr>
            <w:tcW w:w="5000" w:type="pct"/>
            <w:gridSpan w:val="6"/>
            <w:tcBorders>
              <w:bottom w:val="single" w:sz="12" w:space="0" w:color="808080"/>
            </w:tcBorders>
            <w:shd w:val="clear" w:color="auto" w:fill="auto"/>
            <w:vAlign w:val="center"/>
            <w:hideMark/>
          </w:tcPr>
          <w:p w14:paraId="7F3420F6" w14:textId="77777777" w:rsidR="0046336D" w:rsidRPr="00C61EAA" w:rsidRDefault="0046336D" w:rsidP="0046336D">
            <w:pPr>
              <w:spacing w:before="120" w:after="0" w:line="220" w:lineRule="exact"/>
              <w:jc w:val="center"/>
              <w:rPr>
                <w:rFonts w:ascii="Arial" w:eastAsia="Calibri" w:hAnsi="Arial" w:cs="Arial"/>
                <w:b/>
                <w:bCs/>
                <w:sz w:val="16"/>
                <w:szCs w:val="16"/>
                <w:lang w:val="es-ES" w:eastAsia="es-MX"/>
              </w:rPr>
            </w:pPr>
            <w:bookmarkStart w:id="69" w:name="_Hlk132734902"/>
            <w:r w:rsidRPr="00C61EAA">
              <w:rPr>
                <w:rFonts w:ascii="Arial" w:eastAsia="Calibri" w:hAnsi="Arial" w:cs="Arial"/>
                <w:b/>
                <w:bCs/>
                <w:sz w:val="16"/>
                <w:szCs w:val="16"/>
                <w:lang w:val="es-ES" w:eastAsia="es-MX"/>
              </w:rPr>
              <w:t>MARCO MACROECONÓMICO, 2021-2022</w:t>
            </w:r>
          </w:p>
        </w:tc>
      </w:tr>
      <w:tr w:rsidR="0046336D" w:rsidRPr="00C61EAA" w14:paraId="27958F58" w14:textId="77777777" w:rsidTr="0046336D">
        <w:trPr>
          <w:trHeight w:hRule="exact" w:val="113"/>
          <w:jc w:val="center"/>
        </w:trPr>
        <w:tc>
          <w:tcPr>
            <w:tcW w:w="1684" w:type="pct"/>
            <w:tcBorders>
              <w:right w:val="single" w:sz="8" w:space="0" w:color="FFFFFF"/>
            </w:tcBorders>
            <w:shd w:val="clear" w:color="auto" w:fill="auto"/>
            <w:vAlign w:val="center"/>
          </w:tcPr>
          <w:p w14:paraId="1D36ABD3" w14:textId="77777777" w:rsidR="0046336D" w:rsidRPr="00C61EAA" w:rsidRDefault="0046336D" w:rsidP="0046336D">
            <w:pPr>
              <w:spacing w:after="0" w:line="240" w:lineRule="exact"/>
              <w:jc w:val="center"/>
              <w:rPr>
                <w:rFonts w:ascii="Montserrat" w:eastAsia="Calibri" w:hAnsi="Montserrat" w:cs="Arial"/>
                <w:b/>
                <w:bCs/>
                <w:color w:val="FFFFFF"/>
                <w:sz w:val="16"/>
                <w:szCs w:val="16"/>
                <w:lang w:val="es-ES" w:eastAsia="es-MX"/>
              </w:rPr>
            </w:pPr>
          </w:p>
        </w:tc>
        <w:tc>
          <w:tcPr>
            <w:tcW w:w="807" w:type="pct"/>
            <w:tcBorders>
              <w:left w:val="single" w:sz="8" w:space="0" w:color="FFFFFF"/>
              <w:bottom w:val="single" w:sz="4" w:space="0" w:color="FFFFFF"/>
              <w:right w:val="single" w:sz="12" w:space="0" w:color="FFFFFF"/>
            </w:tcBorders>
            <w:shd w:val="clear" w:color="auto" w:fill="auto"/>
            <w:vAlign w:val="center"/>
          </w:tcPr>
          <w:p w14:paraId="556A83EF" w14:textId="77777777" w:rsidR="0046336D" w:rsidRPr="00C61EAA" w:rsidRDefault="0046336D" w:rsidP="0046336D">
            <w:pPr>
              <w:spacing w:after="0" w:line="240" w:lineRule="exact"/>
              <w:jc w:val="center"/>
              <w:rPr>
                <w:rFonts w:ascii="Montserrat" w:eastAsia="Calibri" w:hAnsi="Montserrat" w:cs="Arial"/>
                <w:b/>
                <w:bCs/>
                <w:color w:val="FFFFFF"/>
                <w:sz w:val="16"/>
                <w:szCs w:val="16"/>
                <w:lang w:val="es-ES" w:eastAsia="es-MX"/>
              </w:rPr>
            </w:pPr>
          </w:p>
        </w:tc>
        <w:tc>
          <w:tcPr>
            <w:tcW w:w="2509" w:type="pct"/>
            <w:gridSpan w:val="4"/>
            <w:tcBorders>
              <w:left w:val="single" w:sz="12" w:space="0" w:color="FFFFFF"/>
              <w:bottom w:val="single" w:sz="8" w:space="0" w:color="FFFFFF"/>
            </w:tcBorders>
            <w:shd w:val="clear" w:color="auto" w:fill="auto"/>
            <w:vAlign w:val="center"/>
          </w:tcPr>
          <w:p w14:paraId="72545032" w14:textId="77777777" w:rsidR="0046336D" w:rsidRPr="00C61EAA" w:rsidRDefault="0046336D" w:rsidP="0046336D">
            <w:pPr>
              <w:spacing w:after="0" w:line="240" w:lineRule="exact"/>
              <w:jc w:val="center"/>
              <w:rPr>
                <w:rFonts w:ascii="Montserrat" w:eastAsia="Calibri" w:hAnsi="Montserrat" w:cs="Arial"/>
                <w:b/>
                <w:bCs/>
                <w:color w:val="FFFFFF"/>
                <w:sz w:val="16"/>
                <w:szCs w:val="16"/>
                <w:lang w:val="es-ES" w:eastAsia="es-MX"/>
              </w:rPr>
            </w:pPr>
          </w:p>
        </w:tc>
      </w:tr>
      <w:tr w:rsidR="0046336D" w:rsidRPr="00C61EAA" w14:paraId="3EA04B50" w14:textId="77777777" w:rsidTr="0046336D">
        <w:trPr>
          <w:trHeight w:val="237"/>
          <w:jc w:val="center"/>
        </w:trPr>
        <w:tc>
          <w:tcPr>
            <w:tcW w:w="1684" w:type="pct"/>
            <w:vMerge w:val="restart"/>
            <w:tcBorders>
              <w:right w:val="single" w:sz="8" w:space="0" w:color="FFFFFF"/>
            </w:tcBorders>
            <w:shd w:val="clear" w:color="auto" w:fill="A6A6A6" w:themeFill="background1" w:themeFillShade="A6"/>
            <w:vAlign w:val="center"/>
            <w:hideMark/>
          </w:tcPr>
          <w:p w14:paraId="2FA8DC24" w14:textId="77777777" w:rsidR="0046336D" w:rsidRPr="00C61EAA" w:rsidRDefault="0046336D" w:rsidP="0046336D">
            <w:pPr>
              <w:spacing w:after="0" w:line="240" w:lineRule="exact"/>
              <w:jc w:val="center"/>
              <w:rPr>
                <w:rFonts w:ascii="Arial" w:eastAsia="Calibri" w:hAnsi="Arial" w:cs="Arial"/>
                <w:b/>
                <w:bCs/>
                <w:color w:val="FFFFFF"/>
                <w:sz w:val="16"/>
                <w:szCs w:val="16"/>
                <w:lang w:val="es-ES" w:eastAsia="es-MX"/>
              </w:rPr>
            </w:pPr>
            <w:r w:rsidRPr="00C61EAA">
              <w:rPr>
                <w:rFonts w:ascii="Arial" w:eastAsia="Calibri" w:hAnsi="Arial" w:cs="Arial"/>
                <w:b/>
                <w:bCs/>
                <w:color w:val="FFFFFF"/>
                <w:sz w:val="16"/>
                <w:szCs w:val="16"/>
                <w:lang w:val="es-ES" w:eastAsia="es-MX"/>
              </w:rPr>
              <w:t>Concepto</w:t>
            </w:r>
          </w:p>
        </w:tc>
        <w:tc>
          <w:tcPr>
            <w:tcW w:w="807" w:type="pct"/>
            <w:tcBorders>
              <w:left w:val="single" w:sz="8" w:space="0" w:color="FFFFFF"/>
              <w:bottom w:val="single" w:sz="4" w:space="0" w:color="FFFFFF"/>
              <w:right w:val="single" w:sz="12" w:space="0" w:color="FFFFFF"/>
            </w:tcBorders>
            <w:shd w:val="clear" w:color="auto" w:fill="A6A6A6" w:themeFill="background1" w:themeFillShade="A6"/>
            <w:vAlign w:val="center"/>
            <w:hideMark/>
          </w:tcPr>
          <w:p w14:paraId="7C121B41" w14:textId="77777777" w:rsidR="0046336D" w:rsidRPr="00C61EAA" w:rsidRDefault="0046336D" w:rsidP="0046336D">
            <w:pPr>
              <w:spacing w:after="0" w:line="240" w:lineRule="exact"/>
              <w:jc w:val="center"/>
              <w:rPr>
                <w:rFonts w:ascii="Arial" w:eastAsia="Calibri" w:hAnsi="Arial" w:cs="Arial"/>
                <w:b/>
                <w:bCs/>
                <w:color w:val="FFFFFF"/>
                <w:sz w:val="16"/>
                <w:szCs w:val="16"/>
                <w:lang w:val="es-ES" w:eastAsia="es-MX"/>
              </w:rPr>
            </w:pPr>
            <w:r w:rsidRPr="00C61EAA">
              <w:rPr>
                <w:rFonts w:ascii="Arial" w:eastAsia="Calibri" w:hAnsi="Arial" w:cs="Arial"/>
                <w:b/>
                <w:bCs/>
                <w:color w:val="FFFFFF"/>
                <w:sz w:val="16"/>
                <w:szCs w:val="16"/>
                <w:lang w:val="es-ES" w:eastAsia="es-MX"/>
              </w:rPr>
              <w:t>2021</w:t>
            </w:r>
          </w:p>
        </w:tc>
        <w:tc>
          <w:tcPr>
            <w:tcW w:w="2509" w:type="pct"/>
            <w:gridSpan w:val="4"/>
            <w:tcBorders>
              <w:left w:val="single" w:sz="12" w:space="0" w:color="FFFFFF"/>
              <w:bottom w:val="single" w:sz="8" w:space="0" w:color="FFFFFF"/>
            </w:tcBorders>
            <w:shd w:val="clear" w:color="auto" w:fill="A6A6A6" w:themeFill="background1" w:themeFillShade="A6"/>
            <w:vAlign w:val="center"/>
            <w:hideMark/>
          </w:tcPr>
          <w:p w14:paraId="5DAC8612" w14:textId="77777777" w:rsidR="0046336D" w:rsidRPr="00C61EAA" w:rsidRDefault="0046336D" w:rsidP="0046336D">
            <w:pPr>
              <w:spacing w:after="0" w:line="240" w:lineRule="exact"/>
              <w:jc w:val="center"/>
              <w:rPr>
                <w:rFonts w:ascii="Arial" w:eastAsia="Calibri" w:hAnsi="Arial" w:cs="Arial"/>
                <w:b/>
                <w:bCs/>
                <w:color w:val="FFFFFF"/>
                <w:sz w:val="16"/>
                <w:szCs w:val="16"/>
                <w:lang w:val="es-ES" w:eastAsia="es-MX"/>
              </w:rPr>
            </w:pPr>
            <w:r w:rsidRPr="00C61EAA">
              <w:rPr>
                <w:rFonts w:ascii="Arial" w:eastAsia="Calibri" w:hAnsi="Arial" w:cs="Arial"/>
                <w:b/>
                <w:bCs/>
                <w:color w:val="FFFFFF"/>
                <w:sz w:val="16"/>
                <w:szCs w:val="16"/>
                <w:lang w:val="es-ES" w:eastAsia="es-MX"/>
              </w:rPr>
              <w:t>2022</w:t>
            </w:r>
          </w:p>
        </w:tc>
      </w:tr>
      <w:tr w:rsidR="0046336D" w:rsidRPr="00C61EAA" w14:paraId="419E2EA0" w14:textId="77777777" w:rsidTr="0046336D">
        <w:trPr>
          <w:trHeight w:val="512"/>
          <w:jc w:val="center"/>
        </w:trPr>
        <w:tc>
          <w:tcPr>
            <w:tcW w:w="1684" w:type="pct"/>
            <w:vMerge/>
            <w:tcBorders>
              <w:top w:val="single" w:sz="4" w:space="0" w:color="BFBFBF"/>
              <w:right w:val="single" w:sz="8" w:space="0" w:color="FFFFFF"/>
            </w:tcBorders>
            <w:shd w:val="clear" w:color="auto" w:fill="A6A6A6" w:themeFill="background1" w:themeFillShade="A6"/>
            <w:vAlign w:val="center"/>
            <w:hideMark/>
          </w:tcPr>
          <w:p w14:paraId="26760FAF" w14:textId="77777777" w:rsidR="0046336D" w:rsidRPr="00C61EAA" w:rsidRDefault="0046336D" w:rsidP="0046336D">
            <w:pPr>
              <w:spacing w:after="0" w:line="240" w:lineRule="exact"/>
              <w:jc w:val="center"/>
              <w:rPr>
                <w:rFonts w:ascii="Arial" w:eastAsia="Calibri" w:hAnsi="Arial" w:cs="Arial"/>
                <w:b/>
                <w:bCs/>
                <w:color w:val="FFFFFF"/>
                <w:sz w:val="16"/>
                <w:szCs w:val="16"/>
                <w:lang w:val="es-ES" w:eastAsia="es-MX"/>
              </w:rPr>
            </w:pPr>
          </w:p>
        </w:tc>
        <w:tc>
          <w:tcPr>
            <w:tcW w:w="807" w:type="pct"/>
            <w:tcBorders>
              <w:top w:val="single" w:sz="4" w:space="0" w:color="FFFFFF"/>
              <w:left w:val="single" w:sz="8" w:space="0" w:color="FFFFFF"/>
              <w:right w:val="single" w:sz="12" w:space="0" w:color="FFFFFF"/>
            </w:tcBorders>
            <w:shd w:val="clear" w:color="auto" w:fill="A6A6A6" w:themeFill="background1" w:themeFillShade="A6"/>
            <w:vAlign w:val="center"/>
            <w:hideMark/>
          </w:tcPr>
          <w:p w14:paraId="1A447B54" w14:textId="77777777" w:rsidR="0046336D" w:rsidRPr="00C61EAA" w:rsidRDefault="0046336D" w:rsidP="0046336D">
            <w:pPr>
              <w:spacing w:after="0" w:line="240" w:lineRule="exact"/>
              <w:jc w:val="center"/>
              <w:rPr>
                <w:rFonts w:ascii="Arial" w:eastAsia="Calibri" w:hAnsi="Arial" w:cs="Arial"/>
                <w:b/>
                <w:bCs/>
                <w:color w:val="FFFFFF"/>
                <w:sz w:val="16"/>
                <w:szCs w:val="16"/>
                <w:lang w:val="es-ES" w:eastAsia="es-MX"/>
              </w:rPr>
            </w:pPr>
            <w:r w:rsidRPr="00C61EAA">
              <w:rPr>
                <w:rFonts w:ascii="Arial" w:eastAsia="Calibri" w:hAnsi="Arial" w:cs="Arial"/>
                <w:b/>
                <w:bCs/>
                <w:color w:val="FFFFFF"/>
                <w:sz w:val="16"/>
                <w:szCs w:val="16"/>
                <w:lang w:val="es-ES" w:eastAsia="es-MX"/>
              </w:rPr>
              <w:t>Estimaciones CGPE 2022*</w:t>
            </w:r>
          </w:p>
        </w:tc>
        <w:tc>
          <w:tcPr>
            <w:tcW w:w="826" w:type="pct"/>
            <w:tcBorders>
              <w:top w:val="single" w:sz="8" w:space="0" w:color="FFFFFF"/>
              <w:left w:val="single" w:sz="12" w:space="0" w:color="FFFFFF"/>
              <w:right w:val="single" w:sz="8" w:space="0" w:color="FFFFFF"/>
            </w:tcBorders>
            <w:shd w:val="clear" w:color="auto" w:fill="A6A6A6" w:themeFill="background1" w:themeFillShade="A6"/>
            <w:vAlign w:val="center"/>
            <w:hideMark/>
          </w:tcPr>
          <w:p w14:paraId="503BF552" w14:textId="77777777" w:rsidR="0046336D" w:rsidRPr="00C61EAA" w:rsidRDefault="0046336D" w:rsidP="0046336D">
            <w:pPr>
              <w:spacing w:after="0" w:line="240" w:lineRule="exact"/>
              <w:jc w:val="center"/>
              <w:rPr>
                <w:rFonts w:ascii="Arial" w:eastAsia="Calibri" w:hAnsi="Arial" w:cs="Arial"/>
                <w:b/>
                <w:bCs/>
                <w:color w:val="FFFFFF"/>
                <w:sz w:val="16"/>
                <w:szCs w:val="16"/>
                <w:lang w:val="es-ES" w:eastAsia="es-MX"/>
              </w:rPr>
            </w:pPr>
            <w:r w:rsidRPr="00C61EAA">
              <w:rPr>
                <w:rFonts w:ascii="Arial" w:eastAsia="Calibri" w:hAnsi="Arial" w:cs="Arial"/>
                <w:b/>
                <w:bCs/>
                <w:color w:val="FFFFFF"/>
                <w:sz w:val="16"/>
                <w:szCs w:val="16"/>
                <w:lang w:val="es-ES" w:eastAsia="es-MX"/>
              </w:rPr>
              <w:t>Estimaciones CGPE 2022*</w:t>
            </w:r>
          </w:p>
        </w:tc>
        <w:tc>
          <w:tcPr>
            <w:tcW w:w="926" w:type="pct"/>
            <w:gridSpan w:val="2"/>
            <w:tcBorders>
              <w:top w:val="single" w:sz="8" w:space="0" w:color="FFFFFF"/>
              <w:left w:val="single" w:sz="8" w:space="0" w:color="FFFFFF"/>
              <w:right w:val="single" w:sz="8" w:space="0" w:color="FFFFFF"/>
            </w:tcBorders>
            <w:shd w:val="clear" w:color="auto" w:fill="A6A6A6" w:themeFill="background1" w:themeFillShade="A6"/>
            <w:vAlign w:val="center"/>
            <w:hideMark/>
          </w:tcPr>
          <w:p w14:paraId="273F2049" w14:textId="77777777" w:rsidR="0046336D" w:rsidRPr="00C61EAA" w:rsidRDefault="0046336D" w:rsidP="0046336D">
            <w:pPr>
              <w:spacing w:after="0" w:line="240" w:lineRule="exact"/>
              <w:jc w:val="center"/>
              <w:rPr>
                <w:rFonts w:ascii="Arial" w:eastAsia="Calibri" w:hAnsi="Arial" w:cs="Arial"/>
                <w:b/>
                <w:bCs/>
                <w:color w:val="FFFFFF"/>
                <w:sz w:val="16"/>
                <w:szCs w:val="16"/>
                <w:lang w:val="es-ES" w:eastAsia="es-MX"/>
              </w:rPr>
            </w:pPr>
            <w:r w:rsidRPr="00C61EAA">
              <w:rPr>
                <w:rFonts w:ascii="Arial" w:eastAsia="Calibri" w:hAnsi="Arial" w:cs="Arial"/>
                <w:b/>
                <w:bCs/>
                <w:color w:val="FFFFFF"/>
                <w:sz w:val="16"/>
                <w:szCs w:val="16"/>
                <w:lang w:val="es-ES" w:eastAsia="es-MX"/>
              </w:rPr>
              <w:t>Estimaciones LIF 2022 aprobada</w:t>
            </w:r>
          </w:p>
        </w:tc>
        <w:tc>
          <w:tcPr>
            <w:tcW w:w="757" w:type="pct"/>
            <w:tcBorders>
              <w:top w:val="single" w:sz="8" w:space="0" w:color="FFFFFF"/>
              <w:left w:val="single" w:sz="8" w:space="0" w:color="FFFFFF"/>
            </w:tcBorders>
            <w:shd w:val="clear" w:color="auto" w:fill="A6A6A6" w:themeFill="background1" w:themeFillShade="A6"/>
            <w:vAlign w:val="center"/>
            <w:hideMark/>
          </w:tcPr>
          <w:p w14:paraId="3BC64DA9" w14:textId="77777777" w:rsidR="0046336D" w:rsidRPr="00C61EAA" w:rsidRDefault="0046336D" w:rsidP="0046336D">
            <w:pPr>
              <w:spacing w:after="0" w:line="240" w:lineRule="exact"/>
              <w:jc w:val="center"/>
              <w:rPr>
                <w:rFonts w:ascii="Arial" w:eastAsia="Calibri" w:hAnsi="Arial" w:cs="Arial"/>
                <w:b/>
                <w:bCs/>
                <w:color w:val="FFFFFF"/>
                <w:sz w:val="16"/>
                <w:szCs w:val="16"/>
                <w:lang w:val="es-ES" w:eastAsia="es-MX"/>
              </w:rPr>
            </w:pPr>
            <w:r w:rsidRPr="00C61EAA">
              <w:rPr>
                <w:rFonts w:ascii="Arial" w:eastAsia="Calibri" w:hAnsi="Arial" w:cs="Arial"/>
                <w:b/>
                <w:bCs/>
                <w:color w:val="FFFFFF"/>
                <w:sz w:val="16"/>
                <w:szCs w:val="16"/>
                <w:lang w:val="es-ES" w:eastAsia="es-MX"/>
              </w:rPr>
              <w:t>Observado</w:t>
            </w:r>
          </w:p>
        </w:tc>
      </w:tr>
      <w:tr w:rsidR="0046336D" w:rsidRPr="00C61EAA" w14:paraId="1CE1E59C" w14:textId="77777777" w:rsidTr="0046336D">
        <w:trPr>
          <w:trHeight w:hRule="exact" w:val="51"/>
          <w:jc w:val="center"/>
        </w:trPr>
        <w:tc>
          <w:tcPr>
            <w:tcW w:w="1684" w:type="pct"/>
            <w:tcBorders>
              <w:bottom w:val="single" w:sz="12" w:space="0" w:color="808080"/>
            </w:tcBorders>
            <w:shd w:val="clear" w:color="auto" w:fill="auto"/>
            <w:vAlign w:val="center"/>
          </w:tcPr>
          <w:p w14:paraId="6C6F8EFB" w14:textId="77777777" w:rsidR="0046336D" w:rsidRPr="00C61EAA" w:rsidRDefault="0046336D" w:rsidP="0046336D">
            <w:pPr>
              <w:spacing w:after="0" w:line="240" w:lineRule="auto"/>
              <w:rPr>
                <w:rFonts w:ascii="Montserrat" w:eastAsia="Calibri" w:hAnsi="Montserrat" w:cs="Arial"/>
                <w:sz w:val="4"/>
                <w:szCs w:val="4"/>
                <w:lang w:val="es-ES" w:eastAsia="es-MX"/>
              </w:rPr>
            </w:pPr>
          </w:p>
        </w:tc>
        <w:tc>
          <w:tcPr>
            <w:tcW w:w="807" w:type="pct"/>
            <w:tcBorders>
              <w:bottom w:val="single" w:sz="12" w:space="0" w:color="808080"/>
            </w:tcBorders>
            <w:shd w:val="clear" w:color="auto" w:fill="auto"/>
            <w:vAlign w:val="center"/>
          </w:tcPr>
          <w:p w14:paraId="0ECD31BE" w14:textId="77777777" w:rsidR="0046336D" w:rsidRPr="00C61EAA" w:rsidRDefault="0046336D" w:rsidP="0046336D">
            <w:pPr>
              <w:spacing w:after="0" w:line="240" w:lineRule="auto"/>
              <w:ind w:right="487"/>
              <w:jc w:val="right"/>
              <w:rPr>
                <w:rFonts w:ascii="Montserrat" w:eastAsia="Calibri" w:hAnsi="Montserrat" w:cs="Arial"/>
                <w:sz w:val="4"/>
                <w:szCs w:val="4"/>
                <w:lang w:val="es-ES" w:eastAsia="es-MX"/>
              </w:rPr>
            </w:pPr>
          </w:p>
        </w:tc>
        <w:tc>
          <w:tcPr>
            <w:tcW w:w="826" w:type="pct"/>
            <w:tcBorders>
              <w:bottom w:val="single" w:sz="12" w:space="0" w:color="808080"/>
            </w:tcBorders>
            <w:shd w:val="clear" w:color="auto" w:fill="auto"/>
            <w:vAlign w:val="center"/>
          </w:tcPr>
          <w:p w14:paraId="70F9F18E" w14:textId="77777777" w:rsidR="0046336D" w:rsidRPr="00C61EAA" w:rsidRDefault="0046336D" w:rsidP="0046336D">
            <w:pPr>
              <w:spacing w:after="0" w:line="240" w:lineRule="auto"/>
              <w:ind w:right="365"/>
              <w:jc w:val="right"/>
              <w:rPr>
                <w:rFonts w:ascii="Montserrat" w:eastAsia="Calibri" w:hAnsi="Montserrat" w:cs="Arial"/>
                <w:sz w:val="4"/>
                <w:szCs w:val="4"/>
                <w:lang w:val="es-ES" w:eastAsia="es-MX"/>
              </w:rPr>
            </w:pPr>
          </w:p>
        </w:tc>
        <w:tc>
          <w:tcPr>
            <w:tcW w:w="916" w:type="pct"/>
            <w:tcBorders>
              <w:bottom w:val="single" w:sz="12" w:space="0" w:color="808080"/>
            </w:tcBorders>
            <w:shd w:val="clear" w:color="auto" w:fill="auto"/>
            <w:vAlign w:val="center"/>
          </w:tcPr>
          <w:p w14:paraId="3FB4C2E1" w14:textId="77777777" w:rsidR="0046336D" w:rsidRPr="00C61EAA" w:rsidRDefault="0046336D" w:rsidP="0046336D">
            <w:pPr>
              <w:spacing w:after="0" w:line="240" w:lineRule="auto"/>
              <w:ind w:right="471"/>
              <w:jc w:val="right"/>
              <w:rPr>
                <w:rFonts w:ascii="Montserrat" w:eastAsia="Calibri" w:hAnsi="Montserrat" w:cs="Arial"/>
                <w:sz w:val="4"/>
                <w:szCs w:val="4"/>
                <w:lang w:val="es-ES" w:eastAsia="es-MX"/>
              </w:rPr>
            </w:pPr>
          </w:p>
        </w:tc>
        <w:tc>
          <w:tcPr>
            <w:tcW w:w="767" w:type="pct"/>
            <w:gridSpan w:val="2"/>
            <w:tcBorders>
              <w:bottom w:val="single" w:sz="12" w:space="0" w:color="808080"/>
            </w:tcBorders>
            <w:shd w:val="clear" w:color="auto" w:fill="auto"/>
            <w:vAlign w:val="center"/>
          </w:tcPr>
          <w:p w14:paraId="14A519F7" w14:textId="77777777" w:rsidR="0046336D" w:rsidRPr="00C61EAA" w:rsidRDefault="0046336D" w:rsidP="0046336D">
            <w:pPr>
              <w:spacing w:after="0" w:line="240" w:lineRule="auto"/>
              <w:ind w:right="427"/>
              <w:jc w:val="right"/>
              <w:rPr>
                <w:rFonts w:ascii="Montserrat" w:eastAsia="Calibri" w:hAnsi="Montserrat" w:cs="Arial"/>
                <w:sz w:val="4"/>
                <w:szCs w:val="4"/>
                <w:lang w:val="es-ES" w:eastAsia="es-MX"/>
              </w:rPr>
            </w:pPr>
          </w:p>
        </w:tc>
      </w:tr>
      <w:tr w:rsidR="0046336D" w:rsidRPr="00C61EAA" w14:paraId="43D43D99" w14:textId="77777777" w:rsidTr="0046336D">
        <w:trPr>
          <w:trHeight w:val="237"/>
          <w:jc w:val="center"/>
        </w:trPr>
        <w:tc>
          <w:tcPr>
            <w:tcW w:w="1684" w:type="pct"/>
            <w:tcBorders>
              <w:top w:val="single" w:sz="12" w:space="0" w:color="808080"/>
            </w:tcBorders>
            <w:shd w:val="clear" w:color="auto" w:fill="FFFFFF" w:themeFill="background1"/>
            <w:vAlign w:val="center"/>
            <w:hideMark/>
          </w:tcPr>
          <w:p w14:paraId="21325316" w14:textId="77777777" w:rsidR="0046336D" w:rsidRPr="00C61EAA" w:rsidRDefault="0046336D" w:rsidP="00A671A4">
            <w:pPr>
              <w:spacing w:after="0" w:line="240" w:lineRule="exact"/>
              <w:jc w:val="both"/>
              <w:rPr>
                <w:rFonts w:ascii="Arial" w:eastAsia="Calibri" w:hAnsi="Arial" w:cs="Arial"/>
                <w:sz w:val="16"/>
                <w:szCs w:val="16"/>
                <w:lang w:val="es-ES" w:eastAsia="es-MX"/>
              </w:rPr>
            </w:pPr>
            <w:r w:rsidRPr="00C61EAA">
              <w:rPr>
                <w:rFonts w:ascii="Arial" w:eastAsia="Calibri" w:hAnsi="Arial" w:cs="Arial"/>
                <w:sz w:val="16"/>
                <w:szCs w:val="16"/>
                <w:lang w:val="es-ES" w:eastAsia="es-MX"/>
              </w:rPr>
              <w:t xml:space="preserve">PIB (crecimiento % real) </w:t>
            </w:r>
          </w:p>
        </w:tc>
        <w:tc>
          <w:tcPr>
            <w:tcW w:w="807" w:type="pct"/>
            <w:tcBorders>
              <w:top w:val="single" w:sz="12" w:space="0" w:color="808080"/>
            </w:tcBorders>
            <w:shd w:val="clear" w:color="auto" w:fill="FFFFFF" w:themeFill="background1"/>
            <w:vAlign w:val="center"/>
            <w:hideMark/>
          </w:tcPr>
          <w:p w14:paraId="22AA3C6D" w14:textId="77777777" w:rsidR="0046336D" w:rsidRPr="00C61EAA" w:rsidRDefault="0046336D" w:rsidP="0046336D">
            <w:pPr>
              <w:spacing w:after="0" w:line="240" w:lineRule="exact"/>
              <w:ind w:right="48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[5.8, 6.8]</w:t>
            </w:r>
          </w:p>
        </w:tc>
        <w:tc>
          <w:tcPr>
            <w:tcW w:w="826" w:type="pct"/>
            <w:tcBorders>
              <w:top w:val="single" w:sz="12" w:space="0" w:color="808080"/>
            </w:tcBorders>
            <w:shd w:val="clear" w:color="auto" w:fill="FFFFFF" w:themeFill="background1"/>
            <w:vAlign w:val="center"/>
            <w:hideMark/>
          </w:tcPr>
          <w:p w14:paraId="77DCD55F" w14:textId="77777777" w:rsidR="0046336D" w:rsidRPr="00C61EAA" w:rsidRDefault="0046336D" w:rsidP="0046336D">
            <w:pPr>
              <w:spacing w:after="0" w:line="240" w:lineRule="exact"/>
              <w:ind w:right="365"/>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[3.6, 4.6]</w:t>
            </w:r>
          </w:p>
        </w:tc>
        <w:tc>
          <w:tcPr>
            <w:tcW w:w="916" w:type="pct"/>
            <w:tcBorders>
              <w:top w:val="single" w:sz="12" w:space="0" w:color="808080"/>
            </w:tcBorders>
            <w:shd w:val="clear" w:color="auto" w:fill="FFFFFF" w:themeFill="background1"/>
            <w:vAlign w:val="center"/>
            <w:hideMark/>
          </w:tcPr>
          <w:p w14:paraId="6DF28B0E" w14:textId="77777777" w:rsidR="0046336D" w:rsidRPr="00C61EAA" w:rsidRDefault="0046336D" w:rsidP="0046336D">
            <w:pPr>
              <w:spacing w:after="0" w:line="240" w:lineRule="exact"/>
              <w:ind w:right="471"/>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[3.6, 4.6]</w:t>
            </w:r>
          </w:p>
        </w:tc>
        <w:tc>
          <w:tcPr>
            <w:tcW w:w="767" w:type="pct"/>
            <w:gridSpan w:val="2"/>
            <w:tcBorders>
              <w:top w:val="single" w:sz="12" w:space="0" w:color="808080"/>
            </w:tcBorders>
            <w:shd w:val="clear" w:color="auto" w:fill="FFFFFF" w:themeFill="background1"/>
            <w:vAlign w:val="center"/>
            <w:hideMark/>
          </w:tcPr>
          <w:p w14:paraId="0CCD8782" w14:textId="77777777" w:rsidR="0046336D" w:rsidRPr="00C61EAA" w:rsidRDefault="0046336D" w:rsidP="0046336D">
            <w:pPr>
              <w:spacing w:after="0" w:line="240" w:lineRule="exact"/>
              <w:ind w:right="42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3.1</w:t>
            </w:r>
          </w:p>
        </w:tc>
      </w:tr>
      <w:tr w:rsidR="0046336D" w:rsidRPr="00C61EAA" w14:paraId="2529F2DB" w14:textId="77777777" w:rsidTr="0046336D">
        <w:trPr>
          <w:trHeight w:val="256"/>
          <w:jc w:val="center"/>
        </w:trPr>
        <w:tc>
          <w:tcPr>
            <w:tcW w:w="1684" w:type="pct"/>
            <w:shd w:val="clear" w:color="auto" w:fill="FFFFFF" w:themeFill="background1"/>
            <w:vAlign w:val="center"/>
            <w:hideMark/>
          </w:tcPr>
          <w:p w14:paraId="404BF956" w14:textId="77777777" w:rsidR="0046336D" w:rsidRPr="00C61EAA" w:rsidRDefault="0046336D" w:rsidP="00A671A4">
            <w:pPr>
              <w:spacing w:after="0" w:line="240" w:lineRule="exact"/>
              <w:jc w:val="both"/>
              <w:rPr>
                <w:rFonts w:ascii="Arial" w:eastAsia="Calibri" w:hAnsi="Arial" w:cs="Arial"/>
                <w:sz w:val="16"/>
                <w:szCs w:val="16"/>
                <w:lang w:val="es-ES" w:eastAsia="es-MX"/>
              </w:rPr>
            </w:pPr>
            <w:r w:rsidRPr="00C61EAA">
              <w:rPr>
                <w:rFonts w:ascii="Arial" w:eastAsia="Calibri" w:hAnsi="Arial" w:cs="Arial"/>
                <w:sz w:val="16"/>
                <w:szCs w:val="16"/>
                <w:lang w:val="es-ES" w:eastAsia="es-MX"/>
              </w:rPr>
              <w:t>PIB nominal (miles de millones de pesos)</w:t>
            </w:r>
          </w:p>
        </w:tc>
        <w:tc>
          <w:tcPr>
            <w:tcW w:w="807" w:type="pct"/>
            <w:shd w:val="clear" w:color="auto" w:fill="FFFFFF" w:themeFill="background1"/>
            <w:vAlign w:val="center"/>
          </w:tcPr>
          <w:p w14:paraId="3DA94184" w14:textId="77777777" w:rsidR="0046336D" w:rsidRPr="00C61EAA" w:rsidRDefault="0046336D" w:rsidP="0046336D">
            <w:pPr>
              <w:spacing w:after="0" w:line="240" w:lineRule="exact"/>
              <w:ind w:right="48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26,055.3</w:t>
            </w:r>
          </w:p>
        </w:tc>
        <w:tc>
          <w:tcPr>
            <w:tcW w:w="826" w:type="pct"/>
            <w:shd w:val="clear" w:color="auto" w:fill="FFFFFF" w:themeFill="background1"/>
            <w:vAlign w:val="center"/>
          </w:tcPr>
          <w:p w14:paraId="214346A9" w14:textId="77777777" w:rsidR="0046336D" w:rsidRPr="00C61EAA" w:rsidRDefault="0046336D" w:rsidP="0046336D">
            <w:pPr>
              <w:spacing w:after="0" w:line="240" w:lineRule="exact"/>
              <w:ind w:right="365"/>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28,129.3</w:t>
            </w:r>
          </w:p>
        </w:tc>
        <w:tc>
          <w:tcPr>
            <w:tcW w:w="916" w:type="pct"/>
            <w:shd w:val="clear" w:color="auto" w:fill="FFFFFF" w:themeFill="background1"/>
            <w:vAlign w:val="center"/>
          </w:tcPr>
          <w:p w14:paraId="2CFA95D7" w14:textId="77777777" w:rsidR="0046336D" w:rsidRPr="00C61EAA" w:rsidRDefault="0046336D" w:rsidP="0046336D">
            <w:pPr>
              <w:spacing w:after="0" w:line="240" w:lineRule="exact"/>
              <w:ind w:right="471"/>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28,129.3</w:t>
            </w:r>
          </w:p>
        </w:tc>
        <w:tc>
          <w:tcPr>
            <w:tcW w:w="767" w:type="pct"/>
            <w:gridSpan w:val="2"/>
            <w:shd w:val="clear" w:color="auto" w:fill="FFFFFF" w:themeFill="background1"/>
            <w:vAlign w:val="center"/>
          </w:tcPr>
          <w:p w14:paraId="245327C8" w14:textId="77777777" w:rsidR="0046336D" w:rsidRPr="00C61EAA" w:rsidRDefault="0046336D" w:rsidP="0046336D">
            <w:pPr>
              <w:spacing w:after="0" w:line="240" w:lineRule="exact"/>
              <w:ind w:right="42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28,463.8</w:t>
            </w:r>
          </w:p>
        </w:tc>
      </w:tr>
      <w:tr w:rsidR="0046336D" w:rsidRPr="00C61EAA" w14:paraId="68EC175D" w14:textId="77777777" w:rsidTr="0046336D">
        <w:trPr>
          <w:trHeight w:val="494"/>
          <w:jc w:val="center"/>
        </w:trPr>
        <w:tc>
          <w:tcPr>
            <w:tcW w:w="1684" w:type="pct"/>
            <w:shd w:val="clear" w:color="auto" w:fill="FFFFFF" w:themeFill="background1"/>
            <w:vAlign w:val="center"/>
          </w:tcPr>
          <w:p w14:paraId="5556952C" w14:textId="77777777" w:rsidR="0046336D" w:rsidRPr="00C61EAA" w:rsidRDefault="0046336D" w:rsidP="00A671A4">
            <w:pPr>
              <w:spacing w:after="0" w:line="240" w:lineRule="exact"/>
              <w:jc w:val="both"/>
              <w:rPr>
                <w:rFonts w:ascii="Arial" w:eastAsia="Calibri" w:hAnsi="Arial" w:cs="Arial"/>
                <w:sz w:val="16"/>
                <w:szCs w:val="16"/>
                <w:lang w:val="es-ES" w:eastAsia="es-MX"/>
              </w:rPr>
            </w:pPr>
            <w:r w:rsidRPr="00C61EAA">
              <w:rPr>
                <w:rFonts w:ascii="Arial" w:eastAsia="Calibri" w:hAnsi="Arial" w:cs="Arial"/>
                <w:sz w:val="16"/>
                <w:szCs w:val="16"/>
                <w:lang w:val="es-ES" w:eastAsia="es-MX"/>
              </w:rPr>
              <w:t>Deflactor del PIB (crecimiento anual promedio %)</w:t>
            </w:r>
          </w:p>
        </w:tc>
        <w:tc>
          <w:tcPr>
            <w:tcW w:w="807" w:type="pct"/>
            <w:shd w:val="clear" w:color="auto" w:fill="FFFFFF" w:themeFill="background1"/>
            <w:vAlign w:val="center"/>
          </w:tcPr>
          <w:p w14:paraId="75A59C1D" w14:textId="77777777" w:rsidR="0046336D" w:rsidRPr="00C61EAA" w:rsidRDefault="0046336D" w:rsidP="0046336D">
            <w:pPr>
              <w:spacing w:after="0" w:line="240" w:lineRule="exact"/>
              <w:ind w:right="48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6.2</w:t>
            </w:r>
          </w:p>
        </w:tc>
        <w:tc>
          <w:tcPr>
            <w:tcW w:w="826" w:type="pct"/>
            <w:shd w:val="clear" w:color="auto" w:fill="FFFFFF" w:themeFill="background1"/>
            <w:vAlign w:val="center"/>
          </w:tcPr>
          <w:p w14:paraId="6D62EA49" w14:textId="77777777" w:rsidR="0046336D" w:rsidRPr="00C61EAA" w:rsidRDefault="0046336D" w:rsidP="0046336D">
            <w:pPr>
              <w:spacing w:after="0" w:line="240" w:lineRule="exact"/>
              <w:ind w:right="365"/>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3.7</w:t>
            </w:r>
          </w:p>
        </w:tc>
        <w:tc>
          <w:tcPr>
            <w:tcW w:w="916" w:type="pct"/>
            <w:shd w:val="clear" w:color="auto" w:fill="FFFFFF" w:themeFill="background1"/>
            <w:vAlign w:val="center"/>
          </w:tcPr>
          <w:p w14:paraId="06C2E623" w14:textId="77777777" w:rsidR="0046336D" w:rsidRPr="00C61EAA" w:rsidRDefault="0046336D" w:rsidP="0046336D">
            <w:pPr>
              <w:spacing w:after="0" w:line="240" w:lineRule="exact"/>
              <w:ind w:right="471"/>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3.7</w:t>
            </w:r>
          </w:p>
        </w:tc>
        <w:tc>
          <w:tcPr>
            <w:tcW w:w="767" w:type="pct"/>
            <w:gridSpan w:val="2"/>
            <w:shd w:val="clear" w:color="auto" w:fill="FFFFFF" w:themeFill="background1"/>
            <w:vAlign w:val="center"/>
          </w:tcPr>
          <w:p w14:paraId="7E038AAD" w14:textId="77777777" w:rsidR="0046336D" w:rsidRPr="00C61EAA" w:rsidRDefault="0046336D" w:rsidP="0046336D">
            <w:pPr>
              <w:spacing w:after="0" w:line="240" w:lineRule="exact"/>
              <w:ind w:right="42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7.0</w:t>
            </w:r>
          </w:p>
        </w:tc>
      </w:tr>
      <w:tr w:rsidR="0046336D" w:rsidRPr="00C61EAA" w14:paraId="53A7E779" w14:textId="77777777" w:rsidTr="0046336D">
        <w:trPr>
          <w:trHeight w:val="237"/>
          <w:jc w:val="center"/>
        </w:trPr>
        <w:tc>
          <w:tcPr>
            <w:tcW w:w="1684" w:type="pct"/>
            <w:shd w:val="clear" w:color="auto" w:fill="FFFFFF" w:themeFill="background1"/>
            <w:vAlign w:val="center"/>
            <w:hideMark/>
          </w:tcPr>
          <w:p w14:paraId="44494930" w14:textId="77777777" w:rsidR="0046336D" w:rsidRPr="00C61EAA" w:rsidRDefault="0046336D" w:rsidP="00A671A4">
            <w:pPr>
              <w:spacing w:after="0" w:line="240" w:lineRule="exact"/>
              <w:jc w:val="both"/>
              <w:rPr>
                <w:rFonts w:ascii="Arial" w:eastAsia="Calibri" w:hAnsi="Arial" w:cs="Arial"/>
                <w:sz w:val="16"/>
                <w:szCs w:val="16"/>
                <w:lang w:val="es-ES" w:eastAsia="es-MX"/>
              </w:rPr>
            </w:pPr>
            <w:r w:rsidRPr="00C61EAA">
              <w:rPr>
                <w:rFonts w:ascii="Arial" w:eastAsia="Calibri" w:hAnsi="Arial" w:cs="Arial"/>
                <w:sz w:val="16"/>
                <w:szCs w:val="16"/>
                <w:lang w:val="es-ES" w:eastAsia="es-MX"/>
              </w:rPr>
              <w:t>Inflación (INPC) dic.-dic. (%)</w:t>
            </w:r>
          </w:p>
        </w:tc>
        <w:tc>
          <w:tcPr>
            <w:tcW w:w="807" w:type="pct"/>
            <w:shd w:val="clear" w:color="auto" w:fill="FFFFFF" w:themeFill="background1"/>
            <w:vAlign w:val="center"/>
          </w:tcPr>
          <w:p w14:paraId="4A89A0AF" w14:textId="77777777" w:rsidR="0046336D" w:rsidRPr="00C61EAA" w:rsidRDefault="0046336D" w:rsidP="0046336D">
            <w:pPr>
              <w:spacing w:after="0" w:line="240" w:lineRule="exact"/>
              <w:ind w:right="48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5.7</w:t>
            </w:r>
          </w:p>
        </w:tc>
        <w:tc>
          <w:tcPr>
            <w:tcW w:w="826" w:type="pct"/>
            <w:shd w:val="clear" w:color="auto" w:fill="FFFFFF" w:themeFill="background1"/>
            <w:vAlign w:val="center"/>
          </w:tcPr>
          <w:p w14:paraId="1CE64925" w14:textId="77777777" w:rsidR="0046336D" w:rsidRPr="00C61EAA" w:rsidRDefault="0046336D" w:rsidP="0046336D">
            <w:pPr>
              <w:spacing w:after="0" w:line="240" w:lineRule="exact"/>
              <w:ind w:right="365"/>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3.4</w:t>
            </w:r>
          </w:p>
        </w:tc>
        <w:tc>
          <w:tcPr>
            <w:tcW w:w="916" w:type="pct"/>
            <w:shd w:val="clear" w:color="auto" w:fill="FFFFFF" w:themeFill="background1"/>
            <w:vAlign w:val="center"/>
          </w:tcPr>
          <w:p w14:paraId="4990D5AD" w14:textId="77777777" w:rsidR="0046336D" w:rsidRPr="00C61EAA" w:rsidRDefault="0046336D" w:rsidP="0046336D">
            <w:pPr>
              <w:spacing w:after="0" w:line="240" w:lineRule="exact"/>
              <w:ind w:right="471"/>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3.4</w:t>
            </w:r>
          </w:p>
        </w:tc>
        <w:tc>
          <w:tcPr>
            <w:tcW w:w="767" w:type="pct"/>
            <w:gridSpan w:val="2"/>
            <w:shd w:val="clear" w:color="auto" w:fill="FFFFFF" w:themeFill="background1"/>
            <w:vAlign w:val="center"/>
          </w:tcPr>
          <w:p w14:paraId="54622164" w14:textId="77777777" w:rsidR="0046336D" w:rsidRPr="00C61EAA" w:rsidRDefault="0046336D" w:rsidP="0046336D">
            <w:pPr>
              <w:spacing w:after="0" w:line="240" w:lineRule="exact"/>
              <w:ind w:right="42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7.8</w:t>
            </w:r>
          </w:p>
        </w:tc>
      </w:tr>
      <w:tr w:rsidR="0046336D" w:rsidRPr="00C61EAA" w14:paraId="77180160" w14:textId="77777777" w:rsidTr="0046336D">
        <w:trPr>
          <w:trHeight w:val="256"/>
          <w:jc w:val="center"/>
        </w:trPr>
        <w:tc>
          <w:tcPr>
            <w:tcW w:w="1684" w:type="pct"/>
            <w:shd w:val="clear" w:color="auto" w:fill="FFFFFF" w:themeFill="background1"/>
            <w:vAlign w:val="center"/>
            <w:hideMark/>
          </w:tcPr>
          <w:p w14:paraId="6B67E73E" w14:textId="77777777" w:rsidR="0046336D" w:rsidRPr="00C61EAA" w:rsidRDefault="0046336D" w:rsidP="00A671A4">
            <w:pPr>
              <w:spacing w:after="0" w:line="240" w:lineRule="exact"/>
              <w:jc w:val="both"/>
              <w:rPr>
                <w:rFonts w:ascii="Arial" w:eastAsia="Calibri" w:hAnsi="Arial" w:cs="Arial"/>
                <w:sz w:val="16"/>
                <w:szCs w:val="16"/>
                <w:lang w:val="es-ES" w:eastAsia="es-MX"/>
              </w:rPr>
            </w:pPr>
            <w:r w:rsidRPr="00C61EAA">
              <w:rPr>
                <w:rFonts w:ascii="Arial" w:eastAsia="Calibri" w:hAnsi="Arial" w:cs="Arial"/>
                <w:sz w:val="16"/>
                <w:szCs w:val="16"/>
                <w:lang w:val="es-ES" w:eastAsia="es-MX"/>
              </w:rPr>
              <w:t xml:space="preserve">Tasa de interés nominal promedio </w:t>
            </w:r>
            <w:r w:rsidRPr="00755A45">
              <w:rPr>
                <w:rFonts w:ascii="Arial" w:eastAsia="Calibri" w:hAnsi="Arial" w:cs="Arial"/>
                <w:sz w:val="16"/>
                <w:szCs w:val="16"/>
                <w:lang w:val="es-ES" w:eastAsia="es-MX"/>
              </w:rPr>
              <w:t>(%)</w:t>
            </w:r>
            <w:r w:rsidRPr="00755A45">
              <w:rPr>
                <w:rFonts w:ascii="Arial" w:eastAsia="Calibri" w:hAnsi="Arial" w:cs="Arial"/>
                <w:sz w:val="16"/>
                <w:szCs w:val="16"/>
                <w:vertAlign w:val="superscript"/>
                <w:lang w:val="es-ES" w:eastAsia="es-MX"/>
              </w:rPr>
              <w:t>1/</w:t>
            </w:r>
          </w:p>
        </w:tc>
        <w:tc>
          <w:tcPr>
            <w:tcW w:w="807" w:type="pct"/>
            <w:shd w:val="clear" w:color="auto" w:fill="FFFFFF" w:themeFill="background1"/>
            <w:vAlign w:val="center"/>
          </w:tcPr>
          <w:p w14:paraId="0C1F3102" w14:textId="77777777" w:rsidR="0046336D" w:rsidRPr="00C61EAA" w:rsidRDefault="0046336D" w:rsidP="0046336D">
            <w:pPr>
              <w:spacing w:after="0" w:line="240" w:lineRule="exact"/>
              <w:ind w:right="48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4.3</w:t>
            </w:r>
          </w:p>
        </w:tc>
        <w:tc>
          <w:tcPr>
            <w:tcW w:w="826" w:type="pct"/>
            <w:shd w:val="clear" w:color="auto" w:fill="FFFFFF" w:themeFill="background1"/>
            <w:vAlign w:val="center"/>
          </w:tcPr>
          <w:p w14:paraId="23A7DA64" w14:textId="77777777" w:rsidR="0046336D" w:rsidRPr="00C61EAA" w:rsidRDefault="0046336D" w:rsidP="0046336D">
            <w:pPr>
              <w:spacing w:after="0" w:line="240" w:lineRule="exact"/>
              <w:ind w:right="365"/>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5.0</w:t>
            </w:r>
          </w:p>
        </w:tc>
        <w:tc>
          <w:tcPr>
            <w:tcW w:w="916" w:type="pct"/>
            <w:shd w:val="clear" w:color="auto" w:fill="FFFFFF" w:themeFill="background1"/>
            <w:vAlign w:val="center"/>
          </w:tcPr>
          <w:p w14:paraId="7971FECC" w14:textId="77777777" w:rsidR="0046336D" w:rsidRPr="00C61EAA" w:rsidRDefault="0046336D" w:rsidP="0046336D">
            <w:pPr>
              <w:spacing w:after="0" w:line="240" w:lineRule="exact"/>
              <w:ind w:right="471"/>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5.0</w:t>
            </w:r>
          </w:p>
        </w:tc>
        <w:tc>
          <w:tcPr>
            <w:tcW w:w="767" w:type="pct"/>
            <w:gridSpan w:val="2"/>
            <w:shd w:val="clear" w:color="auto" w:fill="FFFFFF" w:themeFill="background1"/>
            <w:vAlign w:val="center"/>
          </w:tcPr>
          <w:p w14:paraId="2548DB76" w14:textId="77777777" w:rsidR="0046336D" w:rsidRPr="00C61EAA" w:rsidRDefault="0046336D" w:rsidP="0046336D">
            <w:pPr>
              <w:spacing w:after="0" w:line="240" w:lineRule="exact"/>
              <w:ind w:right="427"/>
              <w:jc w:val="right"/>
              <w:rPr>
                <w:rFonts w:ascii="Arial" w:eastAsia="Calibri" w:hAnsi="Arial" w:cs="Arial"/>
                <w:color w:val="000000"/>
                <w:sz w:val="16"/>
                <w:szCs w:val="16"/>
                <w:lang w:val="es-ES" w:eastAsia="es-MX"/>
              </w:rPr>
            </w:pPr>
            <w:r w:rsidRPr="00C61EAA">
              <w:rPr>
                <w:rFonts w:ascii="Arial" w:eastAsia="Calibri" w:hAnsi="Arial" w:cs="Arial"/>
                <w:color w:val="000000"/>
                <w:sz w:val="16"/>
                <w:szCs w:val="16"/>
                <w:lang w:val="es-ES" w:eastAsia="es-MX"/>
              </w:rPr>
              <w:t>7.7</w:t>
            </w:r>
          </w:p>
        </w:tc>
      </w:tr>
      <w:tr w:rsidR="0046336D" w:rsidRPr="00C61EAA" w14:paraId="18E474FD" w14:textId="77777777" w:rsidTr="0046336D">
        <w:trPr>
          <w:trHeight w:val="237"/>
          <w:jc w:val="center"/>
        </w:trPr>
        <w:tc>
          <w:tcPr>
            <w:tcW w:w="1684" w:type="pct"/>
            <w:shd w:val="clear" w:color="auto" w:fill="FFFFFF" w:themeFill="background1"/>
            <w:vAlign w:val="center"/>
            <w:hideMark/>
          </w:tcPr>
          <w:p w14:paraId="6EF9B2F6" w14:textId="77777777" w:rsidR="0046336D" w:rsidRPr="00C61EAA" w:rsidRDefault="0046336D" w:rsidP="00A671A4">
            <w:pPr>
              <w:spacing w:after="0" w:line="240" w:lineRule="exact"/>
              <w:jc w:val="both"/>
              <w:rPr>
                <w:rFonts w:ascii="Arial" w:eastAsia="Calibri" w:hAnsi="Arial" w:cs="Arial"/>
                <w:sz w:val="16"/>
                <w:szCs w:val="16"/>
                <w:lang w:val="es-ES" w:eastAsia="es-MX"/>
              </w:rPr>
            </w:pPr>
            <w:r w:rsidRPr="00C61EAA">
              <w:rPr>
                <w:rFonts w:ascii="Arial" w:eastAsia="Calibri" w:hAnsi="Arial" w:cs="Arial"/>
                <w:sz w:val="16"/>
                <w:szCs w:val="16"/>
                <w:lang w:val="es-ES" w:eastAsia="es-MX"/>
              </w:rPr>
              <w:t>Tipo de cambio nominal promedio</w:t>
            </w:r>
            <w:r w:rsidRPr="00C61EAA">
              <w:rPr>
                <w:rFonts w:ascii="Arial" w:eastAsia="Calibri" w:hAnsi="Arial" w:cs="Arial"/>
                <w:sz w:val="16"/>
                <w:szCs w:val="16"/>
                <w:vertAlign w:val="superscript"/>
                <w:lang w:val="es-ES" w:eastAsia="es-MX"/>
              </w:rPr>
              <w:t>2/</w:t>
            </w:r>
          </w:p>
        </w:tc>
        <w:tc>
          <w:tcPr>
            <w:tcW w:w="807" w:type="pct"/>
            <w:shd w:val="clear" w:color="auto" w:fill="FFFFFF" w:themeFill="background1"/>
            <w:vAlign w:val="center"/>
          </w:tcPr>
          <w:p w14:paraId="7C538791" w14:textId="77777777" w:rsidR="0046336D" w:rsidRPr="00C61EAA" w:rsidRDefault="0046336D" w:rsidP="0046336D">
            <w:pPr>
              <w:spacing w:after="0" w:line="240" w:lineRule="exact"/>
              <w:ind w:right="48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20.1</w:t>
            </w:r>
          </w:p>
        </w:tc>
        <w:tc>
          <w:tcPr>
            <w:tcW w:w="826" w:type="pct"/>
            <w:shd w:val="clear" w:color="auto" w:fill="FFFFFF" w:themeFill="background1"/>
            <w:vAlign w:val="center"/>
          </w:tcPr>
          <w:p w14:paraId="2B84BDCA" w14:textId="77777777" w:rsidR="0046336D" w:rsidRPr="00C61EAA" w:rsidRDefault="0046336D" w:rsidP="0046336D">
            <w:pPr>
              <w:spacing w:after="0" w:line="240" w:lineRule="exact"/>
              <w:ind w:right="365"/>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20.3</w:t>
            </w:r>
          </w:p>
        </w:tc>
        <w:tc>
          <w:tcPr>
            <w:tcW w:w="916" w:type="pct"/>
            <w:shd w:val="clear" w:color="auto" w:fill="FFFFFF" w:themeFill="background1"/>
            <w:vAlign w:val="center"/>
          </w:tcPr>
          <w:p w14:paraId="1E71A874" w14:textId="77777777" w:rsidR="0046336D" w:rsidRPr="00C61EAA" w:rsidRDefault="0046336D" w:rsidP="0046336D">
            <w:pPr>
              <w:spacing w:after="0" w:line="240" w:lineRule="exact"/>
              <w:ind w:right="471"/>
              <w:jc w:val="right"/>
              <w:rPr>
                <w:rFonts w:ascii="Arial" w:eastAsia="Calibri" w:hAnsi="Arial" w:cs="Arial"/>
                <w:sz w:val="16"/>
                <w:szCs w:val="16"/>
                <w:highlight w:val="yellow"/>
                <w:lang w:val="es-ES" w:eastAsia="es-MX"/>
              </w:rPr>
            </w:pPr>
            <w:r w:rsidRPr="00C61EAA">
              <w:rPr>
                <w:rFonts w:ascii="Arial" w:eastAsia="Calibri" w:hAnsi="Arial" w:cs="Arial"/>
                <w:sz w:val="16"/>
                <w:szCs w:val="16"/>
                <w:lang w:val="es-ES" w:eastAsia="es-MX"/>
              </w:rPr>
              <w:t>20.3</w:t>
            </w:r>
          </w:p>
        </w:tc>
        <w:tc>
          <w:tcPr>
            <w:tcW w:w="767" w:type="pct"/>
            <w:gridSpan w:val="2"/>
            <w:shd w:val="clear" w:color="auto" w:fill="FFFFFF" w:themeFill="background1"/>
            <w:vAlign w:val="center"/>
          </w:tcPr>
          <w:p w14:paraId="09583B37" w14:textId="77777777" w:rsidR="0046336D" w:rsidRPr="00C61EAA" w:rsidRDefault="0046336D" w:rsidP="0046336D">
            <w:pPr>
              <w:spacing w:after="0" w:line="240" w:lineRule="exact"/>
              <w:ind w:right="42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20.1</w:t>
            </w:r>
          </w:p>
        </w:tc>
      </w:tr>
      <w:tr w:rsidR="0046336D" w:rsidRPr="00C61EAA" w14:paraId="3D7E2DFE" w14:textId="77777777" w:rsidTr="0046336D">
        <w:trPr>
          <w:trHeight w:val="256"/>
          <w:jc w:val="center"/>
        </w:trPr>
        <w:tc>
          <w:tcPr>
            <w:tcW w:w="1684" w:type="pct"/>
            <w:shd w:val="clear" w:color="auto" w:fill="FFFFFF" w:themeFill="background1"/>
            <w:vAlign w:val="center"/>
            <w:hideMark/>
          </w:tcPr>
          <w:p w14:paraId="0F68D6BE" w14:textId="77777777" w:rsidR="0046336D" w:rsidRPr="00C61EAA" w:rsidRDefault="0046336D" w:rsidP="00A671A4">
            <w:pPr>
              <w:spacing w:after="0" w:line="240" w:lineRule="exact"/>
              <w:jc w:val="both"/>
              <w:rPr>
                <w:rFonts w:ascii="Arial" w:eastAsia="Calibri" w:hAnsi="Arial" w:cs="Arial"/>
                <w:sz w:val="16"/>
                <w:szCs w:val="16"/>
                <w:lang w:val="es-ES" w:eastAsia="es-MX"/>
              </w:rPr>
            </w:pPr>
            <w:r w:rsidRPr="00C61EAA">
              <w:rPr>
                <w:rFonts w:ascii="Arial" w:eastAsia="Calibri" w:hAnsi="Arial" w:cs="Arial"/>
                <w:sz w:val="16"/>
                <w:szCs w:val="16"/>
                <w:lang w:val="es-ES" w:eastAsia="es-MX"/>
              </w:rPr>
              <w:t>Cuenta corriente (% del PIB)</w:t>
            </w:r>
          </w:p>
        </w:tc>
        <w:tc>
          <w:tcPr>
            <w:tcW w:w="807" w:type="pct"/>
            <w:shd w:val="clear" w:color="auto" w:fill="FFFFFF" w:themeFill="background1"/>
            <w:vAlign w:val="center"/>
          </w:tcPr>
          <w:p w14:paraId="4402FFC7" w14:textId="77777777" w:rsidR="0046336D" w:rsidRPr="00C61EAA" w:rsidRDefault="0046336D" w:rsidP="0046336D">
            <w:pPr>
              <w:spacing w:after="0" w:line="240" w:lineRule="exact"/>
              <w:ind w:right="48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0.1</w:t>
            </w:r>
          </w:p>
        </w:tc>
        <w:tc>
          <w:tcPr>
            <w:tcW w:w="826" w:type="pct"/>
            <w:shd w:val="clear" w:color="auto" w:fill="FFFFFF" w:themeFill="background1"/>
            <w:vAlign w:val="center"/>
          </w:tcPr>
          <w:p w14:paraId="421B5D72" w14:textId="77777777" w:rsidR="0046336D" w:rsidRPr="00C61EAA" w:rsidRDefault="0046336D" w:rsidP="0046336D">
            <w:pPr>
              <w:spacing w:after="0" w:line="240" w:lineRule="exact"/>
              <w:ind w:right="365"/>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-0.4</w:t>
            </w:r>
          </w:p>
        </w:tc>
        <w:tc>
          <w:tcPr>
            <w:tcW w:w="916" w:type="pct"/>
            <w:shd w:val="clear" w:color="auto" w:fill="FFFFFF" w:themeFill="background1"/>
            <w:vAlign w:val="center"/>
          </w:tcPr>
          <w:p w14:paraId="2EDCA453" w14:textId="77777777" w:rsidR="0046336D" w:rsidRPr="00C61EAA" w:rsidRDefault="0046336D" w:rsidP="0046336D">
            <w:pPr>
              <w:spacing w:after="0" w:line="240" w:lineRule="exact"/>
              <w:ind w:right="471"/>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-0.4</w:t>
            </w:r>
          </w:p>
        </w:tc>
        <w:tc>
          <w:tcPr>
            <w:tcW w:w="767" w:type="pct"/>
            <w:gridSpan w:val="2"/>
            <w:shd w:val="clear" w:color="auto" w:fill="FFFFFF" w:themeFill="background1"/>
            <w:vAlign w:val="center"/>
          </w:tcPr>
          <w:p w14:paraId="6198C9AF" w14:textId="77777777" w:rsidR="0046336D" w:rsidRPr="00C61EAA" w:rsidRDefault="0046336D" w:rsidP="0046336D">
            <w:pPr>
              <w:spacing w:after="0" w:line="240" w:lineRule="exact"/>
              <w:ind w:right="42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-0.9</w:t>
            </w:r>
          </w:p>
        </w:tc>
      </w:tr>
      <w:tr w:rsidR="0046336D" w:rsidRPr="00C61EAA" w14:paraId="3F63B715" w14:textId="77777777" w:rsidTr="0046336D">
        <w:trPr>
          <w:trHeight w:val="237"/>
          <w:jc w:val="center"/>
        </w:trPr>
        <w:tc>
          <w:tcPr>
            <w:tcW w:w="1684" w:type="pct"/>
            <w:shd w:val="clear" w:color="auto" w:fill="FFFFFF" w:themeFill="background1"/>
            <w:vAlign w:val="center"/>
            <w:hideMark/>
          </w:tcPr>
          <w:p w14:paraId="2CB746EF" w14:textId="77777777" w:rsidR="0046336D" w:rsidRPr="00C61EAA" w:rsidRDefault="0046336D" w:rsidP="00A671A4">
            <w:pPr>
              <w:spacing w:after="0" w:line="240" w:lineRule="exact"/>
              <w:jc w:val="both"/>
              <w:rPr>
                <w:rFonts w:ascii="Arial" w:eastAsia="Calibri" w:hAnsi="Arial" w:cs="Arial"/>
                <w:sz w:val="16"/>
                <w:szCs w:val="16"/>
                <w:lang w:val="es-ES" w:eastAsia="es-MX"/>
              </w:rPr>
            </w:pPr>
            <w:r w:rsidRPr="00C61EAA">
              <w:rPr>
                <w:rFonts w:ascii="Arial" w:eastAsia="Calibri" w:hAnsi="Arial" w:cs="Arial"/>
                <w:sz w:val="16"/>
                <w:szCs w:val="16"/>
                <w:lang w:val="es-ES" w:eastAsia="es-MX"/>
              </w:rPr>
              <w:t>Precio promedio del petróleo (dpb)</w:t>
            </w:r>
            <w:r w:rsidRPr="00C61EAA">
              <w:rPr>
                <w:rFonts w:ascii="Arial" w:eastAsia="Calibri" w:hAnsi="Arial" w:cs="Arial"/>
                <w:sz w:val="16"/>
                <w:szCs w:val="16"/>
                <w:vertAlign w:val="superscript"/>
                <w:lang w:val="es-ES" w:eastAsia="es-MX"/>
              </w:rPr>
              <w:t>3/</w:t>
            </w:r>
          </w:p>
        </w:tc>
        <w:tc>
          <w:tcPr>
            <w:tcW w:w="807" w:type="pct"/>
            <w:shd w:val="clear" w:color="auto" w:fill="FFFFFF" w:themeFill="background1"/>
            <w:vAlign w:val="center"/>
          </w:tcPr>
          <w:p w14:paraId="0E291A9D" w14:textId="77777777" w:rsidR="0046336D" w:rsidRPr="00C61EAA" w:rsidRDefault="0046336D" w:rsidP="0046336D">
            <w:pPr>
              <w:spacing w:after="0" w:line="240" w:lineRule="exact"/>
              <w:ind w:right="48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60.6</w:t>
            </w:r>
          </w:p>
        </w:tc>
        <w:tc>
          <w:tcPr>
            <w:tcW w:w="826" w:type="pct"/>
            <w:shd w:val="clear" w:color="auto" w:fill="FFFFFF" w:themeFill="background1"/>
            <w:vAlign w:val="center"/>
          </w:tcPr>
          <w:p w14:paraId="59EEC011" w14:textId="77777777" w:rsidR="0046336D" w:rsidRPr="00C61EAA" w:rsidRDefault="0046336D" w:rsidP="0046336D">
            <w:pPr>
              <w:spacing w:after="0" w:line="240" w:lineRule="exact"/>
              <w:ind w:right="365"/>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55.1</w:t>
            </w:r>
          </w:p>
        </w:tc>
        <w:tc>
          <w:tcPr>
            <w:tcW w:w="916" w:type="pct"/>
            <w:shd w:val="clear" w:color="auto" w:fill="FFFFFF" w:themeFill="background1"/>
            <w:vAlign w:val="center"/>
          </w:tcPr>
          <w:p w14:paraId="374B2D82" w14:textId="77777777" w:rsidR="0046336D" w:rsidRPr="00C61EAA" w:rsidRDefault="0046336D" w:rsidP="0046336D">
            <w:pPr>
              <w:spacing w:after="0" w:line="240" w:lineRule="exact"/>
              <w:ind w:right="471"/>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55.1</w:t>
            </w:r>
          </w:p>
        </w:tc>
        <w:tc>
          <w:tcPr>
            <w:tcW w:w="767" w:type="pct"/>
            <w:gridSpan w:val="2"/>
            <w:shd w:val="clear" w:color="auto" w:fill="FFFFFF" w:themeFill="background1"/>
            <w:vAlign w:val="center"/>
          </w:tcPr>
          <w:p w14:paraId="5A1DAC31" w14:textId="77777777" w:rsidR="0046336D" w:rsidRPr="00C61EAA" w:rsidRDefault="0046336D" w:rsidP="0046336D">
            <w:pPr>
              <w:spacing w:after="0" w:line="240" w:lineRule="exact"/>
              <w:ind w:right="42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89.4</w:t>
            </w:r>
          </w:p>
        </w:tc>
      </w:tr>
      <w:tr w:rsidR="0046336D" w:rsidRPr="00C61EAA" w14:paraId="575B20ED" w14:textId="77777777" w:rsidTr="0046336D">
        <w:trPr>
          <w:trHeight w:val="256"/>
          <w:jc w:val="center"/>
        </w:trPr>
        <w:tc>
          <w:tcPr>
            <w:tcW w:w="1684" w:type="pct"/>
            <w:tcBorders>
              <w:bottom w:val="single" w:sz="12" w:space="0" w:color="808080"/>
            </w:tcBorders>
            <w:shd w:val="clear" w:color="auto" w:fill="FFFFFF" w:themeFill="background1"/>
            <w:vAlign w:val="center"/>
            <w:hideMark/>
          </w:tcPr>
          <w:p w14:paraId="6F736DF4" w14:textId="77777777" w:rsidR="0046336D" w:rsidRPr="00C61EAA" w:rsidRDefault="0046336D" w:rsidP="00A671A4">
            <w:pPr>
              <w:spacing w:after="0" w:line="240" w:lineRule="exact"/>
              <w:jc w:val="both"/>
              <w:rPr>
                <w:rFonts w:ascii="Arial" w:eastAsia="Calibri" w:hAnsi="Arial" w:cs="Arial"/>
                <w:sz w:val="16"/>
                <w:szCs w:val="16"/>
                <w:lang w:val="es-ES" w:eastAsia="es-MX"/>
              </w:rPr>
            </w:pPr>
            <w:r w:rsidRPr="00C61EAA">
              <w:rPr>
                <w:rFonts w:ascii="Arial" w:eastAsia="Calibri" w:hAnsi="Arial" w:cs="Arial"/>
                <w:sz w:val="16"/>
                <w:szCs w:val="16"/>
                <w:lang w:val="es-ES" w:eastAsia="es-MX"/>
              </w:rPr>
              <w:t>Plataforma de producción de petróleo (mbd)</w:t>
            </w:r>
            <w:r w:rsidRPr="00C61EAA">
              <w:rPr>
                <w:rFonts w:ascii="Arial" w:eastAsia="Calibri" w:hAnsi="Arial" w:cs="Arial"/>
                <w:sz w:val="16"/>
                <w:szCs w:val="16"/>
                <w:vertAlign w:val="superscript"/>
                <w:lang w:val="es-ES" w:eastAsia="es-MX"/>
              </w:rPr>
              <w:t>4/</w:t>
            </w:r>
          </w:p>
        </w:tc>
        <w:tc>
          <w:tcPr>
            <w:tcW w:w="807" w:type="pct"/>
            <w:tcBorders>
              <w:bottom w:val="single" w:sz="12" w:space="0" w:color="808080"/>
            </w:tcBorders>
            <w:shd w:val="clear" w:color="auto" w:fill="FFFFFF" w:themeFill="background1"/>
            <w:vAlign w:val="center"/>
          </w:tcPr>
          <w:p w14:paraId="3A4E14DD" w14:textId="77777777" w:rsidR="0046336D" w:rsidRPr="00C61EAA" w:rsidRDefault="0046336D" w:rsidP="0046336D">
            <w:pPr>
              <w:spacing w:after="0" w:line="240" w:lineRule="exact"/>
              <w:ind w:right="48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1,753</w:t>
            </w:r>
          </w:p>
        </w:tc>
        <w:tc>
          <w:tcPr>
            <w:tcW w:w="826" w:type="pct"/>
            <w:tcBorders>
              <w:bottom w:val="single" w:sz="12" w:space="0" w:color="808080"/>
            </w:tcBorders>
            <w:shd w:val="clear" w:color="auto" w:fill="FFFFFF" w:themeFill="background1"/>
            <w:vAlign w:val="center"/>
          </w:tcPr>
          <w:p w14:paraId="6083396D" w14:textId="77777777" w:rsidR="0046336D" w:rsidRPr="00C61EAA" w:rsidRDefault="0046336D" w:rsidP="0046336D">
            <w:pPr>
              <w:spacing w:after="0" w:line="240" w:lineRule="exact"/>
              <w:ind w:right="365"/>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1,826</w:t>
            </w:r>
          </w:p>
        </w:tc>
        <w:tc>
          <w:tcPr>
            <w:tcW w:w="916" w:type="pct"/>
            <w:tcBorders>
              <w:bottom w:val="single" w:sz="12" w:space="0" w:color="808080"/>
            </w:tcBorders>
            <w:shd w:val="clear" w:color="auto" w:fill="FFFFFF" w:themeFill="background1"/>
            <w:vAlign w:val="center"/>
          </w:tcPr>
          <w:p w14:paraId="253EEDF4" w14:textId="77777777" w:rsidR="0046336D" w:rsidRPr="00C61EAA" w:rsidRDefault="0046336D" w:rsidP="0046336D">
            <w:pPr>
              <w:spacing w:after="0" w:line="240" w:lineRule="exact"/>
              <w:ind w:right="471"/>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1,826</w:t>
            </w:r>
          </w:p>
        </w:tc>
        <w:tc>
          <w:tcPr>
            <w:tcW w:w="767" w:type="pct"/>
            <w:gridSpan w:val="2"/>
            <w:tcBorders>
              <w:bottom w:val="single" w:sz="12" w:space="0" w:color="808080"/>
            </w:tcBorders>
            <w:shd w:val="clear" w:color="auto" w:fill="FFFFFF" w:themeFill="background1"/>
            <w:vAlign w:val="center"/>
          </w:tcPr>
          <w:p w14:paraId="7A3B7DEF" w14:textId="77777777" w:rsidR="0046336D" w:rsidRPr="00C61EAA" w:rsidRDefault="0046336D" w:rsidP="0046336D">
            <w:pPr>
              <w:spacing w:after="0" w:line="240" w:lineRule="exact"/>
              <w:ind w:right="427"/>
              <w:jc w:val="right"/>
              <w:rPr>
                <w:rFonts w:ascii="Arial" w:eastAsia="Calibri" w:hAnsi="Arial" w:cs="Arial"/>
                <w:sz w:val="16"/>
                <w:szCs w:val="16"/>
                <w:lang w:val="es-ES" w:eastAsia="es-MX"/>
              </w:rPr>
            </w:pPr>
            <w:r w:rsidRPr="00C61EAA">
              <w:rPr>
                <w:rFonts w:ascii="Arial" w:eastAsia="Calibri" w:hAnsi="Arial" w:cs="Arial"/>
                <w:sz w:val="16"/>
                <w:szCs w:val="16"/>
                <w:lang w:val="es-ES" w:eastAsia="es-MX"/>
              </w:rPr>
              <w:t>1,849</w:t>
            </w:r>
          </w:p>
        </w:tc>
      </w:tr>
      <w:tr w:rsidR="0046336D" w:rsidRPr="00C61EAA" w14:paraId="7B3E74A0" w14:textId="77777777" w:rsidTr="0046336D">
        <w:trPr>
          <w:trHeight w:val="1390"/>
          <w:jc w:val="center"/>
        </w:trPr>
        <w:tc>
          <w:tcPr>
            <w:tcW w:w="5000" w:type="pct"/>
            <w:gridSpan w:val="6"/>
            <w:tcBorders>
              <w:top w:val="single" w:sz="12" w:space="0" w:color="808080"/>
              <w:left w:val="nil"/>
              <w:right w:val="nil"/>
            </w:tcBorders>
            <w:shd w:val="clear" w:color="auto" w:fill="auto"/>
            <w:vAlign w:val="center"/>
            <w:hideMark/>
          </w:tcPr>
          <w:p w14:paraId="5E0AFB8A" w14:textId="77777777" w:rsidR="0046336D" w:rsidRPr="00C61EAA" w:rsidRDefault="0046336D" w:rsidP="0046336D">
            <w:pPr>
              <w:spacing w:after="0" w:line="240" w:lineRule="auto"/>
              <w:ind w:left="227" w:right="365" w:hanging="227"/>
              <w:jc w:val="both"/>
              <w:rPr>
                <w:rFonts w:ascii="Arial" w:eastAsia="Calibri" w:hAnsi="Arial" w:cs="Arial"/>
                <w:sz w:val="14"/>
                <w:szCs w:val="16"/>
                <w:lang w:val="es-ES" w:eastAsia="es-MX"/>
              </w:rPr>
            </w:pPr>
            <w:r w:rsidRPr="00C61EAA">
              <w:rPr>
                <w:rFonts w:ascii="Arial" w:eastAsia="Calibri" w:hAnsi="Arial" w:cs="Arial"/>
                <w:sz w:val="14"/>
                <w:szCs w:val="16"/>
                <w:lang w:val="es-ES" w:eastAsia="es-MX"/>
              </w:rPr>
              <w:t>*</w:t>
            </w:r>
            <w:r w:rsidRPr="00C61EAA">
              <w:rPr>
                <w:rFonts w:ascii="Arial" w:eastAsia="Calibri" w:hAnsi="Arial" w:cs="Arial"/>
                <w:sz w:val="14"/>
                <w:szCs w:val="16"/>
                <w:lang w:val="es-ES" w:eastAsia="es-MX"/>
              </w:rPr>
              <w:tab/>
              <w:t>Corresponde a la información disponible cuando se publicaron los CGPE 2022.</w:t>
            </w:r>
          </w:p>
          <w:p w14:paraId="6660B5FF" w14:textId="77777777" w:rsidR="0046336D" w:rsidRPr="00C61EAA" w:rsidRDefault="0046336D" w:rsidP="0046336D">
            <w:pPr>
              <w:spacing w:after="0" w:line="240" w:lineRule="auto"/>
              <w:ind w:left="227" w:right="365" w:hanging="227"/>
              <w:jc w:val="both"/>
              <w:rPr>
                <w:rFonts w:ascii="Arial" w:eastAsia="Calibri" w:hAnsi="Arial" w:cs="Arial"/>
                <w:sz w:val="14"/>
                <w:szCs w:val="16"/>
                <w:lang w:val="es-ES" w:eastAsia="es-MX"/>
              </w:rPr>
            </w:pPr>
            <w:r w:rsidRPr="00C61EAA">
              <w:rPr>
                <w:rFonts w:ascii="Arial" w:eastAsia="Calibri" w:hAnsi="Arial" w:cs="Arial"/>
                <w:sz w:val="14"/>
                <w:szCs w:val="16"/>
                <w:lang w:val="es-ES" w:eastAsia="es-MX"/>
              </w:rPr>
              <w:t>1/</w:t>
            </w:r>
            <w:r w:rsidRPr="00C61EAA">
              <w:rPr>
                <w:rFonts w:ascii="Arial" w:eastAsia="Calibri" w:hAnsi="Arial" w:cs="Arial"/>
                <w:sz w:val="14"/>
                <w:szCs w:val="16"/>
                <w:lang w:val="es-ES" w:eastAsia="es-MX"/>
              </w:rPr>
              <w:tab/>
              <w:t>Se refiere a la tasa de CETES a 28 días.</w:t>
            </w:r>
          </w:p>
          <w:p w14:paraId="2732E1D0" w14:textId="77777777" w:rsidR="0046336D" w:rsidRPr="00C61EAA" w:rsidRDefault="0046336D" w:rsidP="0046336D">
            <w:pPr>
              <w:spacing w:after="0" w:line="240" w:lineRule="auto"/>
              <w:ind w:left="227" w:right="365" w:hanging="227"/>
              <w:jc w:val="both"/>
              <w:rPr>
                <w:rFonts w:ascii="Arial" w:eastAsia="Calibri" w:hAnsi="Arial" w:cs="Arial"/>
                <w:sz w:val="14"/>
                <w:szCs w:val="16"/>
                <w:lang w:val="es-ES" w:eastAsia="es-MX"/>
              </w:rPr>
            </w:pPr>
            <w:r w:rsidRPr="00C61EAA">
              <w:rPr>
                <w:rFonts w:ascii="Arial" w:eastAsia="Calibri" w:hAnsi="Arial" w:cs="Arial"/>
                <w:sz w:val="14"/>
                <w:szCs w:val="16"/>
                <w:lang w:val="es-ES" w:eastAsia="es-MX"/>
              </w:rPr>
              <w:t>2/</w:t>
            </w:r>
            <w:r w:rsidRPr="00C61EAA">
              <w:rPr>
                <w:rFonts w:ascii="Arial" w:eastAsia="Calibri" w:hAnsi="Arial" w:cs="Arial"/>
                <w:sz w:val="14"/>
                <w:szCs w:val="16"/>
                <w:lang w:val="es-ES" w:eastAsia="es-MX"/>
              </w:rPr>
              <w:tab/>
              <w:t>Toda vez que el régimen cambiario es de libre flotación, esta cifra no constituye un pronóstico del tipo de cambio; sin embargo, fue utilizada como referencia para estimar algunos rubros presupuestarios.</w:t>
            </w:r>
          </w:p>
          <w:p w14:paraId="660DAACC" w14:textId="77777777" w:rsidR="0046336D" w:rsidRPr="00C61EAA" w:rsidRDefault="0046336D" w:rsidP="0046336D">
            <w:pPr>
              <w:spacing w:after="0" w:line="240" w:lineRule="auto"/>
              <w:ind w:left="227" w:right="365" w:hanging="227"/>
              <w:jc w:val="both"/>
              <w:rPr>
                <w:rFonts w:ascii="Arial" w:eastAsia="Calibri" w:hAnsi="Arial" w:cs="Arial"/>
                <w:sz w:val="14"/>
                <w:szCs w:val="16"/>
                <w:lang w:val="es-ES" w:eastAsia="es-MX"/>
              </w:rPr>
            </w:pPr>
            <w:r w:rsidRPr="00C61EAA">
              <w:rPr>
                <w:rFonts w:ascii="Arial" w:eastAsia="Calibri" w:hAnsi="Arial" w:cs="Arial"/>
                <w:sz w:val="14"/>
                <w:szCs w:val="16"/>
                <w:lang w:val="es-ES" w:eastAsia="es-MX"/>
              </w:rPr>
              <w:t>3/</w:t>
            </w:r>
            <w:r w:rsidRPr="00C61EAA">
              <w:rPr>
                <w:rFonts w:ascii="Arial" w:eastAsia="Calibri" w:hAnsi="Arial" w:cs="Arial"/>
                <w:sz w:val="14"/>
                <w:szCs w:val="16"/>
                <w:lang w:val="es-ES" w:eastAsia="es-MX"/>
              </w:rPr>
              <w:tab/>
              <w:t>Precio de exportación de la mezcla mexicana.</w:t>
            </w:r>
          </w:p>
          <w:p w14:paraId="355E43D4" w14:textId="77777777" w:rsidR="0046336D" w:rsidRPr="00C61EAA" w:rsidRDefault="0046336D" w:rsidP="0046336D">
            <w:pPr>
              <w:spacing w:after="0" w:line="240" w:lineRule="auto"/>
              <w:ind w:left="227" w:right="365" w:hanging="227"/>
              <w:jc w:val="both"/>
              <w:rPr>
                <w:rFonts w:ascii="Arial" w:eastAsia="Calibri" w:hAnsi="Arial" w:cs="Arial"/>
                <w:sz w:val="14"/>
                <w:szCs w:val="16"/>
                <w:lang w:val="es-ES" w:eastAsia="es-MX"/>
              </w:rPr>
            </w:pPr>
            <w:r w:rsidRPr="00C61EAA">
              <w:rPr>
                <w:rFonts w:ascii="Arial" w:eastAsia="Calibri" w:hAnsi="Arial" w:cs="Arial"/>
                <w:sz w:val="14"/>
                <w:szCs w:val="16"/>
                <w:lang w:val="es-ES" w:eastAsia="es-MX"/>
              </w:rPr>
              <w:t xml:space="preserve">4./ Incluye socios, condensados y privados. </w:t>
            </w:r>
          </w:p>
          <w:p w14:paraId="7C5CEF2F" w14:textId="77777777" w:rsidR="0046336D" w:rsidRPr="00C61EAA" w:rsidRDefault="0046336D" w:rsidP="0046336D">
            <w:pPr>
              <w:spacing w:after="0" w:line="240" w:lineRule="auto"/>
              <w:ind w:left="680" w:right="365" w:hanging="680"/>
              <w:jc w:val="both"/>
              <w:rPr>
                <w:rFonts w:ascii="Arial" w:eastAsia="Calibri" w:hAnsi="Arial" w:cs="Arial"/>
                <w:sz w:val="14"/>
                <w:szCs w:val="16"/>
                <w:lang w:val="es-ES" w:eastAsia="es-MX"/>
              </w:rPr>
            </w:pPr>
            <w:r>
              <w:rPr>
                <w:rFonts w:ascii="Arial" w:eastAsia="Calibri" w:hAnsi="Arial" w:cs="Arial"/>
                <w:sz w:val="14"/>
                <w:szCs w:val="16"/>
                <w:lang w:val="es-ES" w:eastAsia="es-MX"/>
              </w:rPr>
              <w:t xml:space="preserve">FUENTE: </w:t>
            </w:r>
            <w:r w:rsidRPr="00C61EAA">
              <w:rPr>
                <w:rFonts w:ascii="Arial" w:eastAsia="Calibri" w:hAnsi="Arial" w:cs="Arial"/>
                <w:sz w:val="14"/>
                <w:szCs w:val="16"/>
                <w:lang w:val="es-ES" w:eastAsia="es-MX"/>
              </w:rPr>
              <w:t>Secretaría de Hacienda y Crédito Público con base en información de Criterios Generales de Política Económica 2022, Dictamen de la Ley de Ingresos de la Federación 2022, Instituto Nacional de Estadística y Geografía, Banco de México, Comisión Nacional de Hidrocarburos y Petróleos Mexicanos.</w:t>
            </w:r>
          </w:p>
          <w:p w14:paraId="1450CFBE" w14:textId="77777777" w:rsidR="0046336D" w:rsidRPr="00C61EAA" w:rsidRDefault="0046336D" w:rsidP="0046336D">
            <w:pPr>
              <w:spacing w:after="0" w:line="240" w:lineRule="auto"/>
              <w:ind w:left="680" w:right="365" w:hanging="680"/>
              <w:jc w:val="both"/>
              <w:rPr>
                <w:rFonts w:ascii="Montserrat" w:eastAsia="Calibri" w:hAnsi="Montserrat" w:cs="Arial"/>
                <w:sz w:val="14"/>
                <w:szCs w:val="16"/>
                <w:lang w:val="es-ES" w:eastAsia="es-MX"/>
              </w:rPr>
            </w:pPr>
          </w:p>
        </w:tc>
      </w:tr>
    </w:tbl>
    <w:bookmarkEnd w:id="69"/>
    <w:p w14:paraId="260D1EB4" w14:textId="77777777" w:rsidR="0046336D" w:rsidRPr="00E37D56" w:rsidRDefault="0046336D" w:rsidP="0046336D">
      <w:pPr>
        <w:widowControl w:val="0"/>
        <w:autoSpaceDE w:val="0"/>
        <w:autoSpaceDN w:val="0"/>
        <w:spacing w:before="160" w:after="360" w:line="276" w:lineRule="auto"/>
        <w:jc w:val="both"/>
        <w:rPr>
          <w:rFonts w:ascii="Arial" w:eastAsia="Arial" w:hAnsi="Arial" w:cs="Arial"/>
          <w:sz w:val="24"/>
          <w:szCs w:val="24"/>
          <w:lang w:val="es-ES"/>
        </w:rPr>
      </w:pPr>
      <w:r w:rsidRPr="00E37D56">
        <w:rPr>
          <w:rFonts w:ascii="Arial" w:eastAsia="Arial" w:hAnsi="Arial" w:cs="Arial"/>
          <w:sz w:val="24"/>
          <w:szCs w:val="24"/>
          <w:lang w:val="es-ES"/>
        </w:rPr>
        <w:t xml:space="preserve">Cabe hacer mención que la fuente del cuadro anterior y su análisis proviene del apartado de Panorama Económico </w:t>
      </w:r>
      <w:r>
        <w:rPr>
          <w:rFonts w:ascii="Arial" w:eastAsia="Arial" w:hAnsi="Arial" w:cs="Arial"/>
          <w:sz w:val="24"/>
          <w:szCs w:val="24"/>
          <w:lang w:val="es-ES"/>
        </w:rPr>
        <w:t xml:space="preserve">del tomo I Resultados Generales </w:t>
      </w:r>
      <w:r w:rsidRPr="00E37D56">
        <w:rPr>
          <w:rFonts w:ascii="Arial" w:eastAsia="Arial" w:hAnsi="Arial" w:cs="Arial"/>
          <w:sz w:val="24"/>
          <w:szCs w:val="24"/>
          <w:lang w:val="es-ES"/>
        </w:rPr>
        <w:t>de la Cuenta Pública del ejercicio fiscal 202</w:t>
      </w:r>
      <w:r>
        <w:rPr>
          <w:rFonts w:ascii="Arial" w:eastAsia="Arial" w:hAnsi="Arial" w:cs="Arial"/>
          <w:sz w:val="24"/>
          <w:szCs w:val="24"/>
          <w:lang w:val="es-ES"/>
        </w:rPr>
        <w:t>2</w:t>
      </w:r>
      <w:r w:rsidRPr="00E37D56">
        <w:rPr>
          <w:rFonts w:ascii="Arial" w:eastAsia="Arial" w:hAnsi="Arial" w:cs="Arial"/>
          <w:sz w:val="24"/>
          <w:szCs w:val="24"/>
          <w:lang w:val="es-ES"/>
        </w:rPr>
        <w:t xml:space="preserve"> del Gobierno Federal, y que para su elaboración se tomaron los datos de las proyecciones contenidas en los Criterios Generales de Política Económica para 202</w:t>
      </w:r>
      <w:r>
        <w:rPr>
          <w:rFonts w:ascii="Arial" w:eastAsia="Arial" w:hAnsi="Arial" w:cs="Arial"/>
          <w:sz w:val="24"/>
          <w:szCs w:val="24"/>
          <w:lang w:val="es-ES"/>
        </w:rPr>
        <w:t>2</w:t>
      </w:r>
      <w:r w:rsidRPr="00E37D56">
        <w:rPr>
          <w:rFonts w:ascii="Arial" w:eastAsia="Arial" w:hAnsi="Arial" w:cs="Arial"/>
          <w:sz w:val="24"/>
          <w:szCs w:val="24"/>
          <w:lang w:val="es-ES"/>
        </w:rPr>
        <w:t>, así mismo contiene los datos observados a finales del mismo ejercicio.</w:t>
      </w:r>
    </w:p>
    <w:p w14:paraId="605FAD8A" w14:textId="77777777" w:rsidR="0046336D" w:rsidRPr="00E37D56" w:rsidRDefault="0046336D" w:rsidP="0046336D">
      <w:pPr>
        <w:widowControl w:val="0"/>
        <w:autoSpaceDE w:val="0"/>
        <w:autoSpaceDN w:val="0"/>
        <w:spacing w:before="160" w:after="360" w:line="276" w:lineRule="auto"/>
        <w:jc w:val="both"/>
        <w:rPr>
          <w:rFonts w:ascii="Arial" w:eastAsia="Arial" w:hAnsi="Arial" w:cs="Arial"/>
          <w:sz w:val="24"/>
          <w:szCs w:val="24"/>
          <w:lang w:val="es-ES"/>
        </w:rPr>
      </w:pPr>
      <w:r w:rsidRPr="00E37D56">
        <w:rPr>
          <w:rFonts w:ascii="Arial" w:eastAsia="Arial" w:hAnsi="Arial" w:cs="Arial"/>
          <w:sz w:val="24"/>
          <w:szCs w:val="24"/>
          <w:lang w:val="es-ES"/>
        </w:rPr>
        <w:lastRenderedPageBreak/>
        <w:t>Los principal</w:t>
      </w:r>
      <w:r>
        <w:rPr>
          <w:rFonts w:ascii="Arial" w:eastAsia="Arial" w:hAnsi="Arial" w:cs="Arial"/>
          <w:sz w:val="24"/>
          <w:szCs w:val="24"/>
          <w:lang w:val="es-ES"/>
        </w:rPr>
        <w:t>es resultados económicos en 2022</w:t>
      </w:r>
      <w:r w:rsidRPr="00E37D56">
        <w:rPr>
          <w:rFonts w:ascii="Arial" w:eastAsia="Arial" w:hAnsi="Arial" w:cs="Arial"/>
          <w:sz w:val="24"/>
          <w:szCs w:val="24"/>
          <w:lang w:val="es-ES"/>
        </w:rPr>
        <w:t xml:space="preserve"> fueron los siguientes:</w:t>
      </w:r>
    </w:p>
    <w:p w14:paraId="51917248" w14:textId="77777777" w:rsidR="0046336D" w:rsidRDefault="0046336D" w:rsidP="00683FD0">
      <w:pPr>
        <w:pStyle w:val="Prrafodelista"/>
        <w:widowControl w:val="0"/>
        <w:numPr>
          <w:ilvl w:val="0"/>
          <w:numId w:val="28"/>
        </w:numPr>
        <w:autoSpaceDE w:val="0"/>
        <w:autoSpaceDN w:val="0"/>
        <w:spacing w:before="360" w:after="0" w:line="276" w:lineRule="auto"/>
        <w:jc w:val="both"/>
        <w:rPr>
          <w:rFonts w:ascii="Arial" w:eastAsia="Arial" w:hAnsi="Arial" w:cs="Arial"/>
          <w:sz w:val="24"/>
          <w:szCs w:val="24"/>
          <w:lang w:val="es-ES_tradnl"/>
        </w:rPr>
      </w:pPr>
      <w:r w:rsidRPr="000B00F5">
        <w:rPr>
          <w:rFonts w:ascii="Arial" w:eastAsia="Arial" w:hAnsi="Arial" w:cs="Arial"/>
          <w:sz w:val="24"/>
          <w:szCs w:val="24"/>
          <w:lang w:val="es-ES_tradnl"/>
        </w:rPr>
        <w:t xml:space="preserve">La </w:t>
      </w:r>
      <w:r w:rsidRPr="000B00F5">
        <w:rPr>
          <w:rFonts w:ascii="Arial" w:eastAsia="Arial" w:hAnsi="Arial" w:cs="Arial"/>
          <w:sz w:val="24"/>
          <w:szCs w:val="24"/>
          <w:lang w:val="es-ES"/>
        </w:rPr>
        <w:t>actividad</w:t>
      </w:r>
      <w:r w:rsidRPr="000B00F5">
        <w:rPr>
          <w:rFonts w:ascii="Arial" w:eastAsia="Arial" w:hAnsi="Arial" w:cs="Arial"/>
          <w:sz w:val="24"/>
          <w:szCs w:val="24"/>
          <w:lang w:val="es-ES_tradnl"/>
        </w:rPr>
        <w:t xml:space="preserve"> económica de México registró un crecimiento anual real de 3.1%, por abajo del rango establecido en el paquete económico 2022, que era entre 3.6 y 4.6%.</w:t>
      </w:r>
    </w:p>
    <w:p w14:paraId="53DA0441" w14:textId="77777777" w:rsidR="0046336D" w:rsidRPr="000B00F5" w:rsidRDefault="0046336D" w:rsidP="0046336D">
      <w:pPr>
        <w:pStyle w:val="Prrafodelista"/>
        <w:widowControl w:val="0"/>
        <w:autoSpaceDE w:val="0"/>
        <w:autoSpaceDN w:val="0"/>
        <w:spacing w:before="360" w:after="0" w:line="276" w:lineRule="auto"/>
        <w:jc w:val="both"/>
        <w:rPr>
          <w:rFonts w:ascii="Arial" w:eastAsia="Arial" w:hAnsi="Arial" w:cs="Arial"/>
          <w:sz w:val="24"/>
          <w:szCs w:val="24"/>
          <w:lang w:val="es-ES_tradnl"/>
        </w:rPr>
      </w:pPr>
    </w:p>
    <w:p w14:paraId="6DE2121E" w14:textId="77777777" w:rsidR="0046336D" w:rsidRPr="000B00F5" w:rsidRDefault="0046336D" w:rsidP="00A671A4">
      <w:pPr>
        <w:pStyle w:val="Prrafodelista"/>
        <w:widowControl w:val="0"/>
        <w:numPr>
          <w:ilvl w:val="0"/>
          <w:numId w:val="28"/>
        </w:numPr>
        <w:autoSpaceDE w:val="0"/>
        <w:autoSpaceDN w:val="0"/>
        <w:spacing w:before="360" w:after="0" w:line="276" w:lineRule="auto"/>
        <w:ind w:left="709" w:hanging="349"/>
        <w:jc w:val="both"/>
        <w:rPr>
          <w:rFonts w:ascii="Arial" w:eastAsia="Arial" w:hAnsi="Arial" w:cs="Arial"/>
          <w:sz w:val="24"/>
          <w:szCs w:val="24"/>
          <w:lang w:val="es-ES_tradnl"/>
        </w:rPr>
      </w:pPr>
      <w:r w:rsidRPr="000B00F5">
        <w:rPr>
          <w:rFonts w:ascii="Arial" w:eastAsia="Arial" w:hAnsi="Arial" w:cs="Arial"/>
          <w:sz w:val="24"/>
          <w:szCs w:val="24"/>
          <w:lang w:val="es-ES_tradnl"/>
        </w:rPr>
        <w:t xml:space="preserve">La tasa de inflación anual en diciembre de 2022 se ubicó en </w:t>
      </w:r>
      <w:r w:rsidR="004A3B80">
        <w:rPr>
          <w:rFonts w:ascii="Arial" w:eastAsia="Arial" w:hAnsi="Arial" w:cs="Arial"/>
          <w:sz w:val="24"/>
          <w:szCs w:val="24"/>
          <w:lang w:val="es-ES_tradnl"/>
        </w:rPr>
        <w:t>indicador</w:t>
      </w:r>
      <w:r w:rsidRPr="000B00F5">
        <w:rPr>
          <w:rFonts w:ascii="Arial" w:eastAsia="Arial" w:hAnsi="Arial" w:cs="Arial"/>
          <w:sz w:val="24"/>
          <w:szCs w:val="24"/>
          <w:lang w:val="es-ES_tradnl"/>
        </w:rPr>
        <w:t xml:space="preserve">, cifra por encima de lo proyectado en los CGPE 2022, lo que se explica por el incremento en los precios </w:t>
      </w:r>
      <w:r w:rsidRPr="000B00F5">
        <w:rPr>
          <w:rFonts w:ascii="Arial" w:eastAsia="Arial" w:hAnsi="Arial" w:cs="Arial"/>
          <w:sz w:val="24"/>
          <w:szCs w:val="24"/>
          <w:lang w:val="es-ES"/>
        </w:rPr>
        <w:t>internacionales</w:t>
      </w:r>
      <w:r w:rsidRPr="000B00F5">
        <w:rPr>
          <w:rFonts w:ascii="Arial" w:eastAsia="Arial" w:hAnsi="Arial" w:cs="Arial"/>
          <w:sz w:val="24"/>
          <w:szCs w:val="24"/>
          <w:lang w:val="es-ES_tradnl"/>
        </w:rPr>
        <w:t xml:space="preserve"> de las materias primas derivado de la guerra entre Rusia y Ucrania y las secuelas de la pandemia de COVID-19. Además, influyeron factores climatológicos a lo largo del año y problemas fitosanitarios por la gripe aviar en el norte del país.</w:t>
      </w:r>
    </w:p>
    <w:p w14:paraId="14DE074E" w14:textId="77777777" w:rsidR="0046336D" w:rsidRPr="000B00F5" w:rsidRDefault="0046336D" w:rsidP="0046336D">
      <w:pPr>
        <w:pStyle w:val="Prrafodelista"/>
        <w:widowControl w:val="0"/>
        <w:autoSpaceDE w:val="0"/>
        <w:autoSpaceDN w:val="0"/>
        <w:spacing w:before="360" w:after="0" w:line="276" w:lineRule="auto"/>
        <w:jc w:val="both"/>
        <w:rPr>
          <w:rFonts w:ascii="Arial" w:eastAsia="Arial" w:hAnsi="Arial" w:cs="Arial"/>
          <w:sz w:val="24"/>
          <w:szCs w:val="24"/>
          <w:lang w:val="es-ES_tradnl"/>
        </w:rPr>
      </w:pPr>
    </w:p>
    <w:p w14:paraId="24CAFF4C" w14:textId="77777777" w:rsidR="0046336D" w:rsidRDefault="0046336D" w:rsidP="00683FD0">
      <w:pPr>
        <w:pStyle w:val="Prrafodelista"/>
        <w:widowControl w:val="0"/>
        <w:numPr>
          <w:ilvl w:val="0"/>
          <w:numId w:val="28"/>
        </w:numPr>
        <w:autoSpaceDE w:val="0"/>
        <w:autoSpaceDN w:val="0"/>
        <w:spacing w:before="360" w:after="0" w:line="276" w:lineRule="auto"/>
        <w:jc w:val="both"/>
        <w:rPr>
          <w:rFonts w:ascii="Arial" w:eastAsia="Arial" w:hAnsi="Arial" w:cs="Arial"/>
          <w:sz w:val="24"/>
          <w:szCs w:val="24"/>
          <w:lang w:val="es-ES_tradnl"/>
        </w:rPr>
      </w:pPr>
      <w:r w:rsidRPr="000B00F5">
        <w:rPr>
          <w:rFonts w:ascii="Arial" w:eastAsia="Arial" w:hAnsi="Arial" w:cs="Arial"/>
          <w:sz w:val="24"/>
          <w:szCs w:val="24"/>
          <w:lang w:val="es-ES_tradnl"/>
        </w:rPr>
        <w:t>La tasa de CETES a 28 días</w:t>
      </w:r>
      <w:r w:rsidRPr="000B00F5">
        <w:rPr>
          <w:rFonts w:ascii="Arial" w:eastAsia="Arial" w:hAnsi="Arial" w:cs="Arial"/>
          <w:sz w:val="24"/>
          <w:szCs w:val="24"/>
          <w:lang w:val="es-ES"/>
        </w:rPr>
        <w:t xml:space="preserve"> </w:t>
      </w:r>
      <w:r w:rsidRPr="000B00F5">
        <w:rPr>
          <w:rFonts w:ascii="Arial" w:eastAsia="Arial" w:hAnsi="Arial" w:cs="Arial"/>
          <w:sz w:val="24"/>
          <w:szCs w:val="24"/>
          <w:lang w:val="es-ES_tradnl"/>
        </w:rPr>
        <w:t xml:space="preserve">al cierre de 2022 se ubicó en 10.1%, lo que representó un aumento de 461 puntos base respecto al nivel de cierre del año anterior. Este comportamiento se debió a los </w:t>
      </w:r>
      <w:r w:rsidRPr="000B00F5">
        <w:rPr>
          <w:rFonts w:ascii="Arial" w:eastAsia="Arial" w:hAnsi="Arial" w:cs="Arial"/>
          <w:sz w:val="24"/>
          <w:szCs w:val="24"/>
          <w:lang w:val="es-ES"/>
        </w:rPr>
        <w:t>ajustes</w:t>
      </w:r>
      <w:r w:rsidRPr="000B00F5">
        <w:rPr>
          <w:rFonts w:ascii="Arial" w:eastAsia="Arial" w:hAnsi="Arial" w:cs="Arial"/>
          <w:sz w:val="24"/>
          <w:szCs w:val="24"/>
          <w:lang w:val="es-ES_tradnl"/>
        </w:rPr>
        <w:t xml:space="preserve"> en la tasa de referencia del Banco de México, con el fin de contener las presiones inflacionarias originadas por factores externos y mantener </w:t>
      </w:r>
      <w:r w:rsidRPr="007E260A">
        <w:rPr>
          <w:rFonts w:ascii="Arial" w:eastAsia="Arial" w:hAnsi="Arial" w:cs="Arial"/>
          <w:sz w:val="24"/>
          <w:szCs w:val="24"/>
          <w:lang w:val="es-ES_tradnl"/>
        </w:rPr>
        <w:t>anclada</w:t>
      </w:r>
      <w:r w:rsidRPr="000B00F5">
        <w:rPr>
          <w:rFonts w:ascii="Arial" w:eastAsia="Arial" w:hAnsi="Arial" w:cs="Arial"/>
          <w:sz w:val="24"/>
          <w:szCs w:val="24"/>
          <w:lang w:val="es-ES_tradnl"/>
        </w:rPr>
        <w:t xml:space="preserve"> las expectativas de inflación.</w:t>
      </w:r>
    </w:p>
    <w:p w14:paraId="1AB0D6C9" w14:textId="77777777" w:rsidR="0046336D" w:rsidRPr="000B00F5" w:rsidRDefault="0046336D" w:rsidP="0046336D">
      <w:pPr>
        <w:pStyle w:val="Prrafodelista"/>
        <w:widowControl w:val="0"/>
        <w:autoSpaceDE w:val="0"/>
        <w:autoSpaceDN w:val="0"/>
        <w:spacing w:before="360" w:after="0" w:line="276" w:lineRule="auto"/>
        <w:jc w:val="both"/>
        <w:rPr>
          <w:rFonts w:ascii="Arial" w:eastAsia="Arial" w:hAnsi="Arial" w:cs="Arial"/>
          <w:sz w:val="24"/>
          <w:szCs w:val="24"/>
          <w:lang w:val="es-ES_tradnl"/>
        </w:rPr>
      </w:pPr>
    </w:p>
    <w:p w14:paraId="0D2C9E23" w14:textId="77777777" w:rsidR="0046336D" w:rsidRPr="000B00F5" w:rsidRDefault="0046336D" w:rsidP="00683FD0">
      <w:pPr>
        <w:pStyle w:val="Prrafodelista"/>
        <w:widowControl w:val="0"/>
        <w:numPr>
          <w:ilvl w:val="0"/>
          <w:numId w:val="28"/>
        </w:numPr>
        <w:autoSpaceDE w:val="0"/>
        <w:autoSpaceDN w:val="0"/>
        <w:spacing w:before="360" w:after="0" w:line="276" w:lineRule="auto"/>
        <w:jc w:val="both"/>
        <w:rPr>
          <w:rFonts w:ascii="Arial" w:eastAsia="Arial" w:hAnsi="Arial" w:cs="Arial"/>
          <w:sz w:val="24"/>
          <w:szCs w:val="24"/>
          <w:lang w:val="es-ES_tradnl"/>
        </w:rPr>
      </w:pPr>
      <w:r w:rsidRPr="000B00F5">
        <w:rPr>
          <w:rFonts w:ascii="Arial" w:eastAsia="Arial" w:hAnsi="Arial" w:cs="Arial"/>
          <w:sz w:val="24"/>
          <w:szCs w:val="24"/>
          <w:lang w:val="es-ES_tradnl"/>
        </w:rPr>
        <w:t>El tipo de cambio promedio fue de 20.1 pesos por dólar en 2022, menor en 0.8% respecto al promedio de 2021. Pese a los episodios de volatilidad a nivel global, el peso se mantuvo fuerte con respecto al dólar,</w:t>
      </w:r>
      <w:r w:rsidRPr="000B00F5">
        <w:rPr>
          <w:rFonts w:ascii="Arial" w:eastAsia="Arial" w:hAnsi="Arial" w:cs="Arial"/>
          <w:sz w:val="24"/>
          <w:szCs w:val="24"/>
          <w:lang w:val="es-ES"/>
        </w:rPr>
        <w:t xml:space="preserve"> derivado de los sólidos fundamentales macroeconómicos, estabilidad política y social, el alto diferencial de las tasas de referencia entre Banco de México y la Reserva Federal de EUA, un bajo déficit en cuenta corriente por el crecimiento de las exportaciones y remesas, así como por métricas fiscales sólidas.</w:t>
      </w:r>
    </w:p>
    <w:p w14:paraId="03BB5246" w14:textId="77777777" w:rsidR="0046336D" w:rsidRPr="000B00F5" w:rsidRDefault="0046336D" w:rsidP="0046336D">
      <w:pPr>
        <w:pStyle w:val="Prrafodelista"/>
        <w:widowControl w:val="0"/>
        <w:autoSpaceDE w:val="0"/>
        <w:autoSpaceDN w:val="0"/>
        <w:spacing w:before="360" w:after="0" w:line="276" w:lineRule="auto"/>
        <w:jc w:val="both"/>
        <w:rPr>
          <w:rFonts w:ascii="Arial" w:eastAsia="Arial" w:hAnsi="Arial" w:cs="Arial"/>
          <w:sz w:val="24"/>
          <w:szCs w:val="24"/>
          <w:lang w:val="es-ES_tradnl"/>
        </w:rPr>
      </w:pPr>
    </w:p>
    <w:p w14:paraId="44500BB0" w14:textId="77777777" w:rsidR="0046336D" w:rsidRDefault="0046336D" w:rsidP="00683FD0">
      <w:pPr>
        <w:pStyle w:val="Prrafodelista"/>
        <w:widowControl w:val="0"/>
        <w:numPr>
          <w:ilvl w:val="0"/>
          <w:numId w:val="28"/>
        </w:numPr>
        <w:autoSpaceDE w:val="0"/>
        <w:autoSpaceDN w:val="0"/>
        <w:spacing w:before="360" w:after="0" w:line="276" w:lineRule="auto"/>
        <w:jc w:val="both"/>
        <w:rPr>
          <w:rFonts w:ascii="Arial" w:eastAsia="Arial" w:hAnsi="Arial" w:cs="Arial"/>
          <w:sz w:val="24"/>
          <w:szCs w:val="24"/>
          <w:lang w:val="es-ES_tradnl"/>
        </w:rPr>
      </w:pPr>
      <w:r w:rsidRPr="000B00F5">
        <w:rPr>
          <w:rFonts w:ascii="Arial" w:eastAsia="Arial" w:hAnsi="Arial" w:cs="Arial"/>
          <w:sz w:val="24"/>
          <w:szCs w:val="24"/>
          <w:lang w:val="es-ES_tradnl"/>
        </w:rPr>
        <w:t xml:space="preserve">La cuenta corriente de la balanza de pagos registró un déficit equivalente a 0.9% del PIB en 2022, que si bien es ligeramente mayor al déficit de 0.4% del PIB estimado en los CGPE 2022 y </w:t>
      </w:r>
      <w:r w:rsidRPr="000B00F5">
        <w:rPr>
          <w:rFonts w:ascii="Arial" w:eastAsia="Arial" w:hAnsi="Arial" w:cs="Arial"/>
          <w:sz w:val="24"/>
          <w:szCs w:val="24"/>
          <w:lang w:val="es-ES"/>
        </w:rPr>
        <w:t>al</w:t>
      </w:r>
      <w:r w:rsidRPr="000B00F5">
        <w:rPr>
          <w:rFonts w:ascii="Arial" w:eastAsia="Arial" w:hAnsi="Arial" w:cs="Arial"/>
          <w:sz w:val="24"/>
          <w:szCs w:val="24"/>
          <w:lang w:val="es-ES_tradnl"/>
        </w:rPr>
        <w:t xml:space="preserve"> déficit de 0.6% del PIB observado en 2021, se mantiene en un nivel bajo para la economía.</w:t>
      </w:r>
    </w:p>
    <w:p w14:paraId="4DDD4AFC" w14:textId="77777777" w:rsidR="0046336D" w:rsidRPr="000B00F5" w:rsidRDefault="0046336D" w:rsidP="0046336D">
      <w:pPr>
        <w:pStyle w:val="Prrafodelista"/>
        <w:widowControl w:val="0"/>
        <w:autoSpaceDE w:val="0"/>
        <w:autoSpaceDN w:val="0"/>
        <w:spacing w:before="360" w:after="0" w:line="276" w:lineRule="auto"/>
        <w:jc w:val="both"/>
        <w:rPr>
          <w:rFonts w:ascii="Arial" w:eastAsia="Arial" w:hAnsi="Arial" w:cs="Arial"/>
          <w:sz w:val="24"/>
          <w:szCs w:val="24"/>
          <w:lang w:val="es-ES_tradnl"/>
        </w:rPr>
      </w:pPr>
    </w:p>
    <w:p w14:paraId="3D927C8A" w14:textId="77777777" w:rsidR="0046336D" w:rsidRPr="000B00F5" w:rsidRDefault="0046336D" w:rsidP="00683FD0">
      <w:pPr>
        <w:pStyle w:val="Prrafodelista"/>
        <w:widowControl w:val="0"/>
        <w:numPr>
          <w:ilvl w:val="0"/>
          <w:numId w:val="28"/>
        </w:numPr>
        <w:autoSpaceDE w:val="0"/>
        <w:autoSpaceDN w:val="0"/>
        <w:spacing w:before="360" w:after="0" w:line="276" w:lineRule="auto"/>
        <w:jc w:val="both"/>
        <w:rPr>
          <w:rFonts w:ascii="Arial" w:eastAsia="Arial" w:hAnsi="Arial" w:cs="Arial"/>
          <w:sz w:val="24"/>
          <w:szCs w:val="24"/>
          <w:lang w:val="es-ES_tradnl"/>
        </w:rPr>
      </w:pPr>
      <w:bookmarkStart w:id="70" w:name="_Hlk132821668"/>
      <w:r w:rsidRPr="000B00F5">
        <w:rPr>
          <w:rFonts w:ascii="Arial" w:eastAsia="Arial" w:hAnsi="Arial" w:cs="Arial"/>
          <w:sz w:val="24"/>
          <w:szCs w:val="24"/>
          <w:lang w:val="es-ES_tradnl"/>
        </w:rPr>
        <w:t xml:space="preserve">El precio de exportación de la mezcla mexicana de petróleo crudo se ubicó en 89.4 dpb en promedio, el cual fue mayor en 23.6 dólares por barril al registrado en 2021, derivado de la incertidumbre asociada al conflicto entre Rusia y Ucrania, particularmente en la primera mitad del año. La plataforma de producción mexicana de petróleo se ubicó en 1,849 miles de barriles diarios (incluyendo socios, condensados y privados), nivel 3.6% mayor al registrado en 2021 y 1.2% respecto a lo considerado en los CGPE 2022. </w:t>
      </w:r>
    </w:p>
    <w:bookmarkEnd w:id="70"/>
    <w:p w14:paraId="37C08F8D" w14:textId="77777777" w:rsidR="0046336D" w:rsidRPr="00872B68" w:rsidRDefault="0046336D" w:rsidP="0046336D">
      <w:pPr>
        <w:widowControl w:val="0"/>
        <w:autoSpaceDE w:val="0"/>
        <w:autoSpaceDN w:val="0"/>
        <w:spacing w:before="360" w:after="0" w:line="276" w:lineRule="auto"/>
        <w:ind w:left="567"/>
        <w:jc w:val="both"/>
        <w:rPr>
          <w:rFonts w:ascii="Arial" w:eastAsia="Arial" w:hAnsi="Arial" w:cs="Arial"/>
          <w:sz w:val="6"/>
          <w:szCs w:val="24"/>
          <w:lang w:val="es-ES"/>
        </w:rPr>
      </w:pPr>
    </w:p>
    <w:p w14:paraId="714FF0C2" w14:textId="77777777" w:rsidR="0046336D" w:rsidRPr="00E37D56" w:rsidRDefault="0046336D" w:rsidP="00683FD0">
      <w:pPr>
        <w:keepNext/>
        <w:keepLines/>
        <w:numPr>
          <w:ilvl w:val="0"/>
          <w:numId w:val="8"/>
        </w:numPr>
        <w:spacing w:before="40" w:after="0" w:line="276" w:lineRule="auto"/>
        <w:jc w:val="both"/>
        <w:outlineLvl w:val="1"/>
        <w:rPr>
          <w:rFonts w:ascii="Arial" w:eastAsia="Times New Roman" w:hAnsi="Arial" w:cs="Arial"/>
          <w:b/>
          <w:color w:val="000000"/>
          <w:sz w:val="24"/>
          <w:szCs w:val="26"/>
        </w:rPr>
      </w:pPr>
      <w:bookmarkStart w:id="71" w:name="_TOC_250003"/>
      <w:bookmarkStart w:id="72" w:name="_Toc64067647"/>
      <w:bookmarkStart w:id="73" w:name="_Toc95496688"/>
      <w:bookmarkStart w:id="74" w:name="_Toc158567499"/>
      <w:bookmarkEnd w:id="71"/>
      <w:r w:rsidRPr="00E37D56">
        <w:rPr>
          <w:rFonts w:ascii="Arial" w:eastAsia="Times New Roman" w:hAnsi="Arial" w:cs="Arial"/>
          <w:b/>
          <w:color w:val="000000"/>
          <w:sz w:val="24"/>
          <w:szCs w:val="26"/>
        </w:rPr>
        <w:t>Principales Indicadores de la Postura Fiscal del ejercicio Fiscal 202</w:t>
      </w:r>
      <w:r>
        <w:rPr>
          <w:rFonts w:ascii="Arial" w:eastAsia="Times New Roman" w:hAnsi="Arial" w:cs="Arial"/>
          <w:b/>
          <w:color w:val="000000"/>
          <w:sz w:val="24"/>
          <w:szCs w:val="26"/>
        </w:rPr>
        <w:t>2</w:t>
      </w:r>
      <w:r w:rsidRPr="00E37D56">
        <w:rPr>
          <w:rFonts w:ascii="Arial" w:eastAsia="Times New Roman" w:hAnsi="Arial" w:cs="Arial"/>
          <w:b/>
          <w:color w:val="000000"/>
          <w:sz w:val="24"/>
          <w:szCs w:val="26"/>
        </w:rPr>
        <w:t xml:space="preserve"> en el Estado de Quintana Roo.</w:t>
      </w:r>
      <w:bookmarkEnd w:id="72"/>
      <w:bookmarkEnd w:id="73"/>
      <w:bookmarkEnd w:id="74"/>
    </w:p>
    <w:p w14:paraId="22D428D5" w14:textId="77777777" w:rsidR="0046336D" w:rsidRPr="00872B68" w:rsidRDefault="0046336D" w:rsidP="0046336D">
      <w:pPr>
        <w:widowControl w:val="0"/>
        <w:autoSpaceDE w:val="0"/>
        <w:autoSpaceDN w:val="0"/>
        <w:spacing w:before="6" w:after="0" w:line="276" w:lineRule="auto"/>
        <w:ind w:left="-142" w:right="142"/>
        <w:rPr>
          <w:rFonts w:ascii="Arial" w:eastAsia="Arial" w:hAnsi="Arial" w:cs="Arial"/>
          <w:b/>
          <w:sz w:val="10"/>
          <w:szCs w:val="24"/>
          <w:lang w:val="es-ES"/>
        </w:rPr>
      </w:pPr>
    </w:p>
    <w:p w14:paraId="402F2BA6" w14:textId="77777777" w:rsidR="0046336D" w:rsidRPr="00E37D56" w:rsidRDefault="0046336D" w:rsidP="0046336D">
      <w:pPr>
        <w:widowControl w:val="0"/>
        <w:autoSpaceDE w:val="0"/>
        <w:autoSpaceDN w:val="0"/>
        <w:spacing w:before="163"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t>La determinación de los indicadores de la Postura Fiscal tiene como una de sus bases principales de formulación los conceptos e importes de ingresos y egresos, en tal sentido, es pertinente precisar respecto a los ingresos y egresos presupuestarios que se analizan en este apartado, que estos corresponden a la ejecución de la Ley de Ingresos y el Presupuesto de Egresos del Estado de Quintana Roo del ejercicio fiscal 202</w:t>
      </w:r>
      <w:r>
        <w:rPr>
          <w:rFonts w:ascii="Arial" w:eastAsia="Arial" w:hAnsi="Arial" w:cs="Arial"/>
          <w:sz w:val="24"/>
          <w:szCs w:val="24"/>
          <w:lang w:val="es-ES"/>
        </w:rPr>
        <w:t>2</w:t>
      </w:r>
      <w:r w:rsidRPr="00E37D56">
        <w:rPr>
          <w:rFonts w:ascii="Arial" w:eastAsia="Arial" w:hAnsi="Arial" w:cs="Arial"/>
          <w:sz w:val="24"/>
          <w:szCs w:val="24"/>
          <w:lang w:val="es-ES"/>
        </w:rPr>
        <w:t xml:space="preserve">, sin consolidar los ingresos y egresos presupuestarios de los entes públicos del Sector Paraestatal, que hubieran estimado y ejecutado por vías distintas a los instrumentos jurídicos referidos. Por otra parte, para efectos de análisis y presentación de los indicadores objeto de este apartado, en el monto de los Ingresos Presupuestarios del Gobierno se incluye, en adición a los ingresos contemplados en la Ley de Ingresos del año </w:t>
      </w:r>
      <w:r w:rsidRPr="00872B59">
        <w:rPr>
          <w:rFonts w:ascii="Arial" w:eastAsia="Arial" w:hAnsi="Arial" w:cs="Arial"/>
          <w:sz w:val="24"/>
          <w:szCs w:val="24"/>
          <w:lang w:val="es-ES"/>
        </w:rPr>
        <w:t>2022</w:t>
      </w:r>
      <w:r w:rsidRPr="00E37D56">
        <w:rPr>
          <w:rFonts w:ascii="Arial" w:eastAsia="Arial" w:hAnsi="Arial" w:cs="Arial"/>
          <w:sz w:val="24"/>
          <w:szCs w:val="24"/>
          <w:lang w:val="es-ES"/>
        </w:rPr>
        <w:t>, el importe de los refrendos y economías presupuestarias de años anteriores, mismos que para efectos del ejercicio del presupuesto de egresos del año 202</w:t>
      </w:r>
      <w:r>
        <w:rPr>
          <w:rFonts w:ascii="Arial" w:eastAsia="Arial" w:hAnsi="Arial" w:cs="Arial"/>
          <w:sz w:val="24"/>
          <w:szCs w:val="24"/>
          <w:lang w:val="es-ES"/>
        </w:rPr>
        <w:t>2</w:t>
      </w:r>
      <w:r w:rsidRPr="00E37D56">
        <w:rPr>
          <w:rFonts w:ascii="Arial" w:eastAsia="Arial" w:hAnsi="Arial" w:cs="Arial"/>
          <w:sz w:val="24"/>
          <w:szCs w:val="24"/>
          <w:lang w:val="es-ES"/>
        </w:rPr>
        <w:t>, fueron objeto de ampliación líquida y pagados durante el mismo año. Con base en lo anterior, en el resultado del ejercicio ingreso-gasto se derivan remanentes de recursos, entre ellos recursos etiquetados, objeto de refrendo y ejercicio para el año 202</w:t>
      </w:r>
      <w:r>
        <w:rPr>
          <w:rFonts w:ascii="Arial" w:eastAsia="Arial" w:hAnsi="Arial" w:cs="Arial"/>
          <w:sz w:val="24"/>
          <w:szCs w:val="24"/>
          <w:lang w:val="es-ES"/>
        </w:rPr>
        <w:t>2</w:t>
      </w:r>
      <w:r w:rsidRPr="00E37D56">
        <w:rPr>
          <w:rFonts w:ascii="Arial" w:eastAsia="Arial" w:hAnsi="Arial" w:cs="Arial"/>
          <w:sz w:val="24"/>
          <w:szCs w:val="24"/>
          <w:lang w:val="es-ES"/>
        </w:rPr>
        <w:t>, siempre respetando los tiempos establecidos en la Ley de Disciplina Financiera, tratándose de recursos federales.</w:t>
      </w:r>
    </w:p>
    <w:p w14:paraId="6CAA68F4" w14:textId="77777777" w:rsidR="0046336D" w:rsidRPr="00E37D56" w:rsidRDefault="0046336D" w:rsidP="0046336D">
      <w:pPr>
        <w:widowControl w:val="0"/>
        <w:autoSpaceDE w:val="0"/>
        <w:autoSpaceDN w:val="0"/>
        <w:spacing w:before="163" w:after="0" w:line="276" w:lineRule="auto"/>
        <w:jc w:val="both"/>
        <w:rPr>
          <w:rFonts w:ascii="Arial" w:eastAsia="Arial" w:hAnsi="Arial" w:cs="Arial"/>
          <w:sz w:val="2"/>
          <w:szCs w:val="6"/>
          <w:lang w:val="es-ES"/>
        </w:rPr>
      </w:pPr>
    </w:p>
    <w:p w14:paraId="608936D3" w14:textId="77777777" w:rsidR="0046336D" w:rsidRPr="00872B68" w:rsidRDefault="0046336D" w:rsidP="0046336D">
      <w:pPr>
        <w:widowControl w:val="0"/>
        <w:autoSpaceDE w:val="0"/>
        <w:autoSpaceDN w:val="0"/>
        <w:spacing w:before="163"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t>Tomando en consideración las cifras de ingresos y egresos presupuestarios los indicadores de la Postura Fiscal en materia de Balance Presupuestario</w:t>
      </w:r>
      <w:r w:rsidRPr="00E37D56">
        <w:rPr>
          <w:rFonts w:ascii="Arial" w:eastAsia="Arial" w:hAnsi="Arial" w:cs="Arial"/>
          <w:sz w:val="24"/>
          <w:szCs w:val="24"/>
          <w:vertAlign w:val="superscript"/>
          <w:lang w:val="es-ES"/>
        </w:rPr>
        <w:footnoteReference w:id="1"/>
      </w:r>
      <w:r w:rsidRPr="00E37D56">
        <w:rPr>
          <w:rFonts w:ascii="Arial" w:eastAsia="Arial" w:hAnsi="Arial" w:cs="Arial"/>
          <w:sz w:val="24"/>
          <w:szCs w:val="24"/>
          <w:lang w:val="es-ES"/>
        </w:rPr>
        <w:t>, Balance Primario</w:t>
      </w:r>
      <w:r w:rsidRPr="00E37D56">
        <w:rPr>
          <w:rFonts w:ascii="Arial" w:eastAsia="Arial" w:hAnsi="Arial" w:cs="Arial"/>
          <w:sz w:val="24"/>
          <w:szCs w:val="24"/>
          <w:vertAlign w:val="superscript"/>
          <w:lang w:val="es-ES"/>
        </w:rPr>
        <w:footnoteReference w:id="2"/>
      </w:r>
      <w:r w:rsidRPr="00E37D56">
        <w:rPr>
          <w:rFonts w:ascii="Arial" w:eastAsia="Arial" w:hAnsi="Arial" w:cs="Arial"/>
          <w:sz w:val="24"/>
          <w:szCs w:val="24"/>
          <w:lang w:val="es-ES"/>
        </w:rPr>
        <w:t xml:space="preserve"> y Endeudamiento del ejercicio 202</w:t>
      </w:r>
      <w:r>
        <w:rPr>
          <w:rFonts w:ascii="Arial" w:eastAsia="Arial" w:hAnsi="Arial" w:cs="Arial"/>
          <w:sz w:val="24"/>
          <w:szCs w:val="24"/>
          <w:lang w:val="es-ES"/>
        </w:rPr>
        <w:t>2</w:t>
      </w:r>
      <w:r w:rsidRPr="00E37D56">
        <w:rPr>
          <w:rFonts w:ascii="Arial" w:eastAsia="Arial" w:hAnsi="Arial" w:cs="Arial"/>
          <w:sz w:val="24"/>
          <w:szCs w:val="24"/>
          <w:lang w:val="es-ES"/>
        </w:rPr>
        <w:t xml:space="preserve"> arrojan los resultados que se muestran en el siguiente cuadro.</w:t>
      </w:r>
    </w:p>
    <w:tbl>
      <w:tblPr>
        <w:tblStyle w:val="Tablaconcuadrcula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0"/>
        <w:gridCol w:w="2108"/>
        <w:gridCol w:w="1985"/>
        <w:gridCol w:w="1984"/>
      </w:tblGrid>
      <w:tr w:rsidR="0046336D" w:rsidRPr="007F7551" w14:paraId="6986FBE2" w14:textId="77777777" w:rsidTr="00F367CE">
        <w:trPr>
          <w:trHeight w:val="983"/>
          <w:tblHeader/>
        </w:trPr>
        <w:tc>
          <w:tcPr>
            <w:tcW w:w="9067" w:type="dxa"/>
            <w:gridSpan w:val="4"/>
            <w:tcBorders>
              <w:top w:val="single" w:sz="4" w:space="0" w:color="BFBFBF"/>
              <w:left w:val="single" w:sz="4" w:space="0" w:color="BFBFBF"/>
              <w:bottom w:val="single" w:sz="4" w:space="0" w:color="BFBFBF"/>
              <w:right w:val="single" w:sz="4" w:space="0" w:color="BFBFBF"/>
            </w:tcBorders>
          </w:tcPr>
          <w:p w14:paraId="0B0922EF" w14:textId="77777777" w:rsidR="0046336D" w:rsidRPr="007F7551" w:rsidRDefault="0046336D" w:rsidP="0046336D">
            <w:pPr>
              <w:spacing w:line="229" w:lineRule="exact"/>
              <w:ind w:left="510"/>
              <w:jc w:val="center"/>
              <w:rPr>
                <w:rFonts w:eastAsia="Trebuchet MS"/>
                <w:b/>
                <w:color w:val="262626"/>
                <w:szCs w:val="18"/>
              </w:rPr>
            </w:pPr>
            <w:r w:rsidRPr="007F7551">
              <w:rPr>
                <w:rFonts w:eastAsia="Trebuchet MS"/>
                <w:b/>
                <w:color w:val="262626"/>
                <w:szCs w:val="18"/>
              </w:rPr>
              <w:t>Administración Central del Estado de Quintana Roo</w:t>
            </w:r>
          </w:p>
          <w:p w14:paraId="788DDBF9" w14:textId="77777777" w:rsidR="0046336D" w:rsidRPr="007F7551" w:rsidRDefault="0046336D" w:rsidP="0046336D">
            <w:pPr>
              <w:spacing w:line="229" w:lineRule="exact"/>
              <w:ind w:left="510"/>
              <w:jc w:val="center"/>
              <w:rPr>
                <w:rFonts w:eastAsia="Trebuchet MS"/>
                <w:b/>
                <w:color w:val="262626"/>
                <w:szCs w:val="18"/>
              </w:rPr>
            </w:pPr>
            <w:r w:rsidRPr="007F7551">
              <w:rPr>
                <w:rFonts w:eastAsia="Trebuchet MS"/>
                <w:b/>
                <w:color w:val="262626"/>
                <w:szCs w:val="18"/>
              </w:rPr>
              <w:t>Indicadores de Postura Fiscal</w:t>
            </w:r>
          </w:p>
          <w:p w14:paraId="753CE5A7" w14:textId="77777777" w:rsidR="0046336D" w:rsidRPr="007F7551" w:rsidRDefault="0046336D" w:rsidP="0046336D">
            <w:pPr>
              <w:spacing w:line="229" w:lineRule="exact"/>
              <w:ind w:left="510"/>
              <w:jc w:val="center"/>
              <w:rPr>
                <w:rFonts w:eastAsia="Trebuchet MS"/>
                <w:color w:val="262626"/>
                <w:szCs w:val="18"/>
              </w:rPr>
            </w:pPr>
            <w:r w:rsidRPr="007F7551">
              <w:rPr>
                <w:rFonts w:eastAsia="Trebuchet MS"/>
                <w:color w:val="262626"/>
                <w:szCs w:val="18"/>
              </w:rPr>
              <w:t xml:space="preserve">Del 01 de </w:t>
            </w:r>
            <w:r w:rsidR="007F7551" w:rsidRPr="007F7551">
              <w:rPr>
                <w:rFonts w:eastAsia="Trebuchet MS"/>
                <w:color w:val="262626"/>
                <w:szCs w:val="18"/>
              </w:rPr>
              <w:t>enero</w:t>
            </w:r>
            <w:r w:rsidRPr="007F7551">
              <w:rPr>
                <w:rFonts w:eastAsia="Trebuchet MS"/>
                <w:color w:val="262626"/>
                <w:szCs w:val="18"/>
              </w:rPr>
              <w:t xml:space="preserve"> al 31 de </w:t>
            </w:r>
            <w:r w:rsidR="007F7551" w:rsidRPr="007F7551">
              <w:rPr>
                <w:rFonts w:eastAsia="Trebuchet MS"/>
                <w:color w:val="262626"/>
                <w:szCs w:val="18"/>
              </w:rPr>
              <w:t>d</w:t>
            </w:r>
            <w:r w:rsidRPr="007F7551">
              <w:rPr>
                <w:rFonts w:eastAsia="Trebuchet MS"/>
                <w:color w:val="262626"/>
                <w:szCs w:val="18"/>
              </w:rPr>
              <w:t>iciembre de 2022</w:t>
            </w:r>
          </w:p>
          <w:p w14:paraId="3C431DCC" w14:textId="77777777" w:rsidR="0046336D" w:rsidRPr="007F7551" w:rsidRDefault="0046336D" w:rsidP="0046336D">
            <w:pPr>
              <w:spacing w:line="229" w:lineRule="exact"/>
              <w:ind w:left="510"/>
              <w:jc w:val="center"/>
              <w:rPr>
                <w:rFonts w:eastAsia="Trebuchet MS"/>
                <w:color w:val="262626"/>
                <w:szCs w:val="18"/>
              </w:rPr>
            </w:pPr>
            <w:r w:rsidRPr="007F7551">
              <w:rPr>
                <w:rFonts w:eastAsia="Trebuchet MS"/>
                <w:color w:val="262626"/>
                <w:szCs w:val="18"/>
              </w:rPr>
              <w:t>(Miles de Pesos)</w:t>
            </w:r>
          </w:p>
          <w:p w14:paraId="75DAE4C3" w14:textId="77777777" w:rsidR="0046336D" w:rsidRPr="007F7551" w:rsidRDefault="0046336D" w:rsidP="0046336D">
            <w:pPr>
              <w:spacing w:line="229" w:lineRule="exact"/>
              <w:ind w:left="993" w:right="-58"/>
              <w:rPr>
                <w:rFonts w:eastAsia="Trebuchet MS"/>
                <w:sz w:val="10"/>
                <w:szCs w:val="18"/>
              </w:rPr>
            </w:pPr>
          </w:p>
        </w:tc>
      </w:tr>
      <w:tr w:rsidR="0046336D" w:rsidRPr="007F7551" w14:paraId="0BC5C523" w14:textId="77777777" w:rsidTr="00F367CE">
        <w:trPr>
          <w:trHeight w:val="424"/>
          <w:tblHeader/>
        </w:trPr>
        <w:tc>
          <w:tcPr>
            <w:tcW w:w="2990"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7A79EE6E" w14:textId="77777777" w:rsidR="0046336D" w:rsidRPr="007F7551" w:rsidRDefault="0046336D" w:rsidP="0046336D">
            <w:pPr>
              <w:widowControl w:val="0"/>
              <w:autoSpaceDE w:val="0"/>
              <w:autoSpaceDN w:val="0"/>
              <w:spacing w:line="229" w:lineRule="exact"/>
              <w:ind w:right="-58"/>
              <w:jc w:val="center"/>
              <w:rPr>
                <w:rFonts w:eastAsia="Arial"/>
                <w:b/>
                <w:color w:val="FFFFFF"/>
                <w:sz w:val="18"/>
                <w:szCs w:val="18"/>
              </w:rPr>
            </w:pPr>
            <w:r w:rsidRPr="007F7551">
              <w:rPr>
                <w:rFonts w:eastAsia="Arial"/>
                <w:b/>
                <w:color w:val="FFFFFF"/>
                <w:sz w:val="18"/>
                <w:szCs w:val="18"/>
              </w:rPr>
              <w:t>Concepto</w:t>
            </w:r>
          </w:p>
        </w:tc>
        <w:tc>
          <w:tcPr>
            <w:tcW w:w="2108"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32BCF04B" w14:textId="77777777" w:rsidR="0046336D" w:rsidRPr="007F7551" w:rsidRDefault="0046336D" w:rsidP="0046336D">
            <w:pPr>
              <w:widowControl w:val="0"/>
              <w:autoSpaceDE w:val="0"/>
              <w:autoSpaceDN w:val="0"/>
              <w:spacing w:line="229" w:lineRule="exact"/>
              <w:ind w:right="-58"/>
              <w:jc w:val="center"/>
              <w:rPr>
                <w:rFonts w:eastAsia="Arial"/>
                <w:b/>
                <w:color w:val="FFFFFF"/>
                <w:sz w:val="18"/>
                <w:szCs w:val="18"/>
              </w:rPr>
            </w:pPr>
            <w:r w:rsidRPr="007F7551">
              <w:rPr>
                <w:rFonts w:eastAsia="Arial"/>
                <w:b/>
                <w:color w:val="FFFFFF"/>
                <w:sz w:val="18"/>
                <w:szCs w:val="18"/>
              </w:rPr>
              <w:t>Estimado</w:t>
            </w:r>
          </w:p>
        </w:tc>
        <w:tc>
          <w:tcPr>
            <w:tcW w:w="1985"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155B2A51" w14:textId="77777777" w:rsidR="0046336D" w:rsidRPr="007F7551" w:rsidRDefault="0046336D" w:rsidP="0046336D">
            <w:pPr>
              <w:widowControl w:val="0"/>
              <w:autoSpaceDE w:val="0"/>
              <w:autoSpaceDN w:val="0"/>
              <w:spacing w:line="229" w:lineRule="exact"/>
              <w:ind w:right="-58"/>
              <w:jc w:val="center"/>
              <w:rPr>
                <w:rFonts w:eastAsia="Arial"/>
                <w:b/>
                <w:color w:val="FFFFFF"/>
                <w:sz w:val="18"/>
                <w:szCs w:val="18"/>
              </w:rPr>
            </w:pPr>
            <w:r w:rsidRPr="007F7551">
              <w:rPr>
                <w:rFonts w:eastAsia="Arial"/>
                <w:b/>
                <w:color w:val="FFFFFF"/>
                <w:sz w:val="18"/>
                <w:szCs w:val="18"/>
              </w:rPr>
              <w:t>Devengado</w:t>
            </w:r>
          </w:p>
        </w:tc>
        <w:tc>
          <w:tcPr>
            <w:tcW w:w="1984"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65731A53" w14:textId="77777777" w:rsidR="0046336D" w:rsidRPr="007F7551" w:rsidRDefault="0046336D" w:rsidP="0046336D">
            <w:pPr>
              <w:widowControl w:val="0"/>
              <w:autoSpaceDE w:val="0"/>
              <w:autoSpaceDN w:val="0"/>
              <w:spacing w:line="229" w:lineRule="exact"/>
              <w:ind w:right="-58"/>
              <w:jc w:val="center"/>
              <w:rPr>
                <w:rFonts w:eastAsia="Arial"/>
                <w:b/>
                <w:color w:val="FFFFFF"/>
                <w:sz w:val="18"/>
                <w:szCs w:val="18"/>
              </w:rPr>
            </w:pPr>
            <w:r w:rsidRPr="007F7551">
              <w:rPr>
                <w:rFonts w:eastAsia="Arial"/>
                <w:b/>
                <w:color w:val="FFFFFF"/>
                <w:sz w:val="18"/>
                <w:szCs w:val="18"/>
              </w:rPr>
              <w:t>Recaudado / Pagado</w:t>
            </w:r>
          </w:p>
        </w:tc>
      </w:tr>
      <w:tr w:rsidR="0046336D" w:rsidRPr="007F7551" w14:paraId="3ED969D0" w14:textId="77777777" w:rsidTr="0046336D">
        <w:trPr>
          <w:trHeight w:val="340"/>
        </w:trPr>
        <w:tc>
          <w:tcPr>
            <w:tcW w:w="2990" w:type="dxa"/>
            <w:tcBorders>
              <w:top w:val="single" w:sz="4" w:space="0" w:color="BFBFBF"/>
              <w:left w:val="single" w:sz="4" w:space="0" w:color="BFBFBF"/>
              <w:bottom w:val="single" w:sz="4" w:space="0" w:color="BFBFBF"/>
              <w:right w:val="single" w:sz="4" w:space="0" w:color="BFBFBF"/>
            </w:tcBorders>
            <w:vAlign w:val="center"/>
          </w:tcPr>
          <w:p w14:paraId="3D28812B"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b/>
                <w:bCs/>
                <w:sz w:val="18"/>
                <w:szCs w:val="18"/>
              </w:rPr>
              <w:t>Ingresos Presupuestarios</w:t>
            </w:r>
            <w:r w:rsidRPr="007F7551">
              <w:rPr>
                <w:rFonts w:ascii="Arial" w:eastAsia="Trebuchet MS" w:hAnsi="Arial" w:cs="Arial"/>
                <w:sz w:val="18"/>
                <w:szCs w:val="18"/>
              </w:rPr>
              <w:t xml:space="preserve"> </w:t>
            </w:r>
          </w:p>
        </w:tc>
        <w:tc>
          <w:tcPr>
            <w:tcW w:w="2108" w:type="dxa"/>
            <w:tcBorders>
              <w:top w:val="single" w:sz="4" w:space="0" w:color="BFBFBF"/>
              <w:left w:val="single" w:sz="4" w:space="0" w:color="BFBFBF"/>
              <w:bottom w:val="single" w:sz="4" w:space="0" w:color="BFBFBF"/>
              <w:right w:val="single" w:sz="4" w:space="0" w:color="BFBFBF"/>
            </w:tcBorders>
            <w:vAlign w:val="center"/>
          </w:tcPr>
          <w:p w14:paraId="55F023F7"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b/>
                <w:bCs/>
                <w:sz w:val="18"/>
                <w:szCs w:val="18"/>
              </w:rPr>
              <w:t>34,611,212</w:t>
            </w:r>
          </w:p>
        </w:tc>
        <w:tc>
          <w:tcPr>
            <w:tcW w:w="1985" w:type="dxa"/>
            <w:tcBorders>
              <w:top w:val="single" w:sz="4" w:space="0" w:color="BFBFBF"/>
              <w:left w:val="single" w:sz="4" w:space="0" w:color="BFBFBF"/>
              <w:bottom w:val="single" w:sz="4" w:space="0" w:color="BFBFBF"/>
              <w:right w:val="single" w:sz="4" w:space="0" w:color="BFBFBF"/>
            </w:tcBorders>
            <w:vAlign w:val="center"/>
          </w:tcPr>
          <w:p w14:paraId="78A0904C"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b/>
                <w:bCs/>
                <w:sz w:val="18"/>
                <w:szCs w:val="18"/>
              </w:rPr>
              <w:t xml:space="preserve">38,813,861 </w:t>
            </w:r>
          </w:p>
        </w:tc>
        <w:tc>
          <w:tcPr>
            <w:tcW w:w="1984" w:type="dxa"/>
            <w:tcBorders>
              <w:top w:val="single" w:sz="4" w:space="0" w:color="BFBFBF"/>
              <w:left w:val="single" w:sz="4" w:space="0" w:color="BFBFBF"/>
              <w:bottom w:val="single" w:sz="4" w:space="0" w:color="BFBFBF"/>
              <w:right w:val="single" w:sz="4" w:space="0" w:color="BFBFBF"/>
            </w:tcBorders>
            <w:vAlign w:val="center"/>
          </w:tcPr>
          <w:p w14:paraId="42CC9E15"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b/>
                <w:bCs/>
                <w:sz w:val="18"/>
                <w:szCs w:val="18"/>
              </w:rPr>
              <w:t xml:space="preserve">38,813,861 </w:t>
            </w:r>
          </w:p>
        </w:tc>
      </w:tr>
      <w:tr w:rsidR="0046336D" w:rsidRPr="007F7551" w14:paraId="09DE2DAD" w14:textId="77777777" w:rsidTr="0046336D">
        <w:trPr>
          <w:trHeight w:val="340"/>
        </w:trPr>
        <w:tc>
          <w:tcPr>
            <w:tcW w:w="2990" w:type="dxa"/>
            <w:tcBorders>
              <w:top w:val="single" w:sz="4" w:space="0" w:color="BFBFBF"/>
              <w:left w:val="single" w:sz="4" w:space="0" w:color="BFBFBF"/>
              <w:bottom w:val="single" w:sz="4" w:space="0" w:color="BFBFBF"/>
              <w:right w:val="single" w:sz="4" w:space="0" w:color="BFBFBF"/>
            </w:tcBorders>
            <w:vAlign w:val="center"/>
          </w:tcPr>
          <w:p w14:paraId="35BD36C4"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sz w:val="18"/>
                <w:szCs w:val="18"/>
              </w:rPr>
              <w:t>Ingresos del Gobierno</w:t>
            </w:r>
          </w:p>
        </w:tc>
        <w:tc>
          <w:tcPr>
            <w:tcW w:w="2108" w:type="dxa"/>
            <w:tcBorders>
              <w:top w:val="single" w:sz="4" w:space="0" w:color="BFBFBF"/>
              <w:left w:val="single" w:sz="4" w:space="0" w:color="BFBFBF"/>
              <w:bottom w:val="single" w:sz="4" w:space="0" w:color="BFBFBF"/>
              <w:right w:val="single" w:sz="4" w:space="0" w:color="BFBFBF"/>
            </w:tcBorders>
            <w:vAlign w:val="center"/>
          </w:tcPr>
          <w:p w14:paraId="36EACDC0"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sz w:val="18"/>
                <w:szCs w:val="18"/>
              </w:rPr>
              <w:t xml:space="preserve">34,611,212 </w:t>
            </w:r>
          </w:p>
        </w:tc>
        <w:tc>
          <w:tcPr>
            <w:tcW w:w="1985" w:type="dxa"/>
            <w:tcBorders>
              <w:top w:val="single" w:sz="4" w:space="0" w:color="BFBFBF"/>
              <w:left w:val="single" w:sz="4" w:space="0" w:color="BFBFBF"/>
              <w:bottom w:val="single" w:sz="4" w:space="0" w:color="BFBFBF"/>
              <w:right w:val="single" w:sz="4" w:space="0" w:color="BFBFBF"/>
            </w:tcBorders>
            <w:vAlign w:val="center"/>
          </w:tcPr>
          <w:p w14:paraId="68E422B4"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38,813,861 </w:t>
            </w:r>
          </w:p>
        </w:tc>
        <w:tc>
          <w:tcPr>
            <w:tcW w:w="1984" w:type="dxa"/>
            <w:tcBorders>
              <w:top w:val="single" w:sz="4" w:space="0" w:color="BFBFBF"/>
              <w:left w:val="single" w:sz="4" w:space="0" w:color="BFBFBF"/>
              <w:bottom w:val="single" w:sz="4" w:space="0" w:color="BFBFBF"/>
              <w:right w:val="single" w:sz="4" w:space="0" w:color="BFBFBF"/>
            </w:tcBorders>
            <w:vAlign w:val="center"/>
          </w:tcPr>
          <w:p w14:paraId="13143912"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38,813,861 </w:t>
            </w:r>
          </w:p>
        </w:tc>
      </w:tr>
      <w:tr w:rsidR="0046336D" w:rsidRPr="007F7551" w14:paraId="6800FB69" w14:textId="77777777" w:rsidTr="0046336D">
        <w:trPr>
          <w:trHeight w:val="340"/>
        </w:trPr>
        <w:tc>
          <w:tcPr>
            <w:tcW w:w="2990" w:type="dxa"/>
            <w:tcBorders>
              <w:top w:val="single" w:sz="4" w:space="0" w:color="BFBFBF"/>
              <w:left w:val="single" w:sz="4" w:space="0" w:color="BFBFBF"/>
              <w:bottom w:val="single" w:sz="4" w:space="0" w:color="BFBFBF"/>
              <w:right w:val="single" w:sz="4" w:space="0" w:color="BFBFBF"/>
            </w:tcBorders>
            <w:vAlign w:val="center"/>
          </w:tcPr>
          <w:p w14:paraId="2B8AF9ED"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sz w:val="18"/>
                <w:szCs w:val="18"/>
              </w:rPr>
              <w:t xml:space="preserve">Ingresos del Sector Paraestatal </w:t>
            </w:r>
          </w:p>
        </w:tc>
        <w:tc>
          <w:tcPr>
            <w:tcW w:w="2108" w:type="dxa"/>
            <w:tcBorders>
              <w:top w:val="single" w:sz="4" w:space="0" w:color="BFBFBF"/>
              <w:left w:val="single" w:sz="4" w:space="0" w:color="BFBFBF"/>
              <w:bottom w:val="single" w:sz="4" w:space="0" w:color="BFBFBF"/>
              <w:right w:val="single" w:sz="4" w:space="0" w:color="BFBFBF"/>
            </w:tcBorders>
            <w:vAlign w:val="center"/>
          </w:tcPr>
          <w:p w14:paraId="0DA2B5CB"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sz w:val="18"/>
                <w:szCs w:val="18"/>
              </w:rPr>
              <w:t xml:space="preserve">0 </w:t>
            </w:r>
          </w:p>
        </w:tc>
        <w:tc>
          <w:tcPr>
            <w:tcW w:w="1985" w:type="dxa"/>
            <w:tcBorders>
              <w:top w:val="single" w:sz="4" w:space="0" w:color="BFBFBF"/>
              <w:left w:val="single" w:sz="4" w:space="0" w:color="BFBFBF"/>
              <w:bottom w:val="single" w:sz="4" w:space="0" w:color="BFBFBF"/>
              <w:right w:val="single" w:sz="4" w:space="0" w:color="BFBFBF"/>
            </w:tcBorders>
            <w:vAlign w:val="center"/>
          </w:tcPr>
          <w:p w14:paraId="3624E52B"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0 </w:t>
            </w:r>
          </w:p>
        </w:tc>
        <w:tc>
          <w:tcPr>
            <w:tcW w:w="1984" w:type="dxa"/>
            <w:tcBorders>
              <w:top w:val="single" w:sz="4" w:space="0" w:color="BFBFBF"/>
              <w:left w:val="single" w:sz="4" w:space="0" w:color="BFBFBF"/>
              <w:bottom w:val="single" w:sz="4" w:space="0" w:color="BFBFBF"/>
              <w:right w:val="single" w:sz="4" w:space="0" w:color="BFBFBF"/>
            </w:tcBorders>
            <w:vAlign w:val="center"/>
          </w:tcPr>
          <w:p w14:paraId="407873D8"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0 </w:t>
            </w:r>
          </w:p>
        </w:tc>
      </w:tr>
      <w:tr w:rsidR="0046336D" w:rsidRPr="007F7551" w14:paraId="43B2BE02" w14:textId="77777777" w:rsidTr="0046336D">
        <w:trPr>
          <w:trHeight w:val="340"/>
        </w:trPr>
        <w:tc>
          <w:tcPr>
            <w:tcW w:w="2990" w:type="dxa"/>
            <w:tcBorders>
              <w:top w:val="single" w:sz="4" w:space="0" w:color="BFBFBF"/>
              <w:left w:val="single" w:sz="4" w:space="0" w:color="BFBFBF"/>
              <w:bottom w:val="single" w:sz="4" w:space="0" w:color="BFBFBF"/>
              <w:right w:val="single" w:sz="4" w:space="0" w:color="BFBFBF"/>
            </w:tcBorders>
            <w:vAlign w:val="center"/>
          </w:tcPr>
          <w:p w14:paraId="08B9D21A"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b/>
                <w:bCs/>
                <w:sz w:val="18"/>
                <w:szCs w:val="18"/>
              </w:rPr>
              <w:lastRenderedPageBreak/>
              <w:t>Egresos Presupuestarios</w:t>
            </w:r>
            <w:r w:rsidRPr="007F7551">
              <w:rPr>
                <w:rFonts w:ascii="Arial" w:eastAsia="Trebuchet MS" w:hAnsi="Arial" w:cs="Arial"/>
                <w:sz w:val="18"/>
                <w:szCs w:val="18"/>
              </w:rPr>
              <w:t xml:space="preserve"> </w:t>
            </w:r>
          </w:p>
        </w:tc>
        <w:tc>
          <w:tcPr>
            <w:tcW w:w="2108" w:type="dxa"/>
            <w:tcBorders>
              <w:top w:val="single" w:sz="4" w:space="0" w:color="BFBFBF"/>
              <w:left w:val="single" w:sz="4" w:space="0" w:color="BFBFBF"/>
              <w:bottom w:val="single" w:sz="4" w:space="0" w:color="BFBFBF"/>
              <w:right w:val="single" w:sz="4" w:space="0" w:color="BFBFBF"/>
            </w:tcBorders>
            <w:vAlign w:val="center"/>
          </w:tcPr>
          <w:p w14:paraId="5BBDD296"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b/>
                <w:bCs/>
                <w:sz w:val="18"/>
                <w:szCs w:val="18"/>
              </w:rPr>
              <w:t>34,036,573</w:t>
            </w:r>
          </w:p>
        </w:tc>
        <w:tc>
          <w:tcPr>
            <w:tcW w:w="1985" w:type="dxa"/>
            <w:tcBorders>
              <w:top w:val="single" w:sz="4" w:space="0" w:color="BFBFBF"/>
              <w:left w:val="single" w:sz="4" w:space="0" w:color="BFBFBF"/>
              <w:bottom w:val="single" w:sz="4" w:space="0" w:color="BFBFBF"/>
              <w:right w:val="single" w:sz="4" w:space="0" w:color="BFBFBF"/>
            </w:tcBorders>
            <w:vAlign w:val="center"/>
          </w:tcPr>
          <w:p w14:paraId="1C44A59A"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b/>
                <w:bCs/>
                <w:sz w:val="18"/>
                <w:szCs w:val="18"/>
              </w:rPr>
              <w:t>40,263,920</w:t>
            </w:r>
          </w:p>
        </w:tc>
        <w:tc>
          <w:tcPr>
            <w:tcW w:w="1984" w:type="dxa"/>
            <w:tcBorders>
              <w:top w:val="single" w:sz="4" w:space="0" w:color="BFBFBF"/>
              <w:left w:val="single" w:sz="4" w:space="0" w:color="BFBFBF"/>
              <w:bottom w:val="single" w:sz="4" w:space="0" w:color="BFBFBF"/>
              <w:right w:val="single" w:sz="4" w:space="0" w:color="BFBFBF"/>
            </w:tcBorders>
            <w:vAlign w:val="center"/>
          </w:tcPr>
          <w:p w14:paraId="1091C802"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b/>
                <w:bCs/>
                <w:sz w:val="18"/>
                <w:szCs w:val="18"/>
              </w:rPr>
              <w:t xml:space="preserve">38,270,417 </w:t>
            </w:r>
          </w:p>
        </w:tc>
      </w:tr>
      <w:tr w:rsidR="0046336D" w:rsidRPr="007F7551" w14:paraId="10DDEAEC" w14:textId="77777777" w:rsidTr="0046336D">
        <w:trPr>
          <w:trHeight w:val="340"/>
        </w:trPr>
        <w:tc>
          <w:tcPr>
            <w:tcW w:w="2990" w:type="dxa"/>
            <w:tcBorders>
              <w:top w:val="single" w:sz="4" w:space="0" w:color="BFBFBF"/>
              <w:left w:val="single" w:sz="4" w:space="0" w:color="BFBFBF"/>
              <w:bottom w:val="single" w:sz="4" w:space="0" w:color="BFBFBF"/>
              <w:right w:val="single" w:sz="4" w:space="0" w:color="BFBFBF"/>
            </w:tcBorders>
            <w:vAlign w:val="center"/>
          </w:tcPr>
          <w:p w14:paraId="3B301EEE"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sz w:val="18"/>
                <w:szCs w:val="18"/>
              </w:rPr>
              <w:t xml:space="preserve">Egresos del Gobierno </w:t>
            </w:r>
          </w:p>
        </w:tc>
        <w:tc>
          <w:tcPr>
            <w:tcW w:w="2108" w:type="dxa"/>
            <w:tcBorders>
              <w:top w:val="single" w:sz="4" w:space="0" w:color="BFBFBF"/>
              <w:left w:val="single" w:sz="4" w:space="0" w:color="BFBFBF"/>
              <w:bottom w:val="single" w:sz="4" w:space="0" w:color="BFBFBF"/>
              <w:right w:val="single" w:sz="4" w:space="0" w:color="BFBFBF"/>
            </w:tcBorders>
            <w:vAlign w:val="center"/>
          </w:tcPr>
          <w:p w14:paraId="401F5FE3"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sz w:val="18"/>
                <w:szCs w:val="18"/>
              </w:rPr>
              <w:t xml:space="preserve">18,256,563 </w:t>
            </w:r>
          </w:p>
        </w:tc>
        <w:tc>
          <w:tcPr>
            <w:tcW w:w="1985" w:type="dxa"/>
            <w:tcBorders>
              <w:top w:val="single" w:sz="4" w:space="0" w:color="BFBFBF"/>
              <w:left w:val="single" w:sz="4" w:space="0" w:color="BFBFBF"/>
              <w:bottom w:val="single" w:sz="4" w:space="0" w:color="BFBFBF"/>
              <w:right w:val="single" w:sz="4" w:space="0" w:color="BFBFBF"/>
            </w:tcBorders>
            <w:vAlign w:val="center"/>
          </w:tcPr>
          <w:p w14:paraId="0EAE4FA0"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20,691,390 </w:t>
            </w:r>
          </w:p>
        </w:tc>
        <w:tc>
          <w:tcPr>
            <w:tcW w:w="1984" w:type="dxa"/>
            <w:tcBorders>
              <w:top w:val="single" w:sz="4" w:space="0" w:color="BFBFBF"/>
              <w:left w:val="single" w:sz="4" w:space="0" w:color="BFBFBF"/>
              <w:bottom w:val="single" w:sz="4" w:space="0" w:color="BFBFBF"/>
              <w:right w:val="single" w:sz="4" w:space="0" w:color="BFBFBF"/>
            </w:tcBorders>
            <w:vAlign w:val="center"/>
          </w:tcPr>
          <w:p w14:paraId="50315D87"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19,712,760</w:t>
            </w:r>
          </w:p>
        </w:tc>
      </w:tr>
      <w:tr w:rsidR="0046336D" w:rsidRPr="007F7551" w14:paraId="50D1D0F4" w14:textId="77777777" w:rsidTr="0046336D">
        <w:trPr>
          <w:trHeight w:val="340"/>
        </w:trPr>
        <w:tc>
          <w:tcPr>
            <w:tcW w:w="2990" w:type="dxa"/>
            <w:tcBorders>
              <w:top w:val="single" w:sz="4" w:space="0" w:color="BFBFBF"/>
              <w:left w:val="single" w:sz="4" w:space="0" w:color="BFBFBF"/>
              <w:bottom w:val="single" w:sz="4" w:space="0" w:color="BFBFBF"/>
              <w:right w:val="single" w:sz="4" w:space="0" w:color="BFBFBF"/>
            </w:tcBorders>
            <w:vAlign w:val="center"/>
          </w:tcPr>
          <w:p w14:paraId="2C8A2246"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sz w:val="18"/>
                <w:szCs w:val="18"/>
              </w:rPr>
              <w:t>Egresos del Sector Paraestatal</w:t>
            </w:r>
            <w:r w:rsidRPr="007F7551">
              <w:rPr>
                <w:rFonts w:ascii="Arial" w:eastAsia="Trebuchet MS" w:hAnsi="Arial" w:cs="Arial"/>
                <w:sz w:val="16"/>
                <w:szCs w:val="16"/>
              </w:rPr>
              <w:t>(1)</w:t>
            </w:r>
            <w:r w:rsidRPr="007F7551">
              <w:rPr>
                <w:rFonts w:ascii="Arial" w:eastAsia="Trebuchet MS" w:hAnsi="Arial" w:cs="Arial"/>
                <w:sz w:val="18"/>
                <w:szCs w:val="18"/>
              </w:rPr>
              <w:t xml:space="preserve"> </w:t>
            </w:r>
          </w:p>
        </w:tc>
        <w:tc>
          <w:tcPr>
            <w:tcW w:w="2108" w:type="dxa"/>
            <w:tcBorders>
              <w:top w:val="single" w:sz="4" w:space="0" w:color="BFBFBF"/>
              <w:left w:val="single" w:sz="4" w:space="0" w:color="BFBFBF"/>
              <w:bottom w:val="single" w:sz="4" w:space="0" w:color="BFBFBF"/>
              <w:right w:val="single" w:sz="4" w:space="0" w:color="BFBFBF"/>
            </w:tcBorders>
            <w:vAlign w:val="center"/>
          </w:tcPr>
          <w:p w14:paraId="4A51964B"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sz w:val="18"/>
                <w:szCs w:val="18"/>
              </w:rPr>
              <w:t xml:space="preserve">15,780,009 </w:t>
            </w:r>
          </w:p>
        </w:tc>
        <w:tc>
          <w:tcPr>
            <w:tcW w:w="1985" w:type="dxa"/>
            <w:tcBorders>
              <w:top w:val="single" w:sz="4" w:space="0" w:color="BFBFBF"/>
              <w:left w:val="single" w:sz="4" w:space="0" w:color="BFBFBF"/>
              <w:bottom w:val="single" w:sz="4" w:space="0" w:color="BFBFBF"/>
              <w:right w:val="single" w:sz="4" w:space="0" w:color="BFBFBF"/>
            </w:tcBorders>
            <w:vAlign w:val="center"/>
          </w:tcPr>
          <w:p w14:paraId="36FFA44C"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19,572,530 </w:t>
            </w:r>
          </w:p>
        </w:tc>
        <w:tc>
          <w:tcPr>
            <w:tcW w:w="1984" w:type="dxa"/>
            <w:tcBorders>
              <w:top w:val="single" w:sz="4" w:space="0" w:color="BFBFBF"/>
              <w:left w:val="single" w:sz="4" w:space="0" w:color="BFBFBF"/>
              <w:bottom w:val="single" w:sz="4" w:space="0" w:color="BFBFBF"/>
              <w:right w:val="single" w:sz="4" w:space="0" w:color="BFBFBF"/>
            </w:tcBorders>
            <w:vAlign w:val="center"/>
          </w:tcPr>
          <w:p w14:paraId="084EC46A"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18,557,657 </w:t>
            </w:r>
          </w:p>
        </w:tc>
      </w:tr>
      <w:tr w:rsidR="0046336D" w:rsidRPr="007F7551" w14:paraId="5257519A" w14:textId="77777777" w:rsidTr="0046336D">
        <w:trPr>
          <w:trHeight w:val="340"/>
        </w:trPr>
        <w:tc>
          <w:tcPr>
            <w:tcW w:w="2990" w:type="dxa"/>
            <w:tcBorders>
              <w:top w:val="single" w:sz="4" w:space="0" w:color="BFBFBF"/>
              <w:left w:val="single" w:sz="4" w:space="0" w:color="BFBFBF"/>
              <w:bottom w:val="single" w:sz="4" w:space="0" w:color="BFBFBF"/>
              <w:right w:val="single" w:sz="4" w:space="0" w:color="BFBFBF"/>
            </w:tcBorders>
            <w:vAlign w:val="center"/>
          </w:tcPr>
          <w:p w14:paraId="1C49EE32"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b/>
                <w:bCs/>
                <w:sz w:val="18"/>
                <w:szCs w:val="18"/>
              </w:rPr>
              <w:t>Balance Presupuestario (</w:t>
            </w:r>
            <w:r w:rsidRPr="007F7551">
              <w:rPr>
                <w:rFonts w:ascii="Arial" w:eastAsia="Trebuchet MS" w:hAnsi="Arial" w:cs="Arial"/>
                <w:b/>
                <w:bCs/>
                <w:i/>
                <w:iCs/>
                <w:sz w:val="18"/>
                <w:szCs w:val="18"/>
              </w:rPr>
              <w:t xml:space="preserve">superávit o déficit) </w:t>
            </w:r>
          </w:p>
        </w:tc>
        <w:tc>
          <w:tcPr>
            <w:tcW w:w="2108" w:type="dxa"/>
            <w:tcBorders>
              <w:top w:val="single" w:sz="4" w:space="0" w:color="BFBFBF"/>
              <w:left w:val="single" w:sz="4" w:space="0" w:color="BFBFBF"/>
              <w:bottom w:val="single" w:sz="4" w:space="0" w:color="BFBFBF"/>
              <w:right w:val="single" w:sz="4" w:space="0" w:color="BFBFBF"/>
            </w:tcBorders>
            <w:vAlign w:val="center"/>
          </w:tcPr>
          <w:p w14:paraId="5B43A790"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b/>
                <w:bCs/>
                <w:sz w:val="18"/>
                <w:szCs w:val="18"/>
              </w:rPr>
              <w:t xml:space="preserve">574,639 </w:t>
            </w:r>
          </w:p>
        </w:tc>
        <w:tc>
          <w:tcPr>
            <w:tcW w:w="1985" w:type="dxa"/>
            <w:tcBorders>
              <w:top w:val="single" w:sz="4" w:space="0" w:color="BFBFBF"/>
              <w:left w:val="single" w:sz="4" w:space="0" w:color="BFBFBF"/>
              <w:bottom w:val="single" w:sz="4" w:space="0" w:color="BFBFBF"/>
              <w:right w:val="single" w:sz="4" w:space="0" w:color="BFBFBF"/>
            </w:tcBorders>
            <w:vAlign w:val="center"/>
          </w:tcPr>
          <w:p w14:paraId="4D803061"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b/>
                <w:bCs/>
                <w:sz w:val="18"/>
                <w:szCs w:val="18"/>
              </w:rPr>
              <w:t>-1,450,060</w:t>
            </w:r>
          </w:p>
        </w:tc>
        <w:tc>
          <w:tcPr>
            <w:tcW w:w="1984" w:type="dxa"/>
            <w:tcBorders>
              <w:top w:val="single" w:sz="4" w:space="0" w:color="BFBFBF"/>
              <w:left w:val="single" w:sz="4" w:space="0" w:color="BFBFBF"/>
              <w:bottom w:val="single" w:sz="4" w:space="0" w:color="BFBFBF"/>
              <w:right w:val="single" w:sz="4" w:space="0" w:color="BFBFBF"/>
            </w:tcBorders>
            <w:vAlign w:val="center"/>
          </w:tcPr>
          <w:p w14:paraId="49CCD6C0"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b/>
                <w:bCs/>
                <w:sz w:val="18"/>
                <w:szCs w:val="18"/>
              </w:rPr>
              <w:t>543,443</w:t>
            </w:r>
          </w:p>
        </w:tc>
      </w:tr>
      <w:tr w:rsidR="0046336D" w:rsidRPr="007F7551" w14:paraId="62F716A8" w14:textId="77777777" w:rsidTr="0046336D">
        <w:trPr>
          <w:trHeight w:val="397"/>
        </w:trPr>
        <w:tc>
          <w:tcPr>
            <w:tcW w:w="2990"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7AE25037" w14:textId="77777777" w:rsidR="0046336D" w:rsidRPr="007F7551" w:rsidRDefault="0046336D" w:rsidP="0046336D">
            <w:pPr>
              <w:widowControl w:val="0"/>
              <w:autoSpaceDE w:val="0"/>
              <w:autoSpaceDN w:val="0"/>
              <w:spacing w:line="229" w:lineRule="exact"/>
              <w:ind w:right="-58"/>
              <w:jc w:val="center"/>
              <w:rPr>
                <w:rFonts w:ascii="Arial" w:eastAsia="Arial" w:hAnsi="Arial" w:cs="Arial"/>
                <w:b/>
                <w:color w:val="FFFFFF"/>
                <w:sz w:val="18"/>
                <w:szCs w:val="18"/>
              </w:rPr>
            </w:pPr>
            <w:r w:rsidRPr="007F7551">
              <w:rPr>
                <w:rFonts w:ascii="Arial" w:eastAsia="Arial" w:hAnsi="Arial" w:cs="Arial"/>
                <w:b/>
                <w:color w:val="FFFFFF"/>
                <w:sz w:val="18"/>
                <w:szCs w:val="18"/>
              </w:rPr>
              <w:t>Concepto</w:t>
            </w:r>
          </w:p>
        </w:tc>
        <w:tc>
          <w:tcPr>
            <w:tcW w:w="2108"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572C54ED" w14:textId="77777777" w:rsidR="0046336D" w:rsidRPr="007F7551" w:rsidRDefault="0046336D" w:rsidP="0046336D">
            <w:pPr>
              <w:widowControl w:val="0"/>
              <w:autoSpaceDE w:val="0"/>
              <w:autoSpaceDN w:val="0"/>
              <w:spacing w:line="229" w:lineRule="exact"/>
              <w:ind w:right="-58"/>
              <w:jc w:val="center"/>
              <w:rPr>
                <w:rFonts w:ascii="Arial" w:eastAsia="Arial" w:hAnsi="Arial" w:cs="Arial"/>
                <w:b/>
                <w:color w:val="FFFFFF"/>
                <w:sz w:val="18"/>
                <w:szCs w:val="18"/>
              </w:rPr>
            </w:pPr>
            <w:r w:rsidRPr="007F7551">
              <w:rPr>
                <w:rFonts w:ascii="Arial" w:eastAsia="Arial" w:hAnsi="Arial" w:cs="Arial"/>
                <w:b/>
                <w:color w:val="FFFFFF"/>
                <w:sz w:val="18"/>
                <w:szCs w:val="18"/>
              </w:rPr>
              <w:t>Estimado</w:t>
            </w:r>
          </w:p>
        </w:tc>
        <w:tc>
          <w:tcPr>
            <w:tcW w:w="1985"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5AC2E72E" w14:textId="77777777" w:rsidR="0046336D" w:rsidRPr="007F7551" w:rsidRDefault="0046336D" w:rsidP="0046336D">
            <w:pPr>
              <w:widowControl w:val="0"/>
              <w:autoSpaceDE w:val="0"/>
              <w:autoSpaceDN w:val="0"/>
              <w:spacing w:line="229" w:lineRule="exact"/>
              <w:ind w:right="-58"/>
              <w:jc w:val="center"/>
              <w:rPr>
                <w:rFonts w:ascii="Arial" w:eastAsia="Arial" w:hAnsi="Arial" w:cs="Arial"/>
                <w:b/>
                <w:color w:val="FFFFFF"/>
                <w:sz w:val="18"/>
                <w:szCs w:val="18"/>
              </w:rPr>
            </w:pPr>
            <w:r w:rsidRPr="007F7551">
              <w:rPr>
                <w:rFonts w:ascii="Arial" w:eastAsia="Arial" w:hAnsi="Arial" w:cs="Arial"/>
                <w:b/>
                <w:color w:val="FFFFFF"/>
                <w:sz w:val="18"/>
                <w:szCs w:val="18"/>
              </w:rPr>
              <w:t>Devengado</w:t>
            </w:r>
          </w:p>
        </w:tc>
        <w:tc>
          <w:tcPr>
            <w:tcW w:w="1984"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022BBCD0" w14:textId="77777777" w:rsidR="0046336D" w:rsidRPr="007F7551" w:rsidRDefault="0046336D" w:rsidP="0046336D">
            <w:pPr>
              <w:widowControl w:val="0"/>
              <w:autoSpaceDE w:val="0"/>
              <w:autoSpaceDN w:val="0"/>
              <w:spacing w:line="229" w:lineRule="exact"/>
              <w:ind w:right="-58"/>
              <w:jc w:val="center"/>
              <w:rPr>
                <w:rFonts w:ascii="Arial" w:eastAsia="Arial" w:hAnsi="Arial" w:cs="Arial"/>
                <w:b/>
                <w:color w:val="FFFFFF"/>
                <w:sz w:val="18"/>
                <w:szCs w:val="18"/>
              </w:rPr>
            </w:pPr>
            <w:r w:rsidRPr="007F7551">
              <w:rPr>
                <w:rFonts w:ascii="Arial" w:eastAsia="Arial" w:hAnsi="Arial" w:cs="Arial"/>
                <w:b/>
                <w:color w:val="FFFFFF"/>
                <w:sz w:val="18"/>
                <w:szCs w:val="18"/>
              </w:rPr>
              <w:t>Recaudado / Pagado</w:t>
            </w:r>
          </w:p>
        </w:tc>
      </w:tr>
      <w:tr w:rsidR="0046336D" w:rsidRPr="007F7551" w14:paraId="52733CF6" w14:textId="77777777" w:rsidTr="0046336D">
        <w:trPr>
          <w:trHeight w:val="454"/>
        </w:trPr>
        <w:tc>
          <w:tcPr>
            <w:tcW w:w="2990" w:type="dxa"/>
            <w:tcBorders>
              <w:top w:val="single" w:sz="4" w:space="0" w:color="BFBFBF"/>
              <w:left w:val="single" w:sz="4" w:space="0" w:color="BFBFBF"/>
              <w:bottom w:val="single" w:sz="4" w:space="0" w:color="BFBFBF"/>
              <w:right w:val="single" w:sz="4" w:space="0" w:color="BFBFBF"/>
            </w:tcBorders>
          </w:tcPr>
          <w:p w14:paraId="3C2D137C"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sz w:val="18"/>
                <w:szCs w:val="18"/>
              </w:rPr>
              <w:t>Balance Presupuestario (</w:t>
            </w:r>
            <w:r w:rsidRPr="007F7551">
              <w:rPr>
                <w:rFonts w:ascii="Arial" w:eastAsia="Trebuchet MS" w:hAnsi="Arial" w:cs="Arial"/>
                <w:i/>
                <w:iCs/>
                <w:sz w:val="18"/>
                <w:szCs w:val="18"/>
              </w:rPr>
              <w:t xml:space="preserve">superávit o déficit) </w:t>
            </w:r>
          </w:p>
        </w:tc>
        <w:tc>
          <w:tcPr>
            <w:tcW w:w="2108" w:type="dxa"/>
            <w:tcBorders>
              <w:top w:val="single" w:sz="4" w:space="0" w:color="BFBFBF"/>
              <w:left w:val="single" w:sz="4" w:space="0" w:color="BFBFBF"/>
              <w:bottom w:val="single" w:sz="4" w:space="0" w:color="BFBFBF"/>
              <w:right w:val="single" w:sz="4" w:space="0" w:color="BFBFBF"/>
            </w:tcBorders>
            <w:vAlign w:val="center"/>
          </w:tcPr>
          <w:p w14:paraId="28514E78"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sz w:val="18"/>
                <w:szCs w:val="18"/>
              </w:rPr>
              <w:t>574,639</w:t>
            </w:r>
          </w:p>
        </w:tc>
        <w:tc>
          <w:tcPr>
            <w:tcW w:w="1985" w:type="dxa"/>
            <w:tcBorders>
              <w:top w:val="single" w:sz="4" w:space="0" w:color="BFBFBF"/>
              <w:left w:val="single" w:sz="4" w:space="0" w:color="BFBFBF"/>
              <w:bottom w:val="single" w:sz="4" w:space="0" w:color="BFBFBF"/>
              <w:right w:val="single" w:sz="4" w:space="0" w:color="BFBFBF"/>
            </w:tcBorders>
            <w:vAlign w:val="center"/>
          </w:tcPr>
          <w:p w14:paraId="523C23F0"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bCs/>
                <w:sz w:val="18"/>
                <w:szCs w:val="18"/>
              </w:rPr>
              <w:t xml:space="preserve">-1,450,060 </w:t>
            </w:r>
          </w:p>
        </w:tc>
        <w:tc>
          <w:tcPr>
            <w:tcW w:w="1984" w:type="dxa"/>
            <w:tcBorders>
              <w:top w:val="single" w:sz="4" w:space="0" w:color="BFBFBF"/>
              <w:left w:val="single" w:sz="4" w:space="0" w:color="BFBFBF"/>
              <w:bottom w:val="single" w:sz="4" w:space="0" w:color="BFBFBF"/>
              <w:right w:val="single" w:sz="4" w:space="0" w:color="BFBFBF"/>
            </w:tcBorders>
            <w:vAlign w:val="center"/>
          </w:tcPr>
          <w:p w14:paraId="683B9FED"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sz w:val="18"/>
                <w:szCs w:val="18"/>
              </w:rPr>
              <w:t xml:space="preserve">543,443 </w:t>
            </w:r>
          </w:p>
        </w:tc>
      </w:tr>
      <w:tr w:rsidR="0046336D" w:rsidRPr="007F7551" w14:paraId="56AD31F1" w14:textId="77777777" w:rsidTr="0046336D">
        <w:trPr>
          <w:trHeight w:val="454"/>
        </w:trPr>
        <w:tc>
          <w:tcPr>
            <w:tcW w:w="2990" w:type="dxa"/>
            <w:tcBorders>
              <w:top w:val="single" w:sz="4" w:space="0" w:color="BFBFBF"/>
              <w:left w:val="single" w:sz="4" w:space="0" w:color="BFBFBF"/>
              <w:bottom w:val="single" w:sz="4" w:space="0" w:color="BFBFBF"/>
              <w:right w:val="single" w:sz="4" w:space="0" w:color="BFBFBF"/>
            </w:tcBorders>
          </w:tcPr>
          <w:p w14:paraId="29F6787E"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sz w:val="18"/>
                <w:szCs w:val="18"/>
              </w:rPr>
              <w:t xml:space="preserve">Intereses, Comisiones y Gastos de la Deuda </w:t>
            </w:r>
          </w:p>
        </w:tc>
        <w:tc>
          <w:tcPr>
            <w:tcW w:w="2108" w:type="dxa"/>
            <w:tcBorders>
              <w:top w:val="single" w:sz="4" w:space="0" w:color="BFBFBF"/>
              <w:left w:val="single" w:sz="4" w:space="0" w:color="BFBFBF"/>
              <w:bottom w:val="single" w:sz="4" w:space="0" w:color="BFBFBF"/>
              <w:right w:val="single" w:sz="4" w:space="0" w:color="BFBFBF"/>
            </w:tcBorders>
            <w:vAlign w:val="center"/>
          </w:tcPr>
          <w:p w14:paraId="6F794C6B"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sz w:val="18"/>
                <w:szCs w:val="18"/>
              </w:rPr>
              <w:t xml:space="preserve">1,374,301 </w:t>
            </w:r>
          </w:p>
        </w:tc>
        <w:tc>
          <w:tcPr>
            <w:tcW w:w="1985" w:type="dxa"/>
            <w:tcBorders>
              <w:top w:val="single" w:sz="4" w:space="0" w:color="BFBFBF"/>
              <w:left w:val="single" w:sz="4" w:space="0" w:color="BFBFBF"/>
              <w:bottom w:val="single" w:sz="4" w:space="0" w:color="BFBFBF"/>
              <w:right w:val="single" w:sz="4" w:space="0" w:color="BFBFBF"/>
            </w:tcBorders>
            <w:vAlign w:val="center"/>
          </w:tcPr>
          <w:p w14:paraId="1B758C20"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1,750,518 </w:t>
            </w:r>
          </w:p>
        </w:tc>
        <w:tc>
          <w:tcPr>
            <w:tcW w:w="1984" w:type="dxa"/>
            <w:tcBorders>
              <w:top w:val="single" w:sz="4" w:space="0" w:color="BFBFBF"/>
              <w:left w:val="single" w:sz="4" w:space="0" w:color="BFBFBF"/>
              <w:bottom w:val="single" w:sz="4" w:space="0" w:color="BFBFBF"/>
              <w:right w:val="single" w:sz="4" w:space="0" w:color="BFBFBF"/>
            </w:tcBorders>
            <w:vAlign w:val="center"/>
          </w:tcPr>
          <w:p w14:paraId="078D66CB"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sz w:val="18"/>
                <w:szCs w:val="18"/>
              </w:rPr>
              <w:t xml:space="preserve">1,750,518 </w:t>
            </w:r>
          </w:p>
        </w:tc>
      </w:tr>
      <w:tr w:rsidR="0046336D" w:rsidRPr="007F7551" w14:paraId="4FCD25E1" w14:textId="77777777" w:rsidTr="0046336D">
        <w:trPr>
          <w:trHeight w:val="454"/>
        </w:trPr>
        <w:tc>
          <w:tcPr>
            <w:tcW w:w="2990" w:type="dxa"/>
            <w:tcBorders>
              <w:top w:val="single" w:sz="4" w:space="0" w:color="BFBFBF"/>
              <w:left w:val="single" w:sz="4" w:space="0" w:color="BFBFBF"/>
              <w:bottom w:val="single" w:sz="4" w:space="0" w:color="BFBFBF"/>
              <w:right w:val="single" w:sz="4" w:space="0" w:color="BFBFBF"/>
            </w:tcBorders>
            <w:vAlign w:val="center"/>
          </w:tcPr>
          <w:p w14:paraId="4D61CD3B"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b/>
                <w:bCs/>
                <w:sz w:val="18"/>
                <w:szCs w:val="18"/>
              </w:rPr>
              <w:t>Balance Primario (</w:t>
            </w:r>
            <w:r w:rsidRPr="007F7551">
              <w:rPr>
                <w:rFonts w:ascii="Arial" w:eastAsia="Trebuchet MS" w:hAnsi="Arial" w:cs="Arial"/>
                <w:b/>
                <w:bCs/>
                <w:i/>
                <w:iCs/>
                <w:sz w:val="18"/>
                <w:szCs w:val="18"/>
              </w:rPr>
              <w:t xml:space="preserve">superávit o déficit) </w:t>
            </w:r>
          </w:p>
        </w:tc>
        <w:tc>
          <w:tcPr>
            <w:tcW w:w="2108" w:type="dxa"/>
            <w:tcBorders>
              <w:top w:val="single" w:sz="4" w:space="0" w:color="BFBFBF"/>
              <w:left w:val="single" w:sz="4" w:space="0" w:color="BFBFBF"/>
              <w:bottom w:val="single" w:sz="4" w:space="0" w:color="BFBFBF"/>
              <w:right w:val="single" w:sz="4" w:space="0" w:color="BFBFBF"/>
            </w:tcBorders>
            <w:vAlign w:val="center"/>
          </w:tcPr>
          <w:p w14:paraId="3C0B32BD"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b/>
                <w:bCs/>
                <w:sz w:val="18"/>
                <w:szCs w:val="18"/>
              </w:rPr>
              <w:t>1,948,940</w:t>
            </w:r>
          </w:p>
        </w:tc>
        <w:tc>
          <w:tcPr>
            <w:tcW w:w="1985" w:type="dxa"/>
            <w:tcBorders>
              <w:top w:val="single" w:sz="4" w:space="0" w:color="BFBFBF"/>
              <w:left w:val="single" w:sz="4" w:space="0" w:color="BFBFBF"/>
              <w:bottom w:val="single" w:sz="4" w:space="0" w:color="BFBFBF"/>
              <w:right w:val="single" w:sz="4" w:space="0" w:color="BFBFBF"/>
            </w:tcBorders>
            <w:vAlign w:val="center"/>
          </w:tcPr>
          <w:p w14:paraId="14A6627E"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b/>
                <w:bCs/>
                <w:sz w:val="18"/>
                <w:szCs w:val="18"/>
              </w:rPr>
              <w:t xml:space="preserve">300,459 </w:t>
            </w:r>
          </w:p>
        </w:tc>
        <w:tc>
          <w:tcPr>
            <w:tcW w:w="1984" w:type="dxa"/>
            <w:tcBorders>
              <w:top w:val="single" w:sz="4" w:space="0" w:color="BFBFBF"/>
              <w:left w:val="single" w:sz="4" w:space="0" w:color="BFBFBF"/>
              <w:bottom w:val="single" w:sz="4" w:space="0" w:color="BFBFBF"/>
              <w:right w:val="single" w:sz="4" w:space="0" w:color="BFBFBF"/>
            </w:tcBorders>
            <w:vAlign w:val="center"/>
          </w:tcPr>
          <w:p w14:paraId="4E1D297B"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b/>
                <w:bCs/>
                <w:sz w:val="18"/>
                <w:szCs w:val="18"/>
              </w:rPr>
              <w:t xml:space="preserve">2,293,961 </w:t>
            </w:r>
          </w:p>
        </w:tc>
      </w:tr>
      <w:tr w:rsidR="0046336D" w:rsidRPr="007F7551" w14:paraId="0A12D99B" w14:textId="77777777" w:rsidTr="0046336D">
        <w:trPr>
          <w:trHeight w:val="397"/>
        </w:trPr>
        <w:tc>
          <w:tcPr>
            <w:tcW w:w="2990"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0C330C8C" w14:textId="77777777" w:rsidR="0046336D" w:rsidRPr="007F7551" w:rsidRDefault="0046336D" w:rsidP="0046336D">
            <w:pPr>
              <w:widowControl w:val="0"/>
              <w:autoSpaceDE w:val="0"/>
              <w:autoSpaceDN w:val="0"/>
              <w:spacing w:line="229" w:lineRule="exact"/>
              <w:ind w:right="-58"/>
              <w:jc w:val="center"/>
              <w:rPr>
                <w:rFonts w:ascii="Arial" w:eastAsia="Arial" w:hAnsi="Arial" w:cs="Arial"/>
                <w:b/>
                <w:color w:val="FFFFFF"/>
                <w:sz w:val="18"/>
                <w:szCs w:val="18"/>
              </w:rPr>
            </w:pPr>
            <w:r w:rsidRPr="007F7551">
              <w:rPr>
                <w:rFonts w:ascii="Arial" w:eastAsia="Arial" w:hAnsi="Arial" w:cs="Arial"/>
                <w:b/>
                <w:color w:val="FFFFFF"/>
                <w:sz w:val="18"/>
                <w:szCs w:val="18"/>
              </w:rPr>
              <w:t>Concepto</w:t>
            </w:r>
          </w:p>
        </w:tc>
        <w:tc>
          <w:tcPr>
            <w:tcW w:w="2108"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1D75083D" w14:textId="77777777" w:rsidR="0046336D" w:rsidRPr="007F7551" w:rsidRDefault="0046336D" w:rsidP="0046336D">
            <w:pPr>
              <w:widowControl w:val="0"/>
              <w:autoSpaceDE w:val="0"/>
              <w:autoSpaceDN w:val="0"/>
              <w:spacing w:line="229" w:lineRule="exact"/>
              <w:ind w:right="-58"/>
              <w:jc w:val="center"/>
              <w:rPr>
                <w:rFonts w:ascii="Arial" w:eastAsia="Arial" w:hAnsi="Arial" w:cs="Arial"/>
                <w:b/>
                <w:color w:val="FFFFFF"/>
                <w:sz w:val="18"/>
                <w:szCs w:val="18"/>
              </w:rPr>
            </w:pPr>
            <w:r w:rsidRPr="007F7551">
              <w:rPr>
                <w:rFonts w:ascii="Arial" w:eastAsia="Arial" w:hAnsi="Arial" w:cs="Arial"/>
                <w:b/>
                <w:color w:val="FFFFFF"/>
                <w:sz w:val="18"/>
                <w:szCs w:val="18"/>
              </w:rPr>
              <w:t>Estimado</w:t>
            </w:r>
          </w:p>
        </w:tc>
        <w:tc>
          <w:tcPr>
            <w:tcW w:w="1985"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2DC9DA89" w14:textId="77777777" w:rsidR="0046336D" w:rsidRPr="007F7551" w:rsidRDefault="0046336D" w:rsidP="0046336D">
            <w:pPr>
              <w:widowControl w:val="0"/>
              <w:autoSpaceDE w:val="0"/>
              <w:autoSpaceDN w:val="0"/>
              <w:spacing w:line="229" w:lineRule="exact"/>
              <w:ind w:right="-58"/>
              <w:jc w:val="center"/>
              <w:rPr>
                <w:rFonts w:ascii="Arial" w:eastAsia="Arial" w:hAnsi="Arial" w:cs="Arial"/>
                <w:b/>
                <w:color w:val="FFFFFF"/>
                <w:sz w:val="18"/>
                <w:szCs w:val="18"/>
              </w:rPr>
            </w:pPr>
            <w:r w:rsidRPr="007F7551">
              <w:rPr>
                <w:rFonts w:ascii="Arial" w:eastAsia="Arial" w:hAnsi="Arial" w:cs="Arial"/>
                <w:b/>
                <w:color w:val="FFFFFF"/>
                <w:sz w:val="18"/>
                <w:szCs w:val="18"/>
              </w:rPr>
              <w:t>Devengado</w:t>
            </w:r>
          </w:p>
        </w:tc>
        <w:tc>
          <w:tcPr>
            <w:tcW w:w="1984" w:type="dxa"/>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33D19376" w14:textId="77777777" w:rsidR="0046336D" w:rsidRPr="007F7551" w:rsidRDefault="0046336D" w:rsidP="0046336D">
            <w:pPr>
              <w:widowControl w:val="0"/>
              <w:autoSpaceDE w:val="0"/>
              <w:autoSpaceDN w:val="0"/>
              <w:spacing w:line="229" w:lineRule="exact"/>
              <w:ind w:right="-58"/>
              <w:jc w:val="center"/>
              <w:rPr>
                <w:rFonts w:ascii="Arial" w:eastAsia="Arial" w:hAnsi="Arial" w:cs="Arial"/>
                <w:b/>
                <w:color w:val="FFFFFF"/>
                <w:sz w:val="18"/>
                <w:szCs w:val="18"/>
              </w:rPr>
            </w:pPr>
            <w:r w:rsidRPr="007F7551">
              <w:rPr>
                <w:rFonts w:ascii="Arial" w:eastAsia="Arial" w:hAnsi="Arial" w:cs="Arial"/>
                <w:b/>
                <w:color w:val="FFFFFF"/>
                <w:sz w:val="18"/>
                <w:szCs w:val="18"/>
              </w:rPr>
              <w:t>Pagado</w:t>
            </w:r>
          </w:p>
        </w:tc>
      </w:tr>
      <w:tr w:rsidR="0046336D" w:rsidRPr="007F7551" w14:paraId="0D1BB22D" w14:textId="77777777" w:rsidTr="0046336D">
        <w:trPr>
          <w:trHeight w:val="340"/>
        </w:trPr>
        <w:tc>
          <w:tcPr>
            <w:tcW w:w="2990" w:type="dxa"/>
            <w:tcBorders>
              <w:top w:val="single" w:sz="4" w:space="0" w:color="BFBFBF"/>
              <w:left w:val="single" w:sz="4" w:space="0" w:color="BFBFBF"/>
              <w:bottom w:val="single" w:sz="4" w:space="0" w:color="BFBFBF"/>
              <w:right w:val="single" w:sz="4" w:space="0" w:color="BFBFBF"/>
            </w:tcBorders>
            <w:vAlign w:val="center"/>
          </w:tcPr>
          <w:p w14:paraId="1032CA95"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sz w:val="18"/>
                <w:szCs w:val="18"/>
              </w:rPr>
              <w:t xml:space="preserve">Financiamiento </w:t>
            </w:r>
          </w:p>
        </w:tc>
        <w:tc>
          <w:tcPr>
            <w:tcW w:w="2108" w:type="dxa"/>
            <w:tcBorders>
              <w:top w:val="single" w:sz="4" w:space="0" w:color="BFBFBF"/>
              <w:left w:val="single" w:sz="4" w:space="0" w:color="BFBFBF"/>
              <w:bottom w:val="single" w:sz="4" w:space="0" w:color="BFBFBF"/>
              <w:right w:val="single" w:sz="4" w:space="0" w:color="BFBFBF"/>
            </w:tcBorders>
            <w:vAlign w:val="center"/>
          </w:tcPr>
          <w:p w14:paraId="07925D3F"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sz w:val="18"/>
                <w:szCs w:val="18"/>
              </w:rPr>
              <w:t xml:space="preserve">0 </w:t>
            </w:r>
          </w:p>
        </w:tc>
        <w:tc>
          <w:tcPr>
            <w:tcW w:w="1985" w:type="dxa"/>
            <w:tcBorders>
              <w:top w:val="single" w:sz="4" w:space="0" w:color="BFBFBF"/>
              <w:left w:val="single" w:sz="4" w:space="0" w:color="BFBFBF"/>
              <w:bottom w:val="single" w:sz="4" w:space="0" w:color="BFBFBF"/>
              <w:right w:val="single" w:sz="4" w:space="0" w:color="BFBFBF"/>
            </w:tcBorders>
            <w:vAlign w:val="center"/>
          </w:tcPr>
          <w:p w14:paraId="150FE652"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2,025,696 </w:t>
            </w:r>
          </w:p>
        </w:tc>
        <w:tc>
          <w:tcPr>
            <w:tcW w:w="1984" w:type="dxa"/>
            <w:tcBorders>
              <w:top w:val="single" w:sz="4" w:space="0" w:color="BFBFBF"/>
              <w:left w:val="single" w:sz="4" w:space="0" w:color="BFBFBF"/>
              <w:bottom w:val="single" w:sz="4" w:space="0" w:color="BFBFBF"/>
              <w:right w:val="single" w:sz="4" w:space="0" w:color="BFBFBF"/>
            </w:tcBorders>
            <w:vAlign w:val="center"/>
          </w:tcPr>
          <w:p w14:paraId="1E03A69E"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2,025,696 </w:t>
            </w:r>
          </w:p>
        </w:tc>
      </w:tr>
      <w:tr w:rsidR="0046336D" w:rsidRPr="007F7551" w14:paraId="70834427" w14:textId="77777777" w:rsidTr="0046336D">
        <w:trPr>
          <w:trHeight w:val="340"/>
        </w:trPr>
        <w:tc>
          <w:tcPr>
            <w:tcW w:w="2990" w:type="dxa"/>
            <w:tcBorders>
              <w:top w:val="single" w:sz="4" w:space="0" w:color="BFBFBF"/>
              <w:left w:val="single" w:sz="4" w:space="0" w:color="BFBFBF"/>
              <w:bottom w:val="single" w:sz="4" w:space="0" w:color="BFBFBF"/>
              <w:right w:val="single" w:sz="4" w:space="0" w:color="BFBFBF"/>
            </w:tcBorders>
            <w:vAlign w:val="center"/>
          </w:tcPr>
          <w:p w14:paraId="7A8F135A"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sz w:val="18"/>
                <w:szCs w:val="18"/>
              </w:rPr>
              <w:t xml:space="preserve">Amortización de la Deuda </w:t>
            </w:r>
          </w:p>
        </w:tc>
        <w:tc>
          <w:tcPr>
            <w:tcW w:w="2108" w:type="dxa"/>
            <w:tcBorders>
              <w:top w:val="single" w:sz="4" w:space="0" w:color="BFBFBF"/>
              <w:left w:val="single" w:sz="4" w:space="0" w:color="BFBFBF"/>
              <w:bottom w:val="single" w:sz="4" w:space="0" w:color="BFBFBF"/>
              <w:right w:val="single" w:sz="4" w:space="0" w:color="BFBFBF"/>
            </w:tcBorders>
            <w:vAlign w:val="center"/>
          </w:tcPr>
          <w:p w14:paraId="5DE66DF0"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sz w:val="18"/>
                <w:szCs w:val="18"/>
              </w:rPr>
              <w:t>574,639</w:t>
            </w:r>
          </w:p>
        </w:tc>
        <w:tc>
          <w:tcPr>
            <w:tcW w:w="1985" w:type="dxa"/>
            <w:tcBorders>
              <w:top w:val="single" w:sz="4" w:space="0" w:color="BFBFBF"/>
              <w:left w:val="single" w:sz="4" w:space="0" w:color="BFBFBF"/>
              <w:bottom w:val="single" w:sz="4" w:space="0" w:color="BFBFBF"/>
              <w:right w:val="single" w:sz="4" w:space="0" w:color="BFBFBF"/>
            </w:tcBorders>
            <w:vAlign w:val="center"/>
          </w:tcPr>
          <w:p w14:paraId="6C146EF8"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2,174,298 </w:t>
            </w:r>
          </w:p>
        </w:tc>
        <w:tc>
          <w:tcPr>
            <w:tcW w:w="1984" w:type="dxa"/>
            <w:tcBorders>
              <w:top w:val="single" w:sz="4" w:space="0" w:color="BFBFBF"/>
              <w:left w:val="single" w:sz="4" w:space="0" w:color="BFBFBF"/>
              <w:bottom w:val="single" w:sz="4" w:space="0" w:color="BFBFBF"/>
              <w:right w:val="single" w:sz="4" w:space="0" w:color="BFBFBF"/>
            </w:tcBorders>
            <w:vAlign w:val="center"/>
          </w:tcPr>
          <w:p w14:paraId="66F217AD" w14:textId="77777777" w:rsidR="0046336D" w:rsidRPr="007F7551" w:rsidRDefault="0046336D" w:rsidP="0046336D">
            <w:pPr>
              <w:autoSpaceDE w:val="0"/>
              <w:autoSpaceDN w:val="0"/>
              <w:adjustRightInd w:val="0"/>
              <w:ind w:right="-58"/>
              <w:jc w:val="right"/>
              <w:rPr>
                <w:rFonts w:ascii="Arial" w:eastAsia="Trebuchet MS" w:hAnsi="Arial" w:cs="Arial"/>
                <w:sz w:val="18"/>
                <w:szCs w:val="18"/>
              </w:rPr>
            </w:pPr>
            <w:r w:rsidRPr="007F7551">
              <w:rPr>
                <w:rFonts w:ascii="Arial" w:eastAsia="Trebuchet MS" w:hAnsi="Arial" w:cs="Arial"/>
                <w:sz w:val="18"/>
                <w:szCs w:val="18"/>
              </w:rPr>
              <w:t xml:space="preserve">2,174,298 </w:t>
            </w:r>
          </w:p>
        </w:tc>
      </w:tr>
      <w:tr w:rsidR="0046336D" w:rsidRPr="007F7551" w14:paraId="75BEA859" w14:textId="77777777" w:rsidTr="0046336D">
        <w:trPr>
          <w:trHeight w:val="340"/>
        </w:trPr>
        <w:tc>
          <w:tcPr>
            <w:tcW w:w="2990" w:type="dxa"/>
            <w:tcBorders>
              <w:top w:val="single" w:sz="4" w:space="0" w:color="BFBFBF"/>
              <w:left w:val="single" w:sz="4" w:space="0" w:color="BFBFBF"/>
              <w:bottom w:val="single" w:sz="4" w:space="0" w:color="BFBFBF"/>
              <w:right w:val="single" w:sz="4" w:space="0" w:color="BFBFBF"/>
            </w:tcBorders>
            <w:vAlign w:val="center"/>
          </w:tcPr>
          <w:p w14:paraId="76DA731E" w14:textId="77777777" w:rsidR="0046336D" w:rsidRPr="007F7551" w:rsidRDefault="0046336D" w:rsidP="0046336D">
            <w:pPr>
              <w:autoSpaceDE w:val="0"/>
              <w:autoSpaceDN w:val="0"/>
              <w:adjustRightInd w:val="0"/>
              <w:ind w:right="-58"/>
              <w:rPr>
                <w:rFonts w:ascii="Arial" w:eastAsia="Trebuchet MS" w:hAnsi="Arial" w:cs="Arial"/>
                <w:sz w:val="18"/>
                <w:szCs w:val="18"/>
              </w:rPr>
            </w:pPr>
            <w:r w:rsidRPr="007F7551">
              <w:rPr>
                <w:rFonts w:ascii="Arial" w:eastAsia="Trebuchet MS" w:hAnsi="Arial" w:cs="Arial"/>
                <w:b/>
                <w:bCs/>
                <w:sz w:val="18"/>
                <w:szCs w:val="18"/>
              </w:rPr>
              <w:t xml:space="preserve">Financiamiento neto </w:t>
            </w:r>
          </w:p>
        </w:tc>
        <w:tc>
          <w:tcPr>
            <w:tcW w:w="2108" w:type="dxa"/>
            <w:tcBorders>
              <w:top w:val="single" w:sz="4" w:space="0" w:color="BFBFBF"/>
              <w:left w:val="single" w:sz="4" w:space="0" w:color="BFBFBF"/>
              <w:bottom w:val="single" w:sz="4" w:space="0" w:color="BFBFBF"/>
              <w:right w:val="single" w:sz="4" w:space="0" w:color="BFBFBF"/>
            </w:tcBorders>
            <w:vAlign w:val="center"/>
          </w:tcPr>
          <w:p w14:paraId="357F35EB"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b/>
                <w:bCs/>
                <w:sz w:val="18"/>
                <w:szCs w:val="18"/>
              </w:rPr>
              <w:t>-574,639</w:t>
            </w:r>
          </w:p>
        </w:tc>
        <w:tc>
          <w:tcPr>
            <w:tcW w:w="1985" w:type="dxa"/>
            <w:tcBorders>
              <w:top w:val="single" w:sz="4" w:space="0" w:color="BFBFBF"/>
              <w:left w:val="single" w:sz="4" w:space="0" w:color="BFBFBF"/>
              <w:bottom w:val="single" w:sz="4" w:space="0" w:color="BFBFBF"/>
              <w:right w:val="single" w:sz="4" w:space="0" w:color="BFBFBF"/>
            </w:tcBorders>
            <w:vAlign w:val="center"/>
          </w:tcPr>
          <w:p w14:paraId="6C444120"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b/>
                <w:bCs/>
                <w:sz w:val="18"/>
                <w:szCs w:val="18"/>
              </w:rPr>
              <w:t xml:space="preserve">-148,602 </w:t>
            </w:r>
          </w:p>
        </w:tc>
        <w:tc>
          <w:tcPr>
            <w:tcW w:w="1984" w:type="dxa"/>
            <w:tcBorders>
              <w:top w:val="single" w:sz="4" w:space="0" w:color="BFBFBF"/>
              <w:left w:val="single" w:sz="4" w:space="0" w:color="BFBFBF"/>
              <w:bottom w:val="single" w:sz="4" w:space="0" w:color="BFBFBF"/>
              <w:right w:val="single" w:sz="4" w:space="0" w:color="BFBFBF"/>
            </w:tcBorders>
            <w:vAlign w:val="center"/>
          </w:tcPr>
          <w:p w14:paraId="118350C7" w14:textId="77777777" w:rsidR="0046336D" w:rsidRPr="007F7551" w:rsidRDefault="0046336D" w:rsidP="0046336D">
            <w:pPr>
              <w:autoSpaceDE w:val="0"/>
              <w:autoSpaceDN w:val="0"/>
              <w:adjustRightInd w:val="0"/>
              <w:ind w:left="993" w:right="-58"/>
              <w:jc w:val="right"/>
              <w:rPr>
                <w:rFonts w:ascii="Arial" w:eastAsia="Trebuchet MS" w:hAnsi="Arial" w:cs="Arial"/>
                <w:sz w:val="18"/>
                <w:szCs w:val="18"/>
              </w:rPr>
            </w:pPr>
            <w:r w:rsidRPr="007F7551">
              <w:rPr>
                <w:rFonts w:ascii="Arial" w:eastAsia="Trebuchet MS" w:hAnsi="Arial" w:cs="Arial"/>
                <w:b/>
                <w:bCs/>
                <w:sz w:val="18"/>
                <w:szCs w:val="18"/>
              </w:rPr>
              <w:t xml:space="preserve">-148,602 </w:t>
            </w:r>
          </w:p>
        </w:tc>
      </w:tr>
      <w:tr w:rsidR="0046336D" w:rsidRPr="007F7551" w14:paraId="19D48D88" w14:textId="77777777" w:rsidTr="0046336D">
        <w:trPr>
          <w:trHeight w:val="1254"/>
        </w:trPr>
        <w:tc>
          <w:tcPr>
            <w:tcW w:w="9067" w:type="dxa"/>
            <w:gridSpan w:val="4"/>
            <w:tcBorders>
              <w:top w:val="single" w:sz="4" w:space="0" w:color="BFBFBF"/>
            </w:tcBorders>
          </w:tcPr>
          <w:p w14:paraId="2E4D582B" w14:textId="77777777" w:rsidR="0046336D" w:rsidRPr="007F7551" w:rsidRDefault="0046336D" w:rsidP="0046336D">
            <w:pPr>
              <w:autoSpaceDE w:val="0"/>
              <w:autoSpaceDN w:val="0"/>
              <w:adjustRightInd w:val="0"/>
              <w:rPr>
                <w:rFonts w:eastAsia="Trebuchet MS"/>
                <w:color w:val="404040"/>
                <w:sz w:val="14"/>
                <w:szCs w:val="16"/>
              </w:rPr>
            </w:pPr>
          </w:p>
          <w:p w14:paraId="683C2A95" w14:textId="77777777" w:rsidR="0046336D" w:rsidRPr="007F7551" w:rsidRDefault="0046336D" w:rsidP="0046336D">
            <w:pPr>
              <w:autoSpaceDE w:val="0"/>
              <w:autoSpaceDN w:val="0"/>
              <w:adjustRightInd w:val="0"/>
              <w:rPr>
                <w:rFonts w:ascii="Arial" w:eastAsia="Trebuchet MS" w:hAnsi="Arial" w:cs="Arial"/>
                <w:color w:val="0D0D0D" w:themeColor="text1" w:themeTint="F2"/>
                <w:sz w:val="14"/>
                <w:szCs w:val="14"/>
              </w:rPr>
            </w:pPr>
            <w:r w:rsidRPr="007F7551">
              <w:rPr>
                <w:rFonts w:ascii="Arial" w:eastAsia="Trebuchet MS" w:hAnsi="Arial" w:cs="Arial"/>
                <w:color w:val="0D0D0D" w:themeColor="text1" w:themeTint="F2"/>
                <w:sz w:val="14"/>
                <w:szCs w:val="14"/>
              </w:rPr>
              <w:t xml:space="preserve">(1) Corresponde a los recursos aprobados, devengados y pagados por </w:t>
            </w:r>
            <w:r w:rsidR="007F7551" w:rsidRPr="007F7551">
              <w:rPr>
                <w:rFonts w:ascii="Arial" w:eastAsia="Trebuchet MS" w:hAnsi="Arial" w:cs="Arial"/>
                <w:color w:val="0D0D0D" w:themeColor="text1" w:themeTint="F2"/>
                <w:sz w:val="14"/>
                <w:szCs w:val="14"/>
              </w:rPr>
              <w:t>transferencias</w:t>
            </w:r>
            <w:r w:rsidRPr="007F7551">
              <w:rPr>
                <w:rFonts w:ascii="Arial" w:eastAsia="Trebuchet MS" w:hAnsi="Arial" w:cs="Arial"/>
                <w:color w:val="0D0D0D" w:themeColor="text1" w:themeTint="F2"/>
                <w:sz w:val="14"/>
                <w:szCs w:val="14"/>
              </w:rPr>
              <w:t xml:space="preserve"> de la Administración Central al Sector Paraestatal.</w:t>
            </w:r>
          </w:p>
          <w:p w14:paraId="673A8279" w14:textId="77777777" w:rsidR="0046336D" w:rsidRPr="007F7551" w:rsidRDefault="0046336D" w:rsidP="0046336D">
            <w:pPr>
              <w:spacing w:before="30"/>
              <w:ind w:right="-58"/>
              <w:rPr>
                <w:rFonts w:ascii="Arial" w:eastAsia="Trebuchet MS" w:hAnsi="Arial" w:cs="Arial"/>
                <w:noProof/>
                <w:color w:val="0D0D0D" w:themeColor="text1" w:themeTint="F2"/>
                <w:sz w:val="14"/>
                <w:szCs w:val="14"/>
              </w:rPr>
            </w:pPr>
            <w:r w:rsidRPr="007F7551">
              <w:rPr>
                <w:rFonts w:ascii="Arial" w:eastAsia="Trebuchet MS" w:hAnsi="Arial" w:cs="Arial"/>
                <w:noProof/>
                <w:color w:val="0D0D0D" w:themeColor="text1" w:themeTint="F2"/>
                <w:sz w:val="14"/>
                <w:szCs w:val="14"/>
              </w:rPr>
              <w:t>Las cifras pueden presentar diferencias por redondeos.</w:t>
            </w:r>
          </w:p>
          <w:p w14:paraId="4AAC4ED2" w14:textId="77777777" w:rsidR="0046336D" w:rsidRPr="007F7551" w:rsidRDefault="0046336D" w:rsidP="0046336D">
            <w:pPr>
              <w:spacing w:before="30"/>
              <w:ind w:right="-58"/>
              <w:rPr>
                <w:rFonts w:ascii="Arial" w:eastAsia="Trebuchet MS" w:hAnsi="Arial" w:cs="Arial"/>
                <w:color w:val="0D0D0D" w:themeColor="text1" w:themeTint="F2"/>
                <w:sz w:val="14"/>
                <w:szCs w:val="14"/>
              </w:rPr>
            </w:pPr>
            <w:r w:rsidRPr="007F7551">
              <w:rPr>
                <w:rFonts w:ascii="Arial" w:eastAsia="Trebuchet MS" w:hAnsi="Arial" w:cs="Arial"/>
                <w:b/>
                <w:color w:val="0D0D0D" w:themeColor="text1" w:themeTint="F2"/>
                <w:sz w:val="14"/>
                <w:szCs w:val="14"/>
              </w:rPr>
              <w:t xml:space="preserve">Fuente: </w:t>
            </w:r>
            <w:r w:rsidRPr="007F7551">
              <w:rPr>
                <w:rFonts w:ascii="Arial" w:eastAsia="Trebuchet MS" w:hAnsi="Arial" w:cs="Arial"/>
                <w:color w:val="0D0D0D" w:themeColor="text1" w:themeTint="F2"/>
                <w:sz w:val="14"/>
                <w:szCs w:val="14"/>
              </w:rPr>
              <w:t xml:space="preserve">Secretaría de Finanzas y Planeación del Estado, Cuenta Pública Tomo I ejercicio 2022. Página 72 </w:t>
            </w:r>
          </w:p>
          <w:p w14:paraId="4F58B996" w14:textId="77777777" w:rsidR="0046336D" w:rsidRPr="007F7551" w:rsidRDefault="0046336D" w:rsidP="0046336D">
            <w:pPr>
              <w:spacing w:before="30"/>
              <w:ind w:right="-58"/>
              <w:rPr>
                <w:rFonts w:eastAsia="Trebuchet MS"/>
                <w:sz w:val="14"/>
                <w:szCs w:val="14"/>
              </w:rPr>
            </w:pPr>
            <w:r w:rsidRPr="007F7551">
              <w:rPr>
                <w:rFonts w:ascii="Arial" w:eastAsia="Trebuchet MS" w:hAnsi="Arial" w:cs="Arial"/>
                <w:color w:val="0D0D0D" w:themeColor="text1" w:themeTint="F2"/>
                <w:sz w:val="14"/>
                <w:szCs w:val="14"/>
              </w:rPr>
              <w:t>http://www.sefiplan.qroo.gob.mx/sistemas/Cpublica/archivos/TomoI-ResultadosGenerales2022.pdf</w:t>
            </w:r>
          </w:p>
        </w:tc>
      </w:tr>
    </w:tbl>
    <w:p w14:paraId="0A464C50" w14:textId="77777777" w:rsidR="0046336D" w:rsidRPr="00E37D56" w:rsidRDefault="0046336D" w:rsidP="0046336D">
      <w:pPr>
        <w:widowControl w:val="0"/>
        <w:autoSpaceDE w:val="0"/>
        <w:autoSpaceDN w:val="0"/>
        <w:spacing w:before="160"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t>Con base en las especificaciones de presentación de los principales indicadores de la postura fiscal emitida por el CONAC, aplicada en el formato respectivo, se puede apreciar que las finanzas públicas estatales al cierre del año 202</w:t>
      </w:r>
      <w:r>
        <w:rPr>
          <w:rFonts w:ascii="Arial" w:eastAsia="Arial" w:hAnsi="Arial" w:cs="Arial"/>
          <w:sz w:val="24"/>
          <w:szCs w:val="24"/>
          <w:lang w:val="es-ES"/>
        </w:rPr>
        <w:t>2</w:t>
      </w:r>
      <w:r w:rsidRPr="00E37D56">
        <w:rPr>
          <w:rFonts w:ascii="Arial" w:eastAsia="Arial" w:hAnsi="Arial" w:cs="Arial"/>
          <w:sz w:val="24"/>
          <w:szCs w:val="24"/>
          <w:lang w:val="es-ES"/>
        </w:rPr>
        <w:t xml:space="preserve"> arrojaron resultados negativos (déficit), en el Balance Presupuestario, por un monto de </w:t>
      </w:r>
      <w:r>
        <w:rPr>
          <w:rFonts w:ascii="Arial" w:eastAsia="Arial" w:hAnsi="Arial" w:cs="Arial"/>
          <w:sz w:val="24"/>
          <w:szCs w:val="24"/>
          <w:lang w:val="es-ES"/>
        </w:rPr>
        <w:t>1,450.0</w:t>
      </w:r>
      <w:r w:rsidRPr="00E37D56">
        <w:rPr>
          <w:rFonts w:ascii="Arial" w:eastAsia="Arial" w:hAnsi="Arial" w:cs="Arial"/>
          <w:sz w:val="24"/>
          <w:szCs w:val="24"/>
          <w:lang w:val="es-ES"/>
        </w:rPr>
        <w:t xml:space="preserve"> millones de pesos considerando el gasto devengado del año, en tanto que en términos del flujo de efectivo se tiene un resultado positivo (superávit) de </w:t>
      </w:r>
      <w:r>
        <w:rPr>
          <w:rFonts w:ascii="Arial" w:eastAsia="Arial" w:hAnsi="Arial" w:cs="Arial"/>
          <w:sz w:val="24"/>
          <w:szCs w:val="24"/>
          <w:lang w:val="es-ES"/>
        </w:rPr>
        <w:t>543.4</w:t>
      </w:r>
      <w:r w:rsidRPr="00E37D56">
        <w:rPr>
          <w:rFonts w:ascii="Arial" w:eastAsia="Arial" w:hAnsi="Arial" w:cs="Arial"/>
          <w:sz w:val="24"/>
          <w:szCs w:val="24"/>
          <w:lang w:val="es-ES"/>
        </w:rPr>
        <w:t xml:space="preserve"> millones de pesos.</w:t>
      </w:r>
    </w:p>
    <w:p w14:paraId="45EA4B7D" w14:textId="77777777" w:rsidR="0046336D" w:rsidRPr="00872B68" w:rsidRDefault="0046336D" w:rsidP="0046336D">
      <w:pPr>
        <w:widowControl w:val="0"/>
        <w:autoSpaceDE w:val="0"/>
        <w:autoSpaceDN w:val="0"/>
        <w:spacing w:after="0" w:line="276" w:lineRule="auto"/>
        <w:jc w:val="both"/>
        <w:rPr>
          <w:rFonts w:ascii="Arial" w:eastAsia="Arial" w:hAnsi="Arial" w:cs="Arial"/>
          <w:sz w:val="12"/>
          <w:szCs w:val="10"/>
          <w:lang w:val="es-ES"/>
        </w:rPr>
      </w:pPr>
    </w:p>
    <w:p w14:paraId="485EDD9D" w14:textId="77777777" w:rsidR="0046336D" w:rsidRPr="00E37D56" w:rsidRDefault="0046336D" w:rsidP="0046336D">
      <w:pPr>
        <w:widowControl w:val="0"/>
        <w:autoSpaceDE w:val="0"/>
        <w:autoSpaceDN w:val="0"/>
        <w:spacing w:before="160"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t xml:space="preserve">Por otra parte, el resultado del cálculo del Balance Primario, (excluyendo a las cifras del Balance Presupuestario, los intereses y gastos del servicio de la deuda) determina un </w:t>
      </w:r>
      <w:r>
        <w:rPr>
          <w:rFonts w:ascii="Arial" w:eastAsia="Arial" w:hAnsi="Arial" w:cs="Arial"/>
          <w:sz w:val="24"/>
          <w:szCs w:val="24"/>
          <w:lang w:val="es-ES"/>
        </w:rPr>
        <w:t xml:space="preserve">superávit </w:t>
      </w:r>
      <w:r w:rsidRPr="00E37D56">
        <w:rPr>
          <w:rFonts w:ascii="Arial" w:eastAsia="Arial" w:hAnsi="Arial" w:cs="Arial"/>
          <w:sz w:val="24"/>
          <w:szCs w:val="24"/>
          <w:lang w:val="es-ES"/>
        </w:rPr>
        <w:t xml:space="preserve">de </w:t>
      </w:r>
      <w:r>
        <w:rPr>
          <w:rFonts w:ascii="Arial" w:eastAsia="Arial" w:hAnsi="Arial" w:cs="Arial"/>
          <w:sz w:val="24"/>
          <w:szCs w:val="24"/>
          <w:lang w:val="es-ES"/>
        </w:rPr>
        <w:t xml:space="preserve">300.4 </w:t>
      </w:r>
      <w:r w:rsidRPr="00E37D56">
        <w:rPr>
          <w:rFonts w:ascii="Arial" w:eastAsia="Arial" w:hAnsi="Arial" w:cs="Arial"/>
          <w:sz w:val="24"/>
          <w:szCs w:val="24"/>
          <w:lang w:val="es-ES"/>
        </w:rPr>
        <w:t>millones de pesos con base en gastos devengados, y un superávit de 2,</w:t>
      </w:r>
      <w:r>
        <w:rPr>
          <w:rFonts w:ascii="Arial" w:eastAsia="Arial" w:hAnsi="Arial" w:cs="Arial"/>
          <w:sz w:val="24"/>
          <w:szCs w:val="24"/>
          <w:lang w:val="es-ES"/>
        </w:rPr>
        <w:t>294.0</w:t>
      </w:r>
      <w:r w:rsidRPr="00E37D56">
        <w:rPr>
          <w:rFonts w:ascii="Arial" w:eastAsia="Arial" w:hAnsi="Arial" w:cs="Arial"/>
          <w:sz w:val="24"/>
          <w:szCs w:val="24"/>
          <w:lang w:val="es-ES"/>
        </w:rPr>
        <w:t xml:space="preserve"> millones de pesos en flujo de efectivo.</w:t>
      </w:r>
    </w:p>
    <w:p w14:paraId="7A68BCC1" w14:textId="77777777" w:rsidR="0046336D" w:rsidRPr="00E37D56" w:rsidRDefault="0046336D" w:rsidP="0046336D">
      <w:pPr>
        <w:widowControl w:val="0"/>
        <w:tabs>
          <w:tab w:val="left" w:pos="9356"/>
        </w:tabs>
        <w:autoSpaceDE w:val="0"/>
        <w:autoSpaceDN w:val="0"/>
        <w:spacing w:before="92" w:after="0" w:line="276" w:lineRule="auto"/>
        <w:ind w:right="142"/>
        <w:jc w:val="both"/>
        <w:rPr>
          <w:rFonts w:ascii="Arial" w:eastAsia="Arial" w:hAnsi="Arial" w:cs="Arial"/>
          <w:sz w:val="24"/>
          <w:szCs w:val="24"/>
          <w:lang w:val="es-ES"/>
        </w:rPr>
      </w:pPr>
      <w:r w:rsidRPr="00E37D56">
        <w:rPr>
          <w:rFonts w:ascii="Arial" w:eastAsia="Arial" w:hAnsi="Arial" w:cs="Arial"/>
          <w:sz w:val="24"/>
          <w:szCs w:val="24"/>
          <w:lang w:val="es-ES"/>
        </w:rPr>
        <w:t xml:space="preserve">Por último, en cuanto al indicador de </w:t>
      </w:r>
      <w:r>
        <w:rPr>
          <w:rFonts w:ascii="Arial" w:eastAsia="Arial" w:hAnsi="Arial" w:cs="Arial"/>
          <w:sz w:val="24"/>
          <w:szCs w:val="24"/>
          <w:lang w:val="es-ES"/>
        </w:rPr>
        <w:t>financiamiento</w:t>
      </w:r>
      <w:r w:rsidRPr="00E37D56">
        <w:rPr>
          <w:rFonts w:ascii="Arial" w:eastAsia="Arial" w:hAnsi="Arial" w:cs="Arial"/>
          <w:sz w:val="24"/>
          <w:szCs w:val="24"/>
          <w:lang w:val="es-ES"/>
        </w:rPr>
        <w:t xml:space="preserve"> neto, el resultado obtenido fue un endeudamiento en términos del gasto devengado y pagado a razón de </w:t>
      </w:r>
      <w:r>
        <w:rPr>
          <w:rFonts w:ascii="Arial" w:eastAsia="Arial" w:hAnsi="Arial" w:cs="Arial"/>
          <w:sz w:val="24"/>
          <w:szCs w:val="24"/>
          <w:lang w:val="es-ES"/>
        </w:rPr>
        <w:t>148.6</w:t>
      </w:r>
      <w:r w:rsidRPr="00E37D56">
        <w:rPr>
          <w:rFonts w:ascii="Arial" w:eastAsia="Arial" w:hAnsi="Arial" w:cs="Arial"/>
          <w:sz w:val="24"/>
          <w:szCs w:val="24"/>
          <w:lang w:val="es-ES"/>
        </w:rPr>
        <w:t xml:space="preserve"> millones de pesos.</w:t>
      </w:r>
    </w:p>
    <w:p w14:paraId="1F1E2776" w14:textId="77777777" w:rsidR="0046336D" w:rsidRPr="00E37D56" w:rsidRDefault="0046336D" w:rsidP="00683FD0">
      <w:pPr>
        <w:keepNext/>
        <w:keepLines/>
        <w:numPr>
          <w:ilvl w:val="0"/>
          <w:numId w:val="8"/>
        </w:numPr>
        <w:spacing w:before="40" w:after="0"/>
        <w:outlineLvl w:val="1"/>
        <w:rPr>
          <w:rFonts w:ascii="Arial" w:eastAsia="Times New Roman" w:hAnsi="Arial" w:cs="Arial"/>
          <w:b/>
          <w:color w:val="000000"/>
          <w:sz w:val="24"/>
          <w:szCs w:val="26"/>
        </w:rPr>
      </w:pPr>
      <w:bookmarkStart w:id="75" w:name="_Toc95496689"/>
      <w:bookmarkStart w:id="76" w:name="_Toc158567500"/>
      <w:r w:rsidRPr="00E37D56">
        <w:rPr>
          <w:rFonts w:ascii="Arial" w:eastAsia="Times New Roman" w:hAnsi="Arial" w:cs="Arial"/>
          <w:b/>
          <w:color w:val="000000"/>
          <w:sz w:val="24"/>
          <w:szCs w:val="26"/>
        </w:rPr>
        <w:lastRenderedPageBreak/>
        <w:t>Ingresos Presupuestarios</w:t>
      </w:r>
      <w:bookmarkEnd w:id="75"/>
      <w:bookmarkEnd w:id="76"/>
    </w:p>
    <w:p w14:paraId="62DC8A58" w14:textId="77777777" w:rsidR="0046336D" w:rsidRPr="00E37D56" w:rsidRDefault="0046336D" w:rsidP="0046336D">
      <w:pPr>
        <w:widowControl w:val="0"/>
        <w:tabs>
          <w:tab w:val="left" w:pos="9356"/>
        </w:tabs>
        <w:autoSpaceDE w:val="0"/>
        <w:autoSpaceDN w:val="0"/>
        <w:spacing w:before="160" w:after="0" w:line="276" w:lineRule="auto"/>
        <w:ind w:right="142"/>
        <w:jc w:val="both"/>
        <w:rPr>
          <w:rFonts w:ascii="Arial" w:eastAsia="Arial" w:hAnsi="Arial" w:cs="Arial"/>
          <w:b/>
          <w:sz w:val="24"/>
          <w:szCs w:val="24"/>
          <w:lang w:val="es-ES"/>
        </w:rPr>
      </w:pPr>
    </w:p>
    <w:p w14:paraId="41B43FD0" w14:textId="77777777" w:rsidR="0046336D" w:rsidRPr="00E37D56" w:rsidRDefault="0046336D" w:rsidP="0046336D">
      <w:pPr>
        <w:keepNext/>
        <w:keepLines/>
        <w:spacing w:before="40" w:after="0"/>
        <w:ind w:left="360"/>
        <w:outlineLvl w:val="2"/>
        <w:rPr>
          <w:rFonts w:ascii="Trebuchet MS" w:eastAsia="Times New Roman" w:hAnsi="Trebuchet MS" w:cs="Times New Roman"/>
          <w:b/>
          <w:color w:val="794908"/>
          <w:sz w:val="24"/>
          <w:szCs w:val="24"/>
        </w:rPr>
      </w:pPr>
      <w:bookmarkStart w:id="77" w:name="_Toc95496690"/>
      <w:bookmarkStart w:id="78" w:name="_Toc158567501"/>
      <w:r w:rsidRPr="00E37D56">
        <w:rPr>
          <w:rFonts w:ascii="Arial" w:eastAsia="Times New Roman" w:hAnsi="Arial" w:cs="Arial"/>
          <w:b/>
          <w:color w:val="262626"/>
          <w:sz w:val="24"/>
          <w:szCs w:val="24"/>
        </w:rPr>
        <w:t>I. Ejecución de la Ley de Ingresos 202</w:t>
      </w:r>
      <w:bookmarkEnd w:id="77"/>
      <w:r>
        <w:rPr>
          <w:rFonts w:ascii="Arial" w:eastAsia="Times New Roman" w:hAnsi="Arial" w:cs="Arial"/>
          <w:b/>
          <w:color w:val="262626"/>
          <w:sz w:val="24"/>
          <w:szCs w:val="24"/>
        </w:rPr>
        <w:t>2</w:t>
      </w:r>
      <w:bookmarkEnd w:id="78"/>
    </w:p>
    <w:p w14:paraId="3B00F357" w14:textId="77777777" w:rsidR="0046336D" w:rsidRPr="00E37D56" w:rsidRDefault="0046336D" w:rsidP="0046336D">
      <w:pPr>
        <w:widowControl w:val="0"/>
        <w:tabs>
          <w:tab w:val="left" w:pos="9356"/>
        </w:tabs>
        <w:autoSpaceDE w:val="0"/>
        <w:autoSpaceDN w:val="0"/>
        <w:spacing w:before="160" w:after="0" w:line="276" w:lineRule="auto"/>
        <w:ind w:left="360"/>
        <w:jc w:val="both"/>
        <w:rPr>
          <w:rFonts w:ascii="Arial" w:eastAsia="Arial" w:hAnsi="Arial" w:cs="Arial"/>
          <w:sz w:val="24"/>
          <w:szCs w:val="24"/>
          <w:lang w:val="es-ES"/>
        </w:rPr>
      </w:pPr>
      <w:r w:rsidRPr="00E37D56">
        <w:rPr>
          <w:rFonts w:ascii="Arial" w:eastAsia="Arial" w:hAnsi="Arial" w:cs="Arial"/>
          <w:sz w:val="24"/>
          <w:szCs w:val="24"/>
          <w:lang w:val="es-ES"/>
        </w:rPr>
        <w:t xml:space="preserve">A continuación, se presentan los resultados cuantitativos en materia de Ingresos, mismos que se </w:t>
      </w:r>
      <w:r w:rsidRPr="008E5181">
        <w:rPr>
          <w:rFonts w:ascii="Arial" w:eastAsia="Arial" w:hAnsi="Arial" w:cs="Arial"/>
          <w:sz w:val="24"/>
          <w:szCs w:val="24"/>
          <w:lang w:val="es-ES"/>
        </w:rPr>
        <w:t>examinarán</w:t>
      </w:r>
      <w:r w:rsidRPr="00E37D56">
        <w:rPr>
          <w:rFonts w:ascii="Arial" w:eastAsia="Arial" w:hAnsi="Arial" w:cs="Arial"/>
          <w:sz w:val="24"/>
          <w:szCs w:val="24"/>
          <w:lang w:val="es-ES"/>
        </w:rPr>
        <w:t xml:space="preserve"> </w:t>
      </w:r>
      <w:r>
        <w:rPr>
          <w:rFonts w:ascii="Arial" w:eastAsia="Arial" w:hAnsi="Arial" w:cs="Arial"/>
          <w:sz w:val="24"/>
          <w:szCs w:val="24"/>
          <w:lang w:val="es-ES"/>
        </w:rPr>
        <w:t xml:space="preserve">en </w:t>
      </w:r>
      <w:r w:rsidRPr="00E37D56">
        <w:rPr>
          <w:rFonts w:ascii="Arial" w:eastAsia="Arial" w:hAnsi="Arial" w:cs="Arial"/>
          <w:sz w:val="24"/>
          <w:szCs w:val="24"/>
          <w:lang w:val="es-ES"/>
        </w:rPr>
        <w:t>atención a su origen y tipo de acuerdo con el Clasificador por Rubros de Ingresos (CRI).</w:t>
      </w:r>
    </w:p>
    <w:p w14:paraId="2E843636" w14:textId="77777777" w:rsidR="0046336D" w:rsidRPr="00E37D56" w:rsidRDefault="0046336D" w:rsidP="0046336D">
      <w:pPr>
        <w:widowControl w:val="0"/>
        <w:tabs>
          <w:tab w:val="left" w:pos="9356"/>
        </w:tabs>
        <w:autoSpaceDE w:val="0"/>
        <w:autoSpaceDN w:val="0"/>
        <w:spacing w:before="120" w:after="0" w:line="276" w:lineRule="auto"/>
        <w:jc w:val="both"/>
        <w:rPr>
          <w:rFonts w:ascii="Arial" w:eastAsia="Arial" w:hAnsi="Arial" w:cs="Arial"/>
          <w:sz w:val="12"/>
          <w:szCs w:val="24"/>
          <w:lang w:val="es-ES"/>
        </w:rPr>
      </w:pPr>
    </w:p>
    <w:p w14:paraId="212074C9" w14:textId="77777777" w:rsidR="0046336D" w:rsidRPr="00E37D56" w:rsidRDefault="0046336D" w:rsidP="0046336D">
      <w:pPr>
        <w:widowControl w:val="0"/>
        <w:tabs>
          <w:tab w:val="left" w:pos="9356"/>
        </w:tabs>
        <w:autoSpaceDE w:val="0"/>
        <w:autoSpaceDN w:val="0"/>
        <w:spacing w:before="160" w:after="0" w:line="276" w:lineRule="auto"/>
        <w:ind w:left="360"/>
        <w:jc w:val="both"/>
        <w:rPr>
          <w:rFonts w:ascii="Arial" w:eastAsia="Arial" w:hAnsi="Arial" w:cs="Arial"/>
          <w:sz w:val="24"/>
          <w:szCs w:val="24"/>
          <w:lang w:val="es-ES"/>
        </w:rPr>
      </w:pPr>
      <w:r w:rsidRPr="00E37D56">
        <w:rPr>
          <w:rFonts w:ascii="Arial" w:eastAsia="Arial" w:hAnsi="Arial" w:cs="Arial"/>
          <w:sz w:val="24"/>
          <w:szCs w:val="24"/>
          <w:lang w:val="es-ES"/>
        </w:rPr>
        <w:t>En este sentido, dado que este informe se refiere a la rendición de cuentas de la Administración Pública Central del Estado, los Ingresos del Sector Público Presupuestario son los relativos a la Ley de Ingresos del Gobierno del Estado aprobada para el Ejercicio Fiscal 202</w:t>
      </w:r>
      <w:r>
        <w:rPr>
          <w:rFonts w:ascii="Arial" w:eastAsia="Arial" w:hAnsi="Arial" w:cs="Arial"/>
          <w:sz w:val="24"/>
          <w:szCs w:val="24"/>
          <w:lang w:val="es-ES"/>
        </w:rPr>
        <w:t>2</w:t>
      </w:r>
      <w:r w:rsidRPr="00E37D56">
        <w:rPr>
          <w:rFonts w:ascii="Arial" w:eastAsia="Arial" w:hAnsi="Arial" w:cs="Arial"/>
          <w:sz w:val="24"/>
          <w:szCs w:val="24"/>
          <w:lang w:val="es-ES"/>
        </w:rPr>
        <w:t>, sin incluir la consolidación del Sector Gobierno y Sector Paraestatal no Financiero.</w:t>
      </w:r>
    </w:p>
    <w:p w14:paraId="752CFB36" w14:textId="77777777" w:rsidR="0046336D" w:rsidRPr="00E37D56" w:rsidRDefault="0046336D" w:rsidP="0046336D">
      <w:pPr>
        <w:widowControl w:val="0"/>
        <w:tabs>
          <w:tab w:val="left" w:pos="9356"/>
        </w:tabs>
        <w:autoSpaceDE w:val="0"/>
        <w:autoSpaceDN w:val="0"/>
        <w:spacing w:before="160" w:after="0" w:line="276" w:lineRule="auto"/>
        <w:ind w:left="-284" w:right="142"/>
        <w:jc w:val="both"/>
        <w:rPr>
          <w:rFonts w:ascii="Arial" w:eastAsia="Arial" w:hAnsi="Arial" w:cs="Arial"/>
          <w:sz w:val="24"/>
          <w:szCs w:val="24"/>
          <w:lang w:val="es-ES"/>
        </w:rPr>
      </w:pPr>
    </w:p>
    <w:p w14:paraId="59AE4FA9" w14:textId="77777777" w:rsidR="0046336D" w:rsidRPr="00E37D56" w:rsidRDefault="0046336D" w:rsidP="0046336D">
      <w:pPr>
        <w:keepNext/>
        <w:keepLines/>
        <w:spacing w:before="40" w:after="0"/>
        <w:ind w:left="360"/>
        <w:outlineLvl w:val="2"/>
        <w:rPr>
          <w:rFonts w:ascii="Trebuchet MS" w:eastAsia="Times New Roman" w:hAnsi="Trebuchet MS" w:cs="Times New Roman"/>
          <w:color w:val="794908"/>
          <w:sz w:val="16"/>
          <w:szCs w:val="24"/>
        </w:rPr>
      </w:pPr>
      <w:bookmarkStart w:id="79" w:name="_Toc95496691"/>
      <w:bookmarkStart w:id="80" w:name="_Toc158567502"/>
      <w:r w:rsidRPr="00E37D56">
        <w:rPr>
          <w:rFonts w:ascii="Arial" w:eastAsia="Times New Roman" w:hAnsi="Arial" w:cs="Arial"/>
          <w:b/>
          <w:color w:val="262626"/>
          <w:sz w:val="24"/>
          <w:szCs w:val="24"/>
        </w:rPr>
        <w:t>II. Ingresos del Sector Público Presupuestario</w:t>
      </w:r>
      <w:bookmarkEnd w:id="79"/>
      <w:bookmarkEnd w:id="80"/>
    </w:p>
    <w:p w14:paraId="0F32E8C7" w14:textId="77777777" w:rsidR="0046336D" w:rsidRPr="00E37D56" w:rsidRDefault="0046336D" w:rsidP="0046336D">
      <w:pPr>
        <w:widowControl w:val="0"/>
        <w:tabs>
          <w:tab w:val="left" w:pos="9356"/>
        </w:tabs>
        <w:autoSpaceDE w:val="0"/>
        <w:autoSpaceDN w:val="0"/>
        <w:spacing w:before="160" w:after="0" w:line="276" w:lineRule="auto"/>
        <w:ind w:left="360"/>
        <w:jc w:val="both"/>
        <w:rPr>
          <w:rFonts w:ascii="Arial" w:eastAsia="Arial" w:hAnsi="Arial" w:cs="Arial"/>
          <w:sz w:val="24"/>
          <w:szCs w:val="24"/>
          <w:lang w:val="es-ES"/>
        </w:rPr>
      </w:pPr>
      <w:r w:rsidRPr="00E37D56">
        <w:rPr>
          <w:rFonts w:ascii="Arial" w:eastAsia="Arial" w:hAnsi="Arial" w:cs="Arial"/>
          <w:sz w:val="24"/>
          <w:szCs w:val="24"/>
          <w:lang w:val="es-ES"/>
        </w:rPr>
        <w:t xml:space="preserve">Como se consigna en </w:t>
      </w:r>
      <w:r w:rsidRPr="008E5181">
        <w:rPr>
          <w:rFonts w:ascii="Arial" w:eastAsia="Arial" w:hAnsi="Arial" w:cs="Arial"/>
          <w:sz w:val="24"/>
          <w:szCs w:val="24"/>
          <w:lang w:val="es-ES"/>
        </w:rPr>
        <w:t>el Estado</w:t>
      </w:r>
      <w:r w:rsidRPr="00E37D56">
        <w:rPr>
          <w:rFonts w:ascii="Arial" w:eastAsia="Arial" w:hAnsi="Arial" w:cs="Arial"/>
          <w:sz w:val="24"/>
          <w:szCs w:val="24"/>
          <w:lang w:val="es-ES"/>
        </w:rPr>
        <w:t xml:space="preserve"> sobre el Ejercicio de Ingresos del año 202</w:t>
      </w:r>
      <w:r>
        <w:rPr>
          <w:rFonts w:ascii="Arial" w:eastAsia="Arial" w:hAnsi="Arial" w:cs="Arial"/>
          <w:sz w:val="24"/>
          <w:szCs w:val="24"/>
          <w:lang w:val="es-ES"/>
        </w:rPr>
        <w:t>2</w:t>
      </w:r>
      <w:r w:rsidRPr="00E37D56">
        <w:rPr>
          <w:rFonts w:ascii="Arial" w:eastAsia="Arial" w:hAnsi="Arial" w:cs="Arial"/>
          <w:sz w:val="24"/>
          <w:szCs w:val="24"/>
          <w:lang w:val="es-ES"/>
        </w:rPr>
        <w:t xml:space="preserve">, las sumas de los ingresos devengados fueron cobrados en su totalidad y consecuentemente los registros de ingreso con base en devengado y del flujo de efectivo son coincidentes en ese ejercicio. Por tal virtud los </w:t>
      </w:r>
      <w:r w:rsidRPr="008E5181">
        <w:rPr>
          <w:rFonts w:ascii="Arial" w:eastAsia="Arial" w:hAnsi="Arial" w:cs="Arial"/>
          <w:sz w:val="24"/>
          <w:szCs w:val="24"/>
          <w:lang w:val="es-ES"/>
        </w:rPr>
        <w:t>cuadros y</w:t>
      </w:r>
      <w:r w:rsidRPr="00E37D56">
        <w:rPr>
          <w:rFonts w:ascii="Arial" w:eastAsia="Arial" w:hAnsi="Arial" w:cs="Arial"/>
          <w:sz w:val="24"/>
          <w:szCs w:val="24"/>
          <w:lang w:val="es-ES"/>
        </w:rPr>
        <w:t xml:space="preserve"> análisis comparativos que se integran en esta sección se refieren únicamente a las cifras de ingresos con base en flujo de efectivo.</w:t>
      </w:r>
    </w:p>
    <w:p w14:paraId="2F18E0BA" w14:textId="77777777" w:rsidR="0046336D" w:rsidRPr="00E37D56" w:rsidRDefault="0046336D" w:rsidP="0046336D">
      <w:pPr>
        <w:widowControl w:val="0"/>
        <w:tabs>
          <w:tab w:val="left" w:pos="9356"/>
        </w:tabs>
        <w:autoSpaceDE w:val="0"/>
        <w:autoSpaceDN w:val="0"/>
        <w:spacing w:before="120" w:after="0" w:line="276" w:lineRule="auto"/>
        <w:ind w:left="360"/>
        <w:jc w:val="both"/>
        <w:rPr>
          <w:rFonts w:ascii="Arial" w:eastAsia="Arial" w:hAnsi="Arial" w:cs="Arial"/>
          <w:sz w:val="12"/>
          <w:szCs w:val="24"/>
          <w:lang w:val="es-ES"/>
        </w:rPr>
      </w:pPr>
    </w:p>
    <w:p w14:paraId="68720F84" w14:textId="77777777" w:rsidR="0046336D" w:rsidRPr="00E37D56" w:rsidRDefault="0046336D" w:rsidP="0046336D">
      <w:pPr>
        <w:widowControl w:val="0"/>
        <w:tabs>
          <w:tab w:val="left" w:pos="9356"/>
        </w:tabs>
        <w:autoSpaceDE w:val="0"/>
        <w:autoSpaceDN w:val="0"/>
        <w:spacing w:before="160" w:after="0" w:line="276" w:lineRule="auto"/>
        <w:ind w:left="360"/>
        <w:jc w:val="both"/>
        <w:rPr>
          <w:rFonts w:ascii="Arial" w:eastAsia="Arial" w:hAnsi="Arial" w:cs="Arial"/>
          <w:sz w:val="24"/>
          <w:szCs w:val="24"/>
          <w:lang w:val="es-ES"/>
        </w:rPr>
      </w:pPr>
      <w:r w:rsidRPr="00E37D56">
        <w:rPr>
          <w:rFonts w:ascii="Arial" w:eastAsia="Arial" w:hAnsi="Arial" w:cs="Arial"/>
          <w:sz w:val="24"/>
          <w:szCs w:val="24"/>
          <w:lang w:val="es-ES"/>
        </w:rPr>
        <w:t>En la ejecución de la Ley de Ingresos del ejercicio 202</w:t>
      </w:r>
      <w:r>
        <w:rPr>
          <w:rFonts w:ascii="Arial" w:eastAsia="Arial" w:hAnsi="Arial" w:cs="Arial"/>
          <w:sz w:val="24"/>
          <w:szCs w:val="24"/>
          <w:lang w:val="es-ES"/>
        </w:rPr>
        <w:t>2</w:t>
      </w:r>
      <w:r w:rsidRPr="00E37D56">
        <w:rPr>
          <w:rFonts w:ascii="Arial" w:eastAsia="Arial" w:hAnsi="Arial" w:cs="Arial"/>
          <w:sz w:val="24"/>
          <w:szCs w:val="24"/>
          <w:lang w:val="es-ES"/>
        </w:rPr>
        <w:t xml:space="preserve">, la Administración Pública Central del Gobierno del Estado obtuvo ingresos nominales totales por </w:t>
      </w:r>
      <w:r>
        <w:rPr>
          <w:rFonts w:ascii="Arial" w:eastAsia="Arial" w:hAnsi="Arial" w:cs="Arial"/>
          <w:sz w:val="24"/>
          <w:szCs w:val="24"/>
          <w:lang w:val="es-ES"/>
        </w:rPr>
        <w:t>40,839.6</w:t>
      </w:r>
      <w:r w:rsidRPr="00E37D56">
        <w:rPr>
          <w:rFonts w:ascii="Arial" w:eastAsia="Arial" w:hAnsi="Arial" w:cs="Arial"/>
          <w:sz w:val="24"/>
          <w:szCs w:val="24"/>
          <w:lang w:val="es-ES"/>
        </w:rPr>
        <w:t xml:space="preserve"> millones de </w:t>
      </w:r>
      <w:r w:rsidRPr="008E5181">
        <w:rPr>
          <w:rFonts w:ascii="Arial" w:eastAsia="Arial" w:hAnsi="Arial" w:cs="Arial"/>
          <w:sz w:val="24"/>
          <w:szCs w:val="24"/>
          <w:lang w:val="es-ES"/>
        </w:rPr>
        <w:t>pesos,</w:t>
      </w:r>
      <w:r w:rsidRPr="00E37D56">
        <w:rPr>
          <w:rFonts w:ascii="Arial" w:eastAsia="Arial" w:hAnsi="Arial" w:cs="Arial"/>
          <w:sz w:val="24"/>
          <w:szCs w:val="24"/>
          <w:lang w:val="es-ES"/>
        </w:rPr>
        <w:t xml:space="preserve"> </w:t>
      </w:r>
      <w:r>
        <w:rPr>
          <w:rFonts w:ascii="Arial" w:eastAsia="Arial" w:hAnsi="Arial" w:cs="Arial"/>
          <w:sz w:val="24"/>
          <w:szCs w:val="24"/>
          <w:lang w:val="es-ES"/>
        </w:rPr>
        <w:t>que son superiores en 6,228.3 millones de pesos</w:t>
      </w:r>
      <w:r w:rsidRPr="00E37D56">
        <w:rPr>
          <w:rFonts w:ascii="Arial" w:eastAsia="Arial" w:hAnsi="Arial" w:cs="Arial"/>
          <w:sz w:val="24"/>
          <w:szCs w:val="24"/>
          <w:lang w:val="es-ES"/>
        </w:rPr>
        <w:t xml:space="preserve"> con el monto total estimado en la Ley de Ingresos de ese año.</w:t>
      </w:r>
    </w:p>
    <w:p w14:paraId="7ACA33E2" w14:textId="77777777" w:rsidR="0046336D" w:rsidRPr="00E37D56" w:rsidRDefault="0046336D" w:rsidP="0046336D">
      <w:pPr>
        <w:widowControl w:val="0"/>
        <w:tabs>
          <w:tab w:val="left" w:pos="9356"/>
        </w:tabs>
        <w:autoSpaceDE w:val="0"/>
        <w:autoSpaceDN w:val="0"/>
        <w:spacing w:before="120" w:after="0" w:line="276" w:lineRule="auto"/>
        <w:jc w:val="both"/>
        <w:rPr>
          <w:rFonts w:ascii="Arial" w:eastAsia="Arial" w:hAnsi="Arial" w:cs="Arial"/>
          <w:sz w:val="12"/>
          <w:szCs w:val="24"/>
          <w:lang w:val="es-ES"/>
        </w:rPr>
      </w:pPr>
    </w:p>
    <w:p w14:paraId="3A356BC0" w14:textId="77777777" w:rsidR="0046336D" w:rsidRPr="00872B68" w:rsidRDefault="0046336D" w:rsidP="00CC276C">
      <w:pPr>
        <w:widowControl w:val="0"/>
        <w:tabs>
          <w:tab w:val="left" w:pos="9356"/>
        </w:tabs>
        <w:autoSpaceDE w:val="0"/>
        <w:autoSpaceDN w:val="0"/>
        <w:spacing w:before="160" w:after="0" w:line="276" w:lineRule="auto"/>
        <w:ind w:left="360"/>
        <w:jc w:val="both"/>
        <w:rPr>
          <w:rFonts w:ascii="Arial" w:eastAsia="Arial" w:hAnsi="Arial" w:cs="Arial"/>
          <w:sz w:val="24"/>
          <w:szCs w:val="24"/>
          <w:lang w:val="es-ES"/>
        </w:rPr>
      </w:pPr>
      <w:r w:rsidRPr="00E37D56">
        <w:rPr>
          <w:rFonts w:ascii="Arial" w:eastAsia="Arial" w:hAnsi="Arial" w:cs="Arial"/>
          <w:sz w:val="24"/>
          <w:szCs w:val="24"/>
          <w:lang w:val="es-ES"/>
        </w:rPr>
        <w:t>En términos globales los ingresos del ejercicio 202</w:t>
      </w:r>
      <w:r>
        <w:rPr>
          <w:rFonts w:ascii="Arial" w:eastAsia="Arial" w:hAnsi="Arial" w:cs="Arial"/>
          <w:sz w:val="24"/>
          <w:szCs w:val="24"/>
          <w:lang w:val="es-ES"/>
        </w:rPr>
        <w:t>2</w:t>
      </w:r>
      <w:r w:rsidRPr="00E37D56">
        <w:rPr>
          <w:rFonts w:ascii="Arial" w:eastAsia="Arial" w:hAnsi="Arial" w:cs="Arial"/>
          <w:sz w:val="24"/>
          <w:szCs w:val="24"/>
          <w:lang w:val="es-ES"/>
        </w:rPr>
        <w:t xml:space="preserve">, con relación a los ingresos obtenidos en el año anterior </w:t>
      </w:r>
      <w:r>
        <w:rPr>
          <w:rFonts w:ascii="Arial" w:eastAsia="Arial" w:hAnsi="Arial" w:cs="Arial"/>
          <w:sz w:val="24"/>
          <w:szCs w:val="24"/>
          <w:lang w:val="es-ES"/>
        </w:rPr>
        <w:t>(</w:t>
      </w:r>
      <w:r w:rsidRPr="00071BF4">
        <w:rPr>
          <w:rFonts w:ascii="Arial" w:eastAsia="Arial" w:hAnsi="Arial" w:cs="Arial"/>
          <w:sz w:val="24"/>
          <w:szCs w:val="24"/>
          <w:lang w:val="es-ES"/>
        </w:rPr>
        <w:t>34,611.2</w:t>
      </w:r>
      <w:r>
        <w:rPr>
          <w:rFonts w:ascii="Arial" w:eastAsia="Arial" w:hAnsi="Arial" w:cs="Arial"/>
          <w:sz w:val="24"/>
          <w:szCs w:val="24"/>
          <w:lang w:val="es-ES"/>
        </w:rPr>
        <w:t xml:space="preserve"> </w:t>
      </w:r>
      <w:r w:rsidRPr="00E37D56">
        <w:rPr>
          <w:rFonts w:ascii="Arial" w:eastAsia="Arial" w:hAnsi="Arial" w:cs="Arial"/>
          <w:sz w:val="24"/>
          <w:szCs w:val="24"/>
          <w:lang w:val="es-ES"/>
        </w:rPr>
        <w:t>millones de pesos</w:t>
      </w:r>
      <w:r>
        <w:rPr>
          <w:rFonts w:ascii="Arial" w:eastAsia="Arial" w:hAnsi="Arial" w:cs="Arial"/>
          <w:sz w:val="24"/>
          <w:szCs w:val="24"/>
          <w:lang w:val="es-ES"/>
        </w:rPr>
        <w:t>)</w:t>
      </w:r>
      <w:r w:rsidRPr="00E37D56">
        <w:rPr>
          <w:rFonts w:ascii="Arial" w:eastAsia="Arial" w:hAnsi="Arial" w:cs="Arial"/>
          <w:sz w:val="24"/>
          <w:szCs w:val="24"/>
          <w:lang w:val="es-ES"/>
        </w:rPr>
        <w:t xml:space="preserve">, presentaron un </w:t>
      </w:r>
      <w:r>
        <w:rPr>
          <w:rFonts w:ascii="Arial" w:eastAsia="Arial" w:hAnsi="Arial" w:cs="Arial"/>
          <w:sz w:val="24"/>
          <w:szCs w:val="24"/>
          <w:lang w:val="es-ES"/>
        </w:rPr>
        <w:t>in</w:t>
      </w:r>
      <w:r w:rsidRPr="00E37D56">
        <w:rPr>
          <w:rFonts w:ascii="Arial" w:eastAsia="Arial" w:hAnsi="Arial" w:cs="Arial"/>
          <w:sz w:val="24"/>
          <w:szCs w:val="24"/>
          <w:lang w:val="es-ES"/>
        </w:rPr>
        <w:t xml:space="preserve">cremento real de </w:t>
      </w:r>
      <w:r>
        <w:rPr>
          <w:rFonts w:ascii="Arial" w:eastAsia="Arial" w:hAnsi="Arial" w:cs="Arial"/>
          <w:sz w:val="24"/>
          <w:szCs w:val="24"/>
          <w:lang w:val="es-ES"/>
        </w:rPr>
        <w:t>6.8</w:t>
      </w:r>
      <w:r w:rsidRPr="00E37D56">
        <w:rPr>
          <w:rFonts w:ascii="Arial" w:eastAsia="Arial" w:hAnsi="Arial" w:cs="Arial"/>
          <w:sz w:val="24"/>
          <w:szCs w:val="24"/>
          <w:lang w:val="es-ES"/>
        </w:rPr>
        <w:t xml:space="preserve"> por ciento</w:t>
      </w:r>
      <w:r>
        <w:rPr>
          <w:rFonts w:ascii="Arial" w:eastAsia="Arial" w:hAnsi="Arial" w:cs="Arial"/>
          <w:sz w:val="24"/>
          <w:szCs w:val="24"/>
          <w:lang w:val="es-ES"/>
        </w:rPr>
        <w:t>;</w:t>
      </w:r>
      <w:r w:rsidRPr="00E37D56">
        <w:rPr>
          <w:rFonts w:ascii="Arial" w:eastAsia="Arial" w:hAnsi="Arial" w:cs="Arial"/>
          <w:sz w:val="24"/>
          <w:szCs w:val="24"/>
          <w:lang w:val="es-ES"/>
        </w:rPr>
        <w:t xml:space="preserve"> al eliminar los importes de</w:t>
      </w:r>
      <w:r>
        <w:rPr>
          <w:rFonts w:ascii="Arial" w:eastAsia="Arial" w:hAnsi="Arial" w:cs="Arial"/>
          <w:sz w:val="24"/>
          <w:szCs w:val="24"/>
          <w:lang w:val="es-ES"/>
        </w:rPr>
        <w:t xml:space="preserve"> </w:t>
      </w:r>
      <w:r w:rsidRPr="00071BF4">
        <w:rPr>
          <w:rFonts w:ascii="Arial" w:eastAsia="Arial" w:hAnsi="Arial" w:cs="Arial"/>
          <w:sz w:val="24"/>
          <w:szCs w:val="24"/>
          <w:lang w:val="es-ES"/>
        </w:rPr>
        <w:t>los</w:t>
      </w:r>
      <w:r w:rsidRPr="00E37D56">
        <w:rPr>
          <w:rFonts w:ascii="Arial" w:eastAsia="Arial" w:hAnsi="Arial" w:cs="Arial"/>
          <w:sz w:val="24"/>
          <w:szCs w:val="24"/>
          <w:lang w:val="es-ES"/>
        </w:rPr>
        <w:t xml:space="preserve"> ingresos por financiamientos</w:t>
      </w:r>
      <w:r>
        <w:rPr>
          <w:rFonts w:ascii="Arial" w:eastAsia="Arial" w:hAnsi="Arial" w:cs="Arial"/>
          <w:sz w:val="24"/>
          <w:szCs w:val="24"/>
          <w:lang w:val="es-ES"/>
        </w:rPr>
        <w:t>;</w:t>
      </w:r>
      <w:r w:rsidRPr="00E37D56">
        <w:rPr>
          <w:rFonts w:ascii="Arial" w:eastAsia="Arial" w:hAnsi="Arial" w:cs="Arial"/>
          <w:sz w:val="24"/>
          <w:szCs w:val="24"/>
          <w:lang w:val="es-ES"/>
        </w:rPr>
        <w:t xml:space="preserve"> el crecimiento real entre los ingresos obtenidos </w:t>
      </w:r>
      <w:r>
        <w:rPr>
          <w:rFonts w:ascii="Arial" w:eastAsia="Arial" w:hAnsi="Arial" w:cs="Arial"/>
          <w:sz w:val="24"/>
          <w:szCs w:val="24"/>
          <w:lang w:val="es-ES"/>
        </w:rPr>
        <w:t xml:space="preserve">sin financiamiento </w:t>
      </w:r>
      <w:r w:rsidRPr="00E37D56">
        <w:rPr>
          <w:rFonts w:ascii="Arial" w:eastAsia="Arial" w:hAnsi="Arial" w:cs="Arial"/>
          <w:sz w:val="24"/>
          <w:szCs w:val="24"/>
          <w:lang w:val="es-ES"/>
        </w:rPr>
        <w:t>en el ejercicio fiscal 202</w:t>
      </w:r>
      <w:r>
        <w:rPr>
          <w:rFonts w:ascii="Arial" w:eastAsia="Arial" w:hAnsi="Arial" w:cs="Arial"/>
          <w:sz w:val="24"/>
          <w:szCs w:val="24"/>
          <w:lang w:val="es-ES"/>
        </w:rPr>
        <w:t>2</w:t>
      </w:r>
      <w:r w:rsidRPr="00E37D56">
        <w:rPr>
          <w:rFonts w:ascii="Arial" w:eastAsia="Arial" w:hAnsi="Arial" w:cs="Arial"/>
          <w:sz w:val="24"/>
          <w:szCs w:val="24"/>
          <w:lang w:val="es-ES"/>
        </w:rPr>
        <w:t xml:space="preserve"> comparado con el 2021, resulta una cifra </w:t>
      </w:r>
      <w:r>
        <w:rPr>
          <w:rFonts w:ascii="Arial" w:eastAsia="Arial" w:hAnsi="Arial" w:cs="Arial"/>
          <w:sz w:val="24"/>
          <w:szCs w:val="24"/>
          <w:lang w:val="es-ES"/>
        </w:rPr>
        <w:t>positiva</w:t>
      </w:r>
      <w:r w:rsidRPr="00E37D56">
        <w:rPr>
          <w:rFonts w:ascii="Arial" w:eastAsia="Arial" w:hAnsi="Arial" w:cs="Arial"/>
          <w:sz w:val="24"/>
          <w:szCs w:val="24"/>
          <w:lang w:val="es-ES"/>
        </w:rPr>
        <w:t xml:space="preserve"> de </w:t>
      </w:r>
      <w:r>
        <w:rPr>
          <w:rFonts w:ascii="Arial" w:eastAsia="Arial" w:hAnsi="Arial" w:cs="Arial"/>
          <w:sz w:val="24"/>
          <w:szCs w:val="24"/>
          <w:lang w:val="es-ES"/>
        </w:rPr>
        <w:t>9.9</w:t>
      </w:r>
      <w:r w:rsidRPr="00E37D56">
        <w:rPr>
          <w:rFonts w:ascii="Arial" w:eastAsia="Arial" w:hAnsi="Arial" w:cs="Arial"/>
          <w:sz w:val="24"/>
          <w:szCs w:val="24"/>
          <w:lang w:val="es-ES"/>
        </w:rPr>
        <w:t xml:space="preserve"> por ciento.</w:t>
      </w:r>
    </w:p>
    <w:p w14:paraId="2E7367F6" w14:textId="77777777" w:rsidR="0046336D" w:rsidRPr="00E37D56" w:rsidRDefault="0046336D" w:rsidP="0046336D">
      <w:pPr>
        <w:keepNext/>
        <w:keepLines/>
        <w:spacing w:before="40" w:after="0"/>
        <w:ind w:left="360"/>
        <w:outlineLvl w:val="2"/>
        <w:rPr>
          <w:rFonts w:ascii="Arial" w:eastAsia="Times New Roman" w:hAnsi="Arial" w:cs="Arial"/>
          <w:b/>
          <w:color w:val="262626"/>
          <w:sz w:val="24"/>
          <w:szCs w:val="24"/>
        </w:rPr>
      </w:pPr>
      <w:bookmarkStart w:id="81" w:name="_Toc95496692"/>
      <w:bookmarkStart w:id="82" w:name="_Toc158567503"/>
      <w:r w:rsidRPr="00E37D56">
        <w:rPr>
          <w:rFonts w:ascii="Arial" w:eastAsia="Times New Roman" w:hAnsi="Arial" w:cs="Arial"/>
          <w:b/>
          <w:color w:val="262626"/>
          <w:sz w:val="24"/>
          <w:szCs w:val="24"/>
        </w:rPr>
        <w:t>III. Evolución de los Ingresos Presupuestarios de la Administración Pública Central</w:t>
      </w:r>
      <w:bookmarkEnd w:id="81"/>
      <w:bookmarkEnd w:id="82"/>
    </w:p>
    <w:p w14:paraId="1C681F96" w14:textId="77777777" w:rsidR="0046336D" w:rsidRPr="00E37D56" w:rsidRDefault="0046336D" w:rsidP="0046336D">
      <w:pPr>
        <w:widowControl w:val="0"/>
        <w:tabs>
          <w:tab w:val="left" w:pos="9356"/>
        </w:tabs>
        <w:autoSpaceDE w:val="0"/>
        <w:autoSpaceDN w:val="0"/>
        <w:spacing w:before="120" w:after="0" w:line="276" w:lineRule="auto"/>
        <w:jc w:val="both"/>
        <w:rPr>
          <w:rFonts w:ascii="Arial" w:eastAsia="Arial" w:hAnsi="Arial" w:cs="Arial"/>
          <w:sz w:val="8"/>
          <w:szCs w:val="24"/>
          <w:lang w:val="es-ES"/>
        </w:rPr>
      </w:pPr>
    </w:p>
    <w:p w14:paraId="61908173" w14:textId="77777777" w:rsidR="0046336D" w:rsidRPr="00E37D56" w:rsidRDefault="0046336D" w:rsidP="0046336D">
      <w:pPr>
        <w:widowControl w:val="0"/>
        <w:tabs>
          <w:tab w:val="left" w:pos="9356"/>
        </w:tabs>
        <w:autoSpaceDE w:val="0"/>
        <w:autoSpaceDN w:val="0"/>
        <w:spacing w:before="160" w:after="0" w:line="276" w:lineRule="auto"/>
        <w:ind w:left="360"/>
        <w:jc w:val="both"/>
        <w:rPr>
          <w:rFonts w:ascii="Arial" w:eastAsia="Arial" w:hAnsi="Arial" w:cs="Arial"/>
          <w:sz w:val="24"/>
          <w:szCs w:val="24"/>
          <w:lang w:val="es-ES"/>
        </w:rPr>
      </w:pPr>
      <w:r w:rsidRPr="00E37D56">
        <w:rPr>
          <w:rFonts w:ascii="Arial" w:eastAsia="Arial" w:hAnsi="Arial" w:cs="Arial"/>
          <w:sz w:val="24"/>
          <w:szCs w:val="24"/>
          <w:lang w:val="es-ES"/>
        </w:rPr>
        <w:t xml:space="preserve">Los ingresos presupuestarios obtenidos por la Administración Pública Central en </w:t>
      </w:r>
      <w:r w:rsidRPr="00E37D56">
        <w:rPr>
          <w:rFonts w:ascii="Arial" w:eastAsia="Arial" w:hAnsi="Arial" w:cs="Arial"/>
          <w:sz w:val="24"/>
          <w:szCs w:val="24"/>
          <w:lang w:val="es-ES"/>
        </w:rPr>
        <w:lastRenderedPageBreak/>
        <w:t>el año 202</w:t>
      </w:r>
      <w:r>
        <w:rPr>
          <w:rFonts w:ascii="Arial" w:eastAsia="Arial" w:hAnsi="Arial" w:cs="Arial"/>
          <w:sz w:val="24"/>
          <w:szCs w:val="24"/>
          <w:lang w:val="es-ES"/>
        </w:rPr>
        <w:t>2</w:t>
      </w:r>
      <w:r w:rsidRPr="00E37D56">
        <w:rPr>
          <w:rFonts w:ascii="Arial" w:eastAsia="Arial" w:hAnsi="Arial" w:cs="Arial"/>
          <w:sz w:val="24"/>
          <w:szCs w:val="24"/>
          <w:lang w:val="es-ES"/>
        </w:rPr>
        <w:t xml:space="preserve">, se integran de la siguiente manera: en </w:t>
      </w:r>
      <w:r>
        <w:rPr>
          <w:rFonts w:ascii="Arial" w:eastAsia="Arial" w:hAnsi="Arial" w:cs="Arial"/>
          <w:sz w:val="24"/>
          <w:szCs w:val="24"/>
          <w:lang w:val="es-ES"/>
        </w:rPr>
        <w:t>74.5</w:t>
      </w:r>
      <w:r w:rsidRPr="00E37D56">
        <w:rPr>
          <w:rFonts w:ascii="Arial" w:eastAsia="Arial" w:hAnsi="Arial" w:cs="Arial"/>
          <w:sz w:val="24"/>
          <w:szCs w:val="24"/>
          <w:lang w:val="es-ES"/>
        </w:rPr>
        <w:t xml:space="preserve"> por ciento por recursos de origen federal (</w:t>
      </w:r>
      <w:r>
        <w:rPr>
          <w:rFonts w:ascii="Arial" w:eastAsia="Arial" w:hAnsi="Arial" w:cs="Arial"/>
          <w:sz w:val="24"/>
          <w:szCs w:val="24"/>
          <w:lang w:val="es-ES"/>
        </w:rPr>
        <w:t>30,439.9</w:t>
      </w:r>
      <w:r w:rsidRPr="00E37D56">
        <w:rPr>
          <w:rFonts w:ascii="Arial" w:eastAsia="Arial" w:hAnsi="Arial" w:cs="Arial"/>
          <w:sz w:val="24"/>
          <w:szCs w:val="24"/>
          <w:lang w:val="es-ES"/>
        </w:rPr>
        <w:t xml:space="preserve"> millones de pesos), </w:t>
      </w:r>
      <w:r>
        <w:rPr>
          <w:rFonts w:ascii="Arial" w:eastAsia="Arial" w:hAnsi="Arial" w:cs="Arial"/>
          <w:sz w:val="24"/>
          <w:szCs w:val="24"/>
          <w:lang w:val="es-ES"/>
        </w:rPr>
        <w:t>20.5</w:t>
      </w:r>
      <w:r w:rsidRPr="00E37D56">
        <w:rPr>
          <w:rFonts w:ascii="Arial" w:eastAsia="Arial" w:hAnsi="Arial" w:cs="Arial"/>
          <w:sz w:val="24"/>
          <w:szCs w:val="24"/>
          <w:lang w:val="es-ES"/>
        </w:rPr>
        <w:t xml:space="preserve"> por ciento de origen </w:t>
      </w:r>
      <w:r>
        <w:rPr>
          <w:rFonts w:ascii="Arial" w:eastAsia="Arial" w:hAnsi="Arial" w:cs="Arial"/>
          <w:sz w:val="24"/>
          <w:szCs w:val="24"/>
          <w:lang w:val="es-ES"/>
        </w:rPr>
        <w:t>local</w:t>
      </w:r>
      <w:r w:rsidRPr="00E37D56">
        <w:rPr>
          <w:rFonts w:ascii="Arial" w:eastAsia="Arial" w:hAnsi="Arial" w:cs="Arial"/>
          <w:sz w:val="24"/>
          <w:szCs w:val="24"/>
          <w:lang w:val="es-ES"/>
        </w:rPr>
        <w:t xml:space="preserve"> (</w:t>
      </w:r>
      <w:r>
        <w:rPr>
          <w:rFonts w:ascii="Arial" w:eastAsia="Arial" w:hAnsi="Arial" w:cs="Arial"/>
          <w:sz w:val="24"/>
          <w:szCs w:val="24"/>
          <w:lang w:val="es-ES"/>
        </w:rPr>
        <w:t>8,374.0</w:t>
      </w:r>
      <w:r w:rsidRPr="00E37D56">
        <w:rPr>
          <w:rFonts w:ascii="Arial" w:eastAsia="Arial" w:hAnsi="Arial" w:cs="Arial"/>
          <w:sz w:val="24"/>
          <w:szCs w:val="24"/>
          <w:lang w:val="es-ES"/>
        </w:rPr>
        <w:t xml:space="preserve"> millones de pesos) y </w:t>
      </w:r>
      <w:r>
        <w:rPr>
          <w:rFonts w:ascii="Arial" w:eastAsia="Arial" w:hAnsi="Arial" w:cs="Arial"/>
          <w:sz w:val="24"/>
          <w:szCs w:val="24"/>
          <w:lang w:val="es-ES"/>
        </w:rPr>
        <w:t>5.0</w:t>
      </w:r>
      <w:r w:rsidRPr="00E37D56">
        <w:rPr>
          <w:rFonts w:ascii="Arial" w:eastAsia="Arial" w:hAnsi="Arial" w:cs="Arial"/>
          <w:sz w:val="24"/>
          <w:szCs w:val="24"/>
          <w:lang w:val="es-ES"/>
        </w:rPr>
        <w:t xml:space="preserve"> por ciento de ingresos derivados de financiamientos (2,</w:t>
      </w:r>
      <w:r>
        <w:rPr>
          <w:rFonts w:ascii="Arial" w:eastAsia="Arial" w:hAnsi="Arial" w:cs="Arial"/>
          <w:sz w:val="24"/>
          <w:szCs w:val="24"/>
          <w:lang w:val="es-ES"/>
        </w:rPr>
        <w:t>025.7</w:t>
      </w:r>
      <w:r w:rsidRPr="00E37D56">
        <w:rPr>
          <w:rFonts w:ascii="Arial" w:eastAsia="Arial" w:hAnsi="Arial" w:cs="Arial"/>
          <w:sz w:val="24"/>
          <w:szCs w:val="24"/>
          <w:lang w:val="es-ES"/>
        </w:rPr>
        <w:t xml:space="preserve"> millones de pesos).</w:t>
      </w:r>
    </w:p>
    <w:p w14:paraId="7FC30F4F" w14:textId="77777777" w:rsidR="0046336D" w:rsidRPr="00E37D56" w:rsidRDefault="0046336D" w:rsidP="0046336D">
      <w:pPr>
        <w:widowControl w:val="0"/>
        <w:autoSpaceDE w:val="0"/>
        <w:autoSpaceDN w:val="0"/>
        <w:spacing w:before="240" w:after="0" w:line="276" w:lineRule="auto"/>
        <w:ind w:left="-284"/>
        <w:jc w:val="both"/>
        <w:rPr>
          <w:rFonts w:ascii="Arial" w:eastAsia="Arial" w:hAnsi="Arial" w:cs="Arial"/>
          <w:sz w:val="12"/>
          <w:szCs w:val="24"/>
          <w:lang w:val="es-ES"/>
        </w:rPr>
      </w:pPr>
    </w:p>
    <w:tbl>
      <w:tblPr>
        <w:tblW w:w="4958"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88"/>
        <w:gridCol w:w="1699"/>
        <w:gridCol w:w="862"/>
        <w:gridCol w:w="835"/>
        <w:gridCol w:w="844"/>
        <w:gridCol w:w="860"/>
        <w:gridCol w:w="835"/>
        <w:gridCol w:w="812"/>
        <w:gridCol w:w="919"/>
        <w:gridCol w:w="77"/>
        <w:gridCol w:w="296"/>
        <w:gridCol w:w="427"/>
      </w:tblGrid>
      <w:tr w:rsidR="0046336D" w:rsidRPr="00E37D56" w14:paraId="283E1D21" w14:textId="77777777" w:rsidTr="003310EE">
        <w:trPr>
          <w:trHeight w:val="288"/>
          <w:jc w:val="center"/>
        </w:trPr>
        <w:tc>
          <w:tcPr>
            <w:tcW w:w="4999" w:type="pct"/>
            <w:gridSpan w:val="12"/>
            <w:shd w:val="clear" w:color="auto" w:fill="auto"/>
            <w:noWrap/>
            <w:vAlign w:val="center"/>
            <w:hideMark/>
          </w:tcPr>
          <w:p w14:paraId="792F5789" w14:textId="77777777" w:rsidR="0046336D" w:rsidRPr="00071BF4" w:rsidRDefault="0046336D" w:rsidP="0046336D">
            <w:pPr>
              <w:spacing w:after="0" w:line="240" w:lineRule="auto"/>
              <w:jc w:val="center"/>
              <w:rPr>
                <w:rFonts w:ascii="Arial" w:eastAsia="Times New Roman" w:hAnsi="Arial" w:cs="Arial"/>
                <w:b/>
                <w:sz w:val="14"/>
                <w:szCs w:val="14"/>
                <w:lang w:eastAsia="es-MX"/>
              </w:rPr>
            </w:pPr>
            <w:r w:rsidRPr="00071BF4">
              <w:rPr>
                <w:rFonts w:ascii="Arial" w:eastAsia="Times New Roman" w:hAnsi="Arial" w:cs="Arial"/>
                <w:b/>
                <w:color w:val="000000"/>
                <w:sz w:val="14"/>
                <w:szCs w:val="14"/>
                <w:lang w:eastAsia="es-MX"/>
              </w:rPr>
              <w:t>INGRESOS DE LA ADMINISTRACIÓN PÚBLICA CENTRAL</w:t>
            </w:r>
          </w:p>
        </w:tc>
      </w:tr>
      <w:tr w:rsidR="0046336D" w:rsidRPr="00E37D56" w14:paraId="29C573C7" w14:textId="77777777" w:rsidTr="003310EE">
        <w:trPr>
          <w:trHeight w:val="288"/>
          <w:jc w:val="center"/>
        </w:trPr>
        <w:tc>
          <w:tcPr>
            <w:tcW w:w="4999" w:type="pct"/>
            <w:gridSpan w:val="12"/>
            <w:shd w:val="clear" w:color="auto" w:fill="auto"/>
            <w:noWrap/>
            <w:vAlign w:val="center"/>
            <w:hideMark/>
          </w:tcPr>
          <w:p w14:paraId="71F0464A" w14:textId="77777777" w:rsidR="0046336D" w:rsidRPr="00E37D56" w:rsidRDefault="0046336D" w:rsidP="0046336D">
            <w:pPr>
              <w:spacing w:after="0" w:line="240" w:lineRule="auto"/>
              <w:jc w:val="center"/>
              <w:rPr>
                <w:rFonts w:ascii="Arial" w:eastAsia="Times New Roman" w:hAnsi="Arial" w:cs="Arial"/>
                <w:sz w:val="14"/>
                <w:szCs w:val="14"/>
                <w:lang w:eastAsia="es-MX"/>
              </w:rPr>
            </w:pPr>
            <w:r w:rsidRPr="00E37D56">
              <w:rPr>
                <w:rFonts w:ascii="Arial" w:eastAsia="Times New Roman" w:hAnsi="Arial" w:cs="Arial"/>
                <w:color w:val="000000"/>
                <w:sz w:val="14"/>
                <w:szCs w:val="14"/>
                <w:lang w:eastAsia="es-MX"/>
              </w:rPr>
              <w:t>Ejercicio 202</w:t>
            </w:r>
            <w:r>
              <w:rPr>
                <w:rFonts w:ascii="Arial" w:eastAsia="Times New Roman" w:hAnsi="Arial" w:cs="Arial"/>
                <w:color w:val="000000"/>
                <w:sz w:val="14"/>
                <w:szCs w:val="14"/>
                <w:lang w:eastAsia="es-MX"/>
              </w:rPr>
              <w:t>2</w:t>
            </w:r>
            <w:r w:rsidRPr="00E37D56">
              <w:rPr>
                <w:rFonts w:ascii="Arial" w:eastAsia="Times New Roman" w:hAnsi="Arial" w:cs="Arial"/>
                <w:color w:val="000000"/>
                <w:sz w:val="14"/>
                <w:szCs w:val="14"/>
                <w:lang w:eastAsia="es-MX"/>
              </w:rPr>
              <w:t xml:space="preserve"> comparativo con 202</w:t>
            </w:r>
            <w:r>
              <w:rPr>
                <w:rFonts w:ascii="Arial" w:eastAsia="Times New Roman" w:hAnsi="Arial" w:cs="Arial"/>
                <w:color w:val="000000"/>
                <w:sz w:val="14"/>
                <w:szCs w:val="14"/>
                <w:lang w:eastAsia="es-MX"/>
              </w:rPr>
              <w:t>1</w:t>
            </w:r>
          </w:p>
        </w:tc>
      </w:tr>
      <w:tr w:rsidR="0046336D" w:rsidRPr="00E37D56" w14:paraId="2D0BBC68" w14:textId="77777777" w:rsidTr="003310EE">
        <w:trPr>
          <w:trHeight w:val="288"/>
          <w:jc w:val="center"/>
        </w:trPr>
        <w:tc>
          <w:tcPr>
            <w:tcW w:w="4999" w:type="pct"/>
            <w:gridSpan w:val="12"/>
            <w:shd w:val="clear" w:color="auto" w:fill="auto"/>
            <w:noWrap/>
            <w:vAlign w:val="center"/>
            <w:hideMark/>
          </w:tcPr>
          <w:p w14:paraId="16F76C8B" w14:textId="77777777" w:rsidR="0046336D" w:rsidRPr="00E37D56" w:rsidRDefault="0046336D" w:rsidP="0046336D">
            <w:pPr>
              <w:spacing w:after="0" w:line="240" w:lineRule="auto"/>
              <w:jc w:val="center"/>
              <w:rPr>
                <w:rFonts w:ascii="Arial" w:eastAsia="Times New Roman" w:hAnsi="Arial" w:cs="Arial"/>
                <w:sz w:val="14"/>
                <w:szCs w:val="14"/>
                <w:lang w:eastAsia="es-MX"/>
              </w:rPr>
            </w:pPr>
            <w:r w:rsidRPr="00E37D56">
              <w:rPr>
                <w:rFonts w:ascii="Arial" w:eastAsia="Times New Roman" w:hAnsi="Arial" w:cs="Arial"/>
                <w:color w:val="000000"/>
                <w:sz w:val="14"/>
                <w:szCs w:val="14"/>
                <w:lang w:eastAsia="es-MX"/>
              </w:rPr>
              <w:t>(miles de pesos)</w:t>
            </w:r>
          </w:p>
        </w:tc>
      </w:tr>
      <w:tr w:rsidR="0046336D" w:rsidRPr="00E37D56" w14:paraId="6955B890" w14:textId="77777777" w:rsidTr="003310EE">
        <w:trPr>
          <w:trHeight w:val="288"/>
          <w:jc w:val="center"/>
        </w:trPr>
        <w:tc>
          <w:tcPr>
            <w:tcW w:w="1134" w:type="pct"/>
            <w:gridSpan w:val="2"/>
            <w:vMerge w:val="restart"/>
            <w:shd w:val="clear" w:color="auto" w:fill="A5A5A5" w:themeFill="accent3"/>
            <w:noWrap/>
            <w:vAlign w:val="center"/>
            <w:hideMark/>
          </w:tcPr>
          <w:p w14:paraId="3647A631"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Concepto</w:t>
            </w:r>
          </w:p>
        </w:tc>
        <w:tc>
          <w:tcPr>
            <w:tcW w:w="492" w:type="pct"/>
            <w:vMerge w:val="restart"/>
            <w:shd w:val="clear" w:color="auto" w:fill="A5A5A5" w:themeFill="accent3"/>
            <w:noWrap/>
            <w:vAlign w:val="center"/>
            <w:hideMark/>
          </w:tcPr>
          <w:p w14:paraId="75BF796B"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Recaudado</w:t>
            </w:r>
          </w:p>
          <w:p w14:paraId="4DA1F2FC"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202</w:t>
            </w:r>
            <w:r>
              <w:rPr>
                <w:rFonts w:ascii="Arial" w:eastAsia="Times New Roman" w:hAnsi="Arial" w:cs="Arial"/>
                <w:color w:val="FFFFFF"/>
                <w:sz w:val="14"/>
                <w:szCs w:val="14"/>
                <w:lang w:eastAsia="es-MX"/>
              </w:rPr>
              <w:t>1</w:t>
            </w:r>
          </w:p>
        </w:tc>
        <w:tc>
          <w:tcPr>
            <w:tcW w:w="477" w:type="pct"/>
            <w:vMerge w:val="restart"/>
            <w:shd w:val="clear" w:color="auto" w:fill="A5A5A5" w:themeFill="accent3"/>
            <w:noWrap/>
            <w:vAlign w:val="center"/>
            <w:hideMark/>
          </w:tcPr>
          <w:p w14:paraId="58F383CA"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Integración</w:t>
            </w:r>
          </w:p>
          <w:p w14:paraId="1113B8D9"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w:t>
            </w:r>
          </w:p>
        </w:tc>
        <w:tc>
          <w:tcPr>
            <w:tcW w:w="482" w:type="pct"/>
            <w:vMerge w:val="restart"/>
            <w:shd w:val="clear" w:color="auto" w:fill="A5A5A5" w:themeFill="accent3"/>
            <w:noWrap/>
            <w:vAlign w:val="center"/>
            <w:hideMark/>
          </w:tcPr>
          <w:p w14:paraId="3CA715DA"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Estimado</w:t>
            </w:r>
          </w:p>
          <w:p w14:paraId="70FE2ECC"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202</w:t>
            </w:r>
            <w:r>
              <w:rPr>
                <w:rFonts w:ascii="Arial" w:eastAsia="Times New Roman" w:hAnsi="Arial" w:cs="Arial"/>
                <w:color w:val="FFFFFF"/>
                <w:sz w:val="14"/>
                <w:szCs w:val="14"/>
                <w:lang w:eastAsia="es-MX"/>
              </w:rPr>
              <w:t>2</w:t>
            </w:r>
          </w:p>
        </w:tc>
        <w:tc>
          <w:tcPr>
            <w:tcW w:w="491" w:type="pct"/>
            <w:vMerge w:val="restart"/>
            <w:shd w:val="clear" w:color="auto" w:fill="A5A5A5" w:themeFill="accent3"/>
            <w:noWrap/>
            <w:vAlign w:val="center"/>
            <w:hideMark/>
          </w:tcPr>
          <w:p w14:paraId="625649CF"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Recaudado</w:t>
            </w:r>
          </w:p>
          <w:p w14:paraId="235A743A"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202</w:t>
            </w:r>
            <w:r>
              <w:rPr>
                <w:rFonts w:ascii="Arial" w:eastAsia="Times New Roman" w:hAnsi="Arial" w:cs="Arial"/>
                <w:color w:val="FFFFFF"/>
                <w:sz w:val="14"/>
                <w:szCs w:val="14"/>
                <w:lang w:eastAsia="es-MX"/>
              </w:rPr>
              <w:t>2</w:t>
            </w:r>
          </w:p>
        </w:tc>
        <w:tc>
          <w:tcPr>
            <w:tcW w:w="477" w:type="pct"/>
            <w:vMerge w:val="restart"/>
            <w:shd w:val="clear" w:color="auto" w:fill="A5A5A5" w:themeFill="accent3"/>
            <w:noWrap/>
            <w:vAlign w:val="center"/>
            <w:hideMark/>
          </w:tcPr>
          <w:p w14:paraId="6029895E"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Integración</w:t>
            </w:r>
          </w:p>
          <w:p w14:paraId="3487D31C"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w:t>
            </w:r>
          </w:p>
        </w:tc>
        <w:tc>
          <w:tcPr>
            <w:tcW w:w="1446" w:type="pct"/>
            <w:gridSpan w:val="5"/>
            <w:shd w:val="clear" w:color="auto" w:fill="A5A5A5" w:themeFill="accent3"/>
            <w:noWrap/>
            <w:vAlign w:val="center"/>
            <w:hideMark/>
          </w:tcPr>
          <w:p w14:paraId="59BAAB97"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Recaudado vs Estimado '2</w:t>
            </w:r>
            <w:r>
              <w:rPr>
                <w:rFonts w:ascii="Arial" w:eastAsia="Times New Roman" w:hAnsi="Arial" w:cs="Arial"/>
                <w:color w:val="FFFFFF"/>
                <w:sz w:val="14"/>
                <w:szCs w:val="14"/>
                <w:lang w:eastAsia="es-MX"/>
              </w:rPr>
              <w:t>2</w:t>
            </w:r>
          </w:p>
        </w:tc>
      </w:tr>
      <w:tr w:rsidR="0046336D" w:rsidRPr="00E37D56" w14:paraId="0F713BD9" w14:textId="77777777" w:rsidTr="003310EE">
        <w:trPr>
          <w:trHeight w:val="288"/>
          <w:jc w:val="center"/>
        </w:trPr>
        <w:tc>
          <w:tcPr>
            <w:tcW w:w="1134" w:type="pct"/>
            <w:gridSpan w:val="2"/>
            <w:vMerge/>
            <w:shd w:val="clear" w:color="auto" w:fill="A5A5A5" w:themeFill="accent3"/>
            <w:noWrap/>
            <w:vAlign w:val="bottom"/>
            <w:hideMark/>
          </w:tcPr>
          <w:p w14:paraId="18965E0E" w14:textId="77777777" w:rsidR="0046336D" w:rsidRPr="00E37D56" w:rsidRDefault="0046336D" w:rsidP="0046336D">
            <w:pPr>
              <w:spacing w:after="0" w:line="240" w:lineRule="auto"/>
              <w:rPr>
                <w:rFonts w:ascii="Arial" w:eastAsia="Times New Roman" w:hAnsi="Arial" w:cs="Arial"/>
                <w:color w:val="FFFFFF"/>
                <w:sz w:val="14"/>
                <w:szCs w:val="14"/>
                <w:lang w:eastAsia="es-MX"/>
              </w:rPr>
            </w:pPr>
          </w:p>
        </w:tc>
        <w:tc>
          <w:tcPr>
            <w:tcW w:w="492" w:type="pct"/>
            <w:vMerge/>
            <w:shd w:val="clear" w:color="auto" w:fill="A5A5A5" w:themeFill="accent3"/>
            <w:noWrap/>
            <w:vAlign w:val="center"/>
            <w:hideMark/>
          </w:tcPr>
          <w:p w14:paraId="5BA30E95"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p>
        </w:tc>
        <w:tc>
          <w:tcPr>
            <w:tcW w:w="477" w:type="pct"/>
            <w:vMerge/>
            <w:shd w:val="clear" w:color="auto" w:fill="A5A5A5" w:themeFill="accent3"/>
            <w:noWrap/>
            <w:vAlign w:val="center"/>
            <w:hideMark/>
          </w:tcPr>
          <w:p w14:paraId="19735F9F"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p>
        </w:tc>
        <w:tc>
          <w:tcPr>
            <w:tcW w:w="482" w:type="pct"/>
            <w:vMerge/>
            <w:shd w:val="clear" w:color="auto" w:fill="A5A5A5" w:themeFill="accent3"/>
            <w:noWrap/>
            <w:vAlign w:val="center"/>
            <w:hideMark/>
          </w:tcPr>
          <w:p w14:paraId="7A28030B"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p>
        </w:tc>
        <w:tc>
          <w:tcPr>
            <w:tcW w:w="491" w:type="pct"/>
            <w:vMerge/>
            <w:shd w:val="clear" w:color="auto" w:fill="A5A5A5" w:themeFill="accent3"/>
            <w:noWrap/>
            <w:vAlign w:val="center"/>
            <w:hideMark/>
          </w:tcPr>
          <w:p w14:paraId="6C09A43F"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p>
        </w:tc>
        <w:tc>
          <w:tcPr>
            <w:tcW w:w="477" w:type="pct"/>
            <w:vMerge/>
            <w:shd w:val="clear" w:color="auto" w:fill="A5A5A5" w:themeFill="accent3"/>
            <w:noWrap/>
            <w:vAlign w:val="center"/>
            <w:hideMark/>
          </w:tcPr>
          <w:p w14:paraId="48EEEA6A"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p>
        </w:tc>
        <w:tc>
          <w:tcPr>
            <w:tcW w:w="464" w:type="pct"/>
            <w:shd w:val="clear" w:color="auto" w:fill="A5A5A5" w:themeFill="accent3"/>
            <w:noWrap/>
            <w:vAlign w:val="center"/>
            <w:hideMark/>
          </w:tcPr>
          <w:p w14:paraId="10A3C325"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Variación</w:t>
            </w:r>
          </w:p>
        </w:tc>
        <w:tc>
          <w:tcPr>
            <w:tcW w:w="569" w:type="pct"/>
            <w:gridSpan w:val="2"/>
            <w:shd w:val="clear" w:color="auto" w:fill="A5A5A5" w:themeFill="accent3"/>
            <w:noWrap/>
            <w:vAlign w:val="center"/>
            <w:hideMark/>
          </w:tcPr>
          <w:p w14:paraId="758225B9"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Cumplimiento</w:t>
            </w:r>
          </w:p>
        </w:tc>
        <w:tc>
          <w:tcPr>
            <w:tcW w:w="412" w:type="pct"/>
            <w:gridSpan w:val="2"/>
            <w:shd w:val="clear" w:color="auto" w:fill="A5A5A5" w:themeFill="accent3"/>
            <w:vAlign w:val="center"/>
          </w:tcPr>
          <w:p w14:paraId="1CEE2EC2"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Variación</w:t>
            </w:r>
          </w:p>
          <w:p w14:paraId="78848863" w14:textId="77777777" w:rsidR="0046336D" w:rsidRPr="00E37D56" w:rsidRDefault="0046336D" w:rsidP="0046336D">
            <w:pPr>
              <w:spacing w:after="0" w:line="240" w:lineRule="auto"/>
              <w:jc w:val="center"/>
              <w:rPr>
                <w:rFonts w:ascii="Arial" w:eastAsia="Times New Roman" w:hAnsi="Arial" w:cs="Arial"/>
                <w:color w:val="FFFFFF"/>
                <w:sz w:val="14"/>
                <w:szCs w:val="14"/>
                <w:lang w:eastAsia="es-MX"/>
              </w:rPr>
            </w:pPr>
            <w:r w:rsidRPr="00E37D56">
              <w:rPr>
                <w:rFonts w:ascii="Arial" w:eastAsia="Times New Roman" w:hAnsi="Arial" w:cs="Arial"/>
                <w:color w:val="FFFFFF"/>
                <w:sz w:val="14"/>
                <w:szCs w:val="14"/>
                <w:lang w:eastAsia="es-MX"/>
              </w:rPr>
              <w:t>Real*</w:t>
            </w:r>
          </w:p>
        </w:tc>
      </w:tr>
      <w:tr w:rsidR="0046336D" w:rsidRPr="00E37D56" w14:paraId="5AE3D758" w14:textId="77777777" w:rsidTr="003310EE">
        <w:trPr>
          <w:trHeight w:val="288"/>
          <w:jc w:val="center"/>
        </w:trPr>
        <w:tc>
          <w:tcPr>
            <w:tcW w:w="1134" w:type="pct"/>
            <w:gridSpan w:val="2"/>
            <w:shd w:val="clear" w:color="auto" w:fill="auto"/>
            <w:noWrap/>
            <w:vAlign w:val="bottom"/>
            <w:hideMark/>
          </w:tcPr>
          <w:p w14:paraId="0611AD4E" w14:textId="77777777" w:rsidR="0046336D" w:rsidRPr="00E37D56" w:rsidRDefault="0046336D" w:rsidP="0046336D">
            <w:pPr>
              <w:spacing w:after="0" w:line="240" w:lineRule="auto"/>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De Fuentes Locales</w:t>
            </w:r>
          </w:p>
        </w:tc>
        <w:tc>
          <w:tcPr>
            <w:tcW w:w="492" w:type="pct"/>
            <w:shd w:val="clear" w:color="auto" w:fill="auto"/>
            <w:noWrap/>
            <w:vAlign w:val="bottom"/>
            <w:hideMark/>
          </w:tcPr>
          <w:p w14:paraId="6F324906"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6,068,50</w:t>
            </w:r>
            <w:r>
              <w:rPr>
                <w:rFonts w:ascii="Arial" w:eastAsia="Times New Roman" w:hAnsi="Arial" w:cs="Arial"/>
                <w:b/>
                <w:color w:val="000000"/>
                <w:sz w:val="14"/>
                <w:szCs w:val="14"/>
                <w:lang w:eastAsia="es-MX"/>
              </w:rPr>
              <w:t>4</w:t>
            </w:r>
          </w:p>
        </w:tc>
        <w:tc>
          <w:tcPr>
            <w:tcW w:w="477" w:type="pct"/>
            <w:shd w:val="clear" w:color="auto" w:fill="auto"/>
            <w:noWrap/>
            <w:vAlign w:val="bottom"/>
            <w:hideMark/>
          </w:tcPr>
          <w:p w14:paraId="77285427"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17.1%</w:t>
            </w:r>
          </w:p>
        </w:tc>
        <w:tc>
          <w:tcPr>
            <w:tcW w:w="482" w:type="pct"/>
            <w:shd w:val="clear" w:color="auto" w:fill="auto"/>
            <w:noWrap/>
            <w:vAlign w:val="bottom"/>
          </w:tcPr>
          <w:p w14:paraId="61314870"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5,775,087</w:t>
            </w:r>
          </w:p>
        </w:tc>
        <w:tc>
          <w:tcPr>
            <w:tcW w:w="491" w:type="pct"/>
            <w:shd w:val="clear" w:color="auto" w:fill="auto"/>
            <w:noWrap/>
            <w:vAlign w:val="bottom"/>
          </w:tcPr>
          <w:p w14:paraId="3AB4DCA9"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8,373,995</w:t>
            </w:r>
          </w:p>
        </w:tc>
        <w:tc>
          <w:tcPr>
            <w:tcW w:w="477" w:type="pct"/>
            <w:shd w:val="clear" w:color="auto" w:fill="auto"/>
            <w:noWrap/>
            <w:vAlign w:val="bottom"/>
            <w:hideMark/>
          </w:tcPr>
          <w:p w14:paraId="47820F6B"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20.5%</w:t>
            </w:r>
          </w:p>
        </w:tc>
        <w:tc>
          <w:tcPr>
            <w:tcW w:w="464" w:type="pct"/>
            <w:shd w:val="clear" w:color="auto" w:fill="auto"/>
            <w:noWrap/>
            <w:vAlign w:val="bottom"/>
          </w:tcPr>
          <w:p w14:paraId="63965569"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2,598,908</w:t>
            </w:r>
          </w:p>
        </w:tc>
        <w:tc>
          <w:tcPr>
            <w:tcW w:w="525" w:type="pct"/>
            <w:shd w:val="clear" w:color="auto" w:fill="auto"/>
            <w:noWrap/>
            <w:vAlign w:val="bottom"/>
            <w:hideMark/>
          </w:tcPr>
          <w:p w14:paraId="1957794F"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145.0</w:t>
            </w:r>
            <w:r w:rsidRPr="00E37D56">
              <w:rPr>
                <w:rFonts w:ascii="Arial" w:eastAsia="Times New Roman" w:hAnsi="Arial" w:cs="Arial"/>
                <w:b/>
                <w:color w:val="000000"/>
                <w:sz w:val="14"/>
                <w:szCs w:val="14"/>
                <w:lang w:eastAsia="es-MX"/>
              </w:rPr>
              <w:t>%</w:t>
            </w:r>
          </w:p>
        </w:tc>
        <w:tc>
          <w:tcPr>
            <w:tcW w:w="456" w:type="pct"/>
            <w:gridSpan w:val="3"/>
            <w:shd w:val="clear" w:color="auto" w:fill="auto"/>
            <w:noWrap/>
            <w:vAlign w:val="bottom"/>
            <w:hideMark/>
          </w:tcPr>
          <w:p w14:paraId="4BD58F36"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27.9</w:t>
            </w:r>
            <w:r w:rsidRPr="00E37D56">
              <w:rPr>
                <w:rFonts w:ascii="Arial" w:eastAsia="Times New Roman" w:hAnsi="Arial" w:cs="Arial"/>
                <w:b/>
                <w:color w:val="000000"/>
                <w:sz w:val="14"/>
                <w:szCs w:val="14"/>
                <w:lang w:eastAsia="es-MX"/>
              </w:rPr>
              <w:t>%</w:t>
            </w:r>
          </w:p>
        </w:tc>
      </w:tr>
      <w:tr w:rsidR="0046336D" w:rsidRPr="00E37D56" w14:paraId="08748F9A" w14:textId="77777777" w:rsidTr="003310EE">
        <w:trPr>
          <w:trHeight w:val="288"/>
          <w:jc w:val="center"/>
        </w:trPr>
        <w:tc>
          <w:tcPr>
            <w:tcW w:w="1134" w:type="pct"/>
            <w:gridSpan w:val="2"/>
            <w:shd w:val="clear" w:color="auto" w:fill="auto"/>
            <w:noWrap/>
            <w:vAlign w:val="bottom"/>
            <w:hideMark/>
          </w:tcPr>
          <w:p w14:paraId="71C924CE" w14:textId="77777777" w:rsidR="0046336D" w:rsidRPr="00E37D56" w:rsidRDefault="0046336D" w:rsidP="0046336D">
            <w:pPr>
              <w:spacing w:after="0" w:line="240" w:lineRule="auto"/>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Impuestos</w:t>
            </w:r>
          </w:p>
        </w:tc>
        <w:tc>
          <w:tcPr>
            <w:tcW w:w="492" w:type="pct"/>
            <w:shd w:val="clear" w:color="auto" w:fill="auto"/>
            <w:noWrap/>
            <w:vAlign w:val="bottom"/>
            <w:hideMark/>
          </w:tcPr>
          <w:p w14:paraId="4C95EADF"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4,151,201</w:t>
            </w:r>
          </w:p>
        </w:tc>
        <w:tc>
          <w:tcPr>
            <w:tcW w:w="477" w:type="pct"/>
            <w:shd w:val="clear" w:color="auto" w:fill="auto"/>
            <w:noWrap/>
            <w:vAlign w:val="bottom"/>
            <w:hideMark/>
          </w:tcPr>
          <w:p w14:paraId="2E60468D"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11.7%</w:t>
            </w:r>
          </w:p>
        </w:tc>
        <w:tc>
          <w:tcPr>
            <w:tcW w:w="482" w:type="pct"/>
            <w:shd w:val="clear" w:color="auto" w:fill="auto"/>
            <w:noWrap/>
            <w:vAlign w:val="bottom"/>
          </w:tcPr>
          <w:p w14:paraId="3E7F6B63"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3,943,137</w:t>
            </w:r>
          </w:p>
        </w:tc>
        <w:tc>
          <w:tcPr>
            <w:tcW w:w="491" w:type="pct"/>
            <w:shd w:val="clear" w:color="auto" w:fill="auto"/>
            <w:noWrap/>
            <w:vAlign w:val="bottom"/>
          </w:tcPr>
          <w:p w14:paraId="3947787A"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5,357,919</w:t>
            </w:r>
          </w:p>
        </w:tc>
        <w:tc>
          <w:tcPr>
            <w:tcW w:w="477" w:type="pct"/>
            <w:shd w:val="clear" w:color="auto" w:fill="auto"/>
            <w:noWrap/>
            <w:vAlign w:val="bottom"/>
            <w:hideMark/>
          </w:tcPr>
          <w:p w14:paraId="05E5AD0D"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13.1</w:t>
            </w:r>
            <w:r w:rsidRPr="00E37D56">
              <w:rPr>
                <w:rFonts w:ascii="Arial" w:eastAsia="Times New Roman" w:hAnsi="Arial" w:cs="Arial"/>
                <w:color w:val="000000"/>
                <w:sz w:val="14"/>
                <w:szCs w:val="14"/>
                <w:lang w:eastAsia="es-MX"/>
              </w:rPr>
              <w:t>%</w:t>
            </w:r>
          </w:p>
        </w:tc>
        <w:tc>
          <w:tcPr>
            <w:tcW w:w="464" w:type="pct"/>
            <w:shd w:val="clear" w:color="auto" w:fill="auto"/>
            <w:noWrap/>
            <w:vAlign w:val="bottom"/>
          </w:tcPr>
          <w:p w14:paraId="572C7F33"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1,414,782</w:t>
            </w:r>
          </w:p>
        </w:tc>
        <w:tc>
          <w:tcPr>
            <w:tcW w:w="525" w:type="pct"/>
            <w:shd w:val="clear" w:color="auto" w:fill="auto"/>
            <w:noWrap/>
            <w:vAlign w:val="bottom"/>
            <w:hideMark/>
          </w:tcPr>
          <w:p w14:paraId="61189933"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135.9</w:t>
            </w:r>
            <w:r w:rsidRPr="00E37D56">
              <w:rPr>
                <w:rFonts w:ascii="Arial" w:eastAsia="Times New Roman" w:hAnsi="Arial" w:cs="Arial"/>
                <w:color w:val="000000"/>
                <w:sz w:val="14"/>
                <w:szCs w:val="14"/>
                <w:lang w:eastAsia="es-MX"/>
              </w:rPr>
              <w:t>%</w:t>
            </w:r>
          </w:p>
        </w:tc>
        <w:tc>
          <w:tcPr>
            <w:tcW w:w="456" w:type="pct"/>
            <w:gridSpan w:val="3"/>
            <w:shd w:val="clear" w:color="auto" w:fill="auto"/>
            <w:noWrap/>
            <w:vAlign w:val="bottom"/>
            <w:hideMark/>
          </w:tcPr>
          <w:p w14:paraId="07BA12EC"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19.6</w:t>
            </w:r>
            <w:r w:rsidRPr="00E37D56">
              <w:rPr>
                <w:rFonts w:ascii="Arial" w:eastAsia="Times New Roman" w:hAnsi="Arial" w:cs="Arial"/>
                <w:color w:val="000000"/>
                <w:sz w:val="14"/>
                <w:szCs w:val="14"/>
                <w:lang w:eastAsia="es-MX"/>
              </w:rPr>
              <w:t>%</w:t>
            </w:r>
          </w:p>
        </w:tc>
      </w:tr>
      <w:tr w:rsidR="0046336D" w:rsidRPr="00E37D56" w14:paraId="13DE5963" w14:textId="77777777" w:rsidTr="003310EE">
        <w:trPr>
          <w:trHeight w:val="288"/>
          <w:jc w:val="center"/>
        </w:trPr>
        <w:tc>
          <w:tcPr>
            <w:tcW w:w="1134" w:type="pct"/>
            <w:gridSpan w:val="2"/>
            <w:shd w:val="clear" w:color="auto" w:fill="auto"/>
            <w:noWrap/>
            <w:vAlign w:val="bottom"/>
            <w:hideMark/>
          </w:tcPr>
          <w:p w14:paraId="7AB5AC55" w14:textId="77777777" w:rsidR="0046336D" w:rsidRPr="00E37D56" w:rsidRDefault="0046336D" w:rsidP="0046336D">
            <w:pPr>
              <w:spacing w:after="0" w:line="240" w:lineRule="auto"/>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Derechos</w:t>
            </w:r>
          </w:p>
        </w:tc>
        <w:tc>
          <w:tcPr>
            <w:tcW w:w="492" w:type="pct"/>
            <w:shd w:val="clear" w:color="auto" w:fill="auto"/>
            <w:noWrap/>
            <w:vAlign w:val="bottom"/>
            <w:hideMark/>
          </w:tcPr>
          <w:p w14:paraId="26A12B39"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1,485,828</w:t>
            </w:r>
          </w:p>
        </w:tc>
        <w:tc>
          <w:tcPr>
            <w:tcW w:w="477" w:type="pct"/>
            <w:shd w:val="clear" w:color="auto" w:fill="auto"/>
            <w:noWrap/>
            <w:vAlign w:val="bottom"/>
            <w:hideMark/>
          </w:tcPr>
          <w:p w14:paraId="1003E461"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4.2%</w:t>
            </w:r>
          </w:p>
        </w:tc>
        <w:tc>
          <w:tcPr>
            <w:tcW w:w="482" w:type="pct"/>
            <w:shd w:val="clear" w:color="auto" w:fill="auto"/>
            <w:noWrap/>
            <w:vAlign w:val="bottom"/>
          </w:tcPr>
          <w:p w14:paraId="005D1956"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1,417,568</w:t>
            </w:r>
          </w:p>
        </w:tc>
        <w:tc>
          <w:tcPr>
            <w:tcW w:w="491" w:type="pct"/>
            <w:shd w:val="clear" w:color="auto" w:fill="auto"/>
            <w:noWrap/>
            <w:vAlign w:val="bottom"/>
          </w:tcPr>
          <w:p w14:paraId="0EA19F48"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1,707,481</w:t>
            </w:r>
          </w:p>
        </w:tc>
        <w:tc>
          <w:tcPr>
            <w:tcW w:w="477" w:type="pct"/>
            <w:shd w:val="clear" w:color="auto" w:fill="auto"/>
            <w:noWrap/>
            <w:vAlign w:val="bottom"/>
            <w:hideMark/>
          </w:tcPr>
          <w:p w14:paraId="696858FC"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4.2</w:t>
            </w:r>
            <w:r w:rsidRPr="00E37D56">
              <w:rPr>
                <w:rFonts w:ascii="Arial" w:eastAsia="Times New Roman" w:hAnsi="Arial" w:cs="Arial"/>
                <w:color w:val="000000"/>
                <w:sz w:val="14"/>
                <w:szCs w:val="14"/>
                <w:lang w:eastAsia="es-MX"/>
              </w:rPr>
              <w:t>%</w:t>
            </w:r>
          </w:p>
        </w:tc>
        <w:tc>
          <w:tcPr>
            <w:tcW w:w="464" w:type="pct"/>
            <w:shd w:val="clear" w:color="auto" w:fill="auto"/>
            <w:noWrap/>
            <w:vAlign w:val="bottom"/>
          </w:tcPr>
          <w:p w14:paraId="632A9CDC"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289,913</w:t>
            </w:r>
          </w:p>
        </w:tc>
        <w:tc>
          <w:tcPr>
            <w:tcW w:w="525" w:type="pct"/>
            <w:shd w:val="clear" w:color="auto" w:fill="auto"/>
            <w:noWrap/>
            <w:vAlign w:val="bottom"/>
            <w:hideMark/>
          </w:tcPr>
          <w:p w14:paraId="74D083C1"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120.5</w:t>
            </w:r>
            <w:r w:rsidRPr="00E37D56">
              <w:rPr>
                <w:rFonts w:ascii="Arial" w:eastAsia="Times New Roman" w:hAnsi="Arial" w:cs="Arial"/>
                <w:color w:val="000000"/>
                <w:sz w:val="14"/>
                <w:szCs w:val="14"/>
                <w:lang w:eastAsia="es-MX"/>
              </w:rPr>
              <w:t>%</w:t>
            </w:r>
          </w:p>
        </w:tc>
        <w:tc>
          <w:tcPr>
            <w:tcW w:w="456" w:type="pct"/>
            <w:gridSpan w:val="3"/>
            <w:shd w:val="clear" w:color="auto" w:fill="auto"/>
            <w:noWrap/>
            <w:vAlign w:val="bottom"/>
            <w:hideMark/>
          </w:tcPr>
          <w:p w14:paraId="7E5B692A"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6.5</w:t>
            </w:r>
            <w:r w:rsidRPr="00E37D56">
              <w:rPr>
                <w:rFonts w:ascii="Arial" w:eastAsia="Times New Roman" w:hAnsi="Arial" w:cs="Arial"/>
                <w:color w:val="000000"/>
                <w:sz w:val="14"/>
                <w:szCs w:val="14"/>
                <w:lang w:eastAsia="es-MX"/>
              </w:rPr>
              <w:t>%</w:t>
            </w:r>
          </w:p>
        </w:tc>
      </w:tr>
      <w:tr w:rsidR="0046336D" w:rsidRPr="00E37D56" w14:paraId="4A177062" w14:textId="77777777" w:rsidTr="003310EE">
        <w:trPr>
          <w:trHeight w:val="288"/>
          <w:jc w:val="center"/>
        </w:trPr>
        <w:tc>
          <w:tcPr>
            <w:tcW w:w="1134" w:type="pct"/>
            <w:gridSpan w:val="2"/>
            <w:shd w:val="clear" w:color="auto" w:fill="auto"/>
            <w:noWrap/>
            <w:vAlign w:val="bottom"/>
            <w:hideMark/>
          </w:tcPr>
          <w:p w14:paraId="5417D872" w14:textId="77777777" w:rsidR="0046336D" w:rsidRPr="00E37D56" w:rsidRDefault="0046336D" w:rsidP="0046336D">
            <w:pPr>
              <w:spacing w:after="0" w:line="240" w:lineRule="auto"/>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Productos</w:t>
            </w:r>
          </w:p>
        </w:tc>
        <w:tc>
          <w:tcPr>
            <w:tcW w:w="492" w:type="pct"/>
            <w:shd w:val="clear" w:color="auto" w:fill="auto"/>
            <w:noWrap/>
            <w:vAlign w:val="bottom"/>
            <w:hideMark/>
          </w:tcPr>
          <w:p w14:paraId="31D77112"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52,522</w:t>
            </w:r>
          </w:p>
        </w:tc>
        <w:tc>
          <w:tcPr>
            <w:tcW w:w="477" w:type="pct"/>
            <w:shd w:val="clear" w:color="auto" w:fill="auto"/>
            <w:noWrap/>
            <w:vAlign w:val="bottom"/>
            <w:hideMark/>
          </w:tcPr>
          <w:p w14:paraId="31198958"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0.1%</w:t>
            </w:r>
          </w:p>
        </w:tc>
        <w:tc>
          <w:tcPr>
            <w:tcW w:w="482" w:type="pct"/>
            <w:shd w:val="clear" w:color="auto" w:fill="auto"/>
            <w:noWrap/>
            <w:vAlign w:val="bottom"/>
          </w:tcPr>
          <w:p w14:paraId="3BB6CB96"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51,268</w:t>
            </w:r>
          </w:p>
        </w:tc>
        <w:tc>
          <w:tcPr>
            <w:tcW w:w="491" w:type="pct"/>
            <w:shd w:val="clear" w:color="auto" w:fill="auto"/>
            <w:noWrap/>
            <w:vAlign w:val="bottom"/>
          </w:tcPr>
          <w:p w14:paraId="6EAD126E"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81,542</w:t>
            </w:r>
          </w:p>
        </w:tc>
        <w:tc>
          <w:tcPr>
            <w:tcW w:w="477" w:type="pct"/>
            <w:shd w:val="clear" w:color="auto" w:fill="auto"/>
            <w:noWrap/>
            <w:vAlign w:val="bottom"/>
            <w:hideMark/>
          </w:tcPr>
          <w:p w14:paraId="00A8F71B"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0.2</w:t>
            </w:r>
            <w:r w:rsidRPr="00E37D56">
              <w:rPr>
                <w:rFonts w:ascii="Arial" w:eastAsia="Times New Roman" w:hAnsi="Arial" w:cs="Arial"/>
                <w:color w:val="000000"/>
                <w:sz w:val="14"/>
                <w:szCs w:val="14"/>
                <w:lang w:eastAsia="es-MX"/>
              </w:rPr>
              <w:t>%</w:t>
            </w:r>
          </w:p>
        </w:tc>
        <w:tc>
          <w:tcPr>
            <w:tcW w:w="464" w:type="pct"/>
            <w:shd w:val="clear" w:color="auto" w:fill="auto"/>
            <w:noWrap/>
            <w:vAlign w:val="bottom"/>
          </w:tcPr>
          <w:p w14:paraId="6D1C8512"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30,274</w:t>
            </w:r>
          </w:p>
        </w:tc>
        <w:tc>
          <w:tcPr>
            <w:tcW w:w="525" w:type="pct"/>
            <w:shd w:val="clear" w:color="auto" w:fill="auto"/>
            <w:noWrap/>
            <w:vAlign w:val="bottom"/>
            <w:hideMark/>
          </w:tcPr>
          <w:p w14:paraId="7A2A0191"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159.1</w:t>
            </w:r>
            <w:r w:rsidRPr="00E37D56">
              <w:rPr>
                <w:rFonts w:ascii="Arial" w:eastAsia="Times New Roman" w:hAnsi="Arial" w:cs="Arial"/>
                <w:color w:val="000000"/>
                <w:sz w:val="14"/>
                <w:szCs w:val="14"/>
                <w:lang w:eastAsia="es-MX"/>
              </w:rPr>
              <w:t>%</w:t>
            </w:r>
          </w:p>
        </w:tc>
        <w:tc>
          <w:tcPr>
            <w:tcW w:w="456" w:type="pct"/>
            <w:gridSpan w:val="3"/>
            <w:shd w:val="clear" w:color="auto" w:fill="auto"/>
            <w:noWrap/>
            <w:vAlign w:val="bottom"/>
            <w:hideMark/>
          </w:tcPr>
          <w:p w14:paraId="388B10FC"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43.9</w:t>
            </w:r>
            <w:r w:rsidRPr="00E37D56">
              <w:rPr>
                <w:rFonts w:ascii="Arial" w:eastAsia="Times New Roman" w:hAnsi="Arial" w:cs="Arial"/>
                <w:color w:val="000000"/>
                <w:sz w:val="14"/>
                <w:szCs w:val="14"/>
                <w:lang w:eastAsia="es-MX"/>
              </w:rPr>
              <w:t>%</w:t>
            </w:r>
          </w:p>
        </w:tc>
      </w:tr>
      <w:tr w:rsidR="0046336D" w:rsidRPr="00E37D56" w14:paraId="4CA5927A" w14:textId="77777777" w:rsidTr="003310EE">
        <w:trPr>
          <w:trHeight w:val="288"/>
          <w:jc w:val="center"/>
        </w:trPr>
        <w:tc>
          <w:tcPr>
            <w:tcW w:w="1134" w:type="pct"/>
            <w:gridSpan w:val="2"/>
            <w:shd w:val="clear" w:color="auto" w:fill="auto"/>
            <w:noWrap/>
            <w:vAlign w:val="bottom"/>
            <w:hideMark/>
          </w:tcPr>
          <w:p w14:paraId="003F3B78" w14:textId="77777777" w:rsidR="0046336D" w:rsidRPr="00E37D56" w:rsidRDefault="0046336D" w:rsidP="0046336D">
            <w:pPr>
              <w:spacing w:after="0" w:line="240" w:lineRule="auto"/>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Aprovechamientos</w:t>
            </w:r>
          </w:p>
        </w:tc>
        <w:tc>
          <w:tcPr>
            <w:tcW w:w="492" w:type="pct"/>
            <w:shd w:val="clear" w:color="auto" w:fill="auto"/>
            <w:noWrap/>
            <w:vAlign w:val="bottom"/>
            <w:hideMark/>
          </w:tcPr>
          <w:p w14:paraId="14D9123C"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378,952</w:t>
            </w:r>
          </w:p>
        </w:tc>
        <w:tc>
          <w:tcPr>
            <w:tcW w:w="477" w:type="pct"/>
            <w:shd w:val="clear" w:color="auto" w:fill="auto"/>
            <w:noWrap/>
            <w:vAlign w:val="bottom"/>
            <w:hideMark/>
          </w:tcPr>
          <w:p w14:paraId="669D3EA5"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1.1%</w:t>
            </w:r>
          </w:p>
        </w:tc>
        <w:tc>
          <w:tcPr>
            <w:tcW w:w="482" w:type="pct"/>
            <w:shd w:val="clear" w:color="auto" w:fill="auto"/>
            <w:noWrap/>
            <w:vAlign w:val="bottom"/>
          </w:tcPr>
          <w:p w14:paraId="397926A6"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363,114</w:t>
            </w:r>
          </w:p>
        </w:tc>
        <w:tc>
          <w:tcPr>
            <w:tcW w:w="491" w:type="pct"/>
            <w:shd w:val="clear" w:color="auto" w:fill="auto"/>
            <w:noWrap/>
            <w:vAlign w:val="bottom"/>
          </w:tcPr>
          <w:p w14:paraId="77CC9122"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1,227,053</w:t>
            </w:r>
          </w:p>
        </w:tc>
        <w:tc>
          <w:tcPr>
            <w:tcW w:w="477" w:type="pct"/>
            <w:shd w:val="clear" w:color="auto" w:fill="auto"/>
            <w:noWrap/>
            <w:vAlign w:val="bottom"/>
            <w:hideMark/>
          </w:tcPr>
          <w:p w14:paraId="7DE8B597"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3.0</w:t>
            </w:r>
            <w:r w:rsidRPr="00E37D56">
              <w:rPr>
                <w:rFonts w:ascii="Arial" w:eastAsia="Times New Roman" w:hAnsi="Arial" w:cs="Arial"/>
                <w:color w:val="000000"/>
                <w:sz w:val="14"/>
                <w:szCs w:val="14"/>
                <w:lang w:eastAsia="es-MX"/>
              </w:rPr>
              <w:t>%</w:t>
            </w:r>
          </w:p>
        </w:tc>
        <w:tc>
          <w:tcPr>
            <w:tcW w:w="464" w:type="pct"/>
            <w:shd w:val="clear" w:color="auto" w:fill="auto"/>
            <w:noWrap/>
            <w:vAlign w:val="bottom"/>
          </w:tcPr>
          <w:p w14:paraId="638B65F4"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863,939</w:t>
            </w:r>
          </w:p>
        </w:tc>
        <w:tc>
          <w:tcPr>
            <w:tcW w:w="525" w:type="pct"/>
            <w:shd w:val="clear" w:color="auto" w:fill="auto"/>
            <w:noWrap/>
            <w:vAlign w:val="bottom"/>
            <w:hideMark/>
          </w:tcPr>
          <w:p w14:paraId="75D32478"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337.9</w:t>
            </w:r>
            <w:r w:rsidRPr="00E37D56">
              <w:rPr>
                <w:rFonts w:ascii="Arial" w:eastAsia="Times New Roman" w:hAnsi="Arial" w:cs="Arial"/>
                <w:color w:val="000000"/>
                <w:sz w:val="14"/>
                <w:szCs w:val="14"/>
                <w:lang w:eastAsia="es-MX"/>
              </w:rPr>
              <w:t>%</w:t>
            </w:r>
          </w:p>
        </w:tc>
        <w:tc>
          <w:tcPr>
            <w:tcW w:w="456" w:type="pct"/>
            <w:gridSpan w:val="3"/>
            <w:shd w:val="clear" w:color="auto" w:fill="auto"/>
            <w:noWrap/>
            <w:vAlign w:val="bottom"/>
            <w:hideMark/>
          </w:tcPr>
          <w:p w14:paraId="402AFFD6"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200.1</w:t>
            </w:r>
            <w:r w:rsidRPr="00E37D56">
              <w:rPr>
                <w:rFonts w:ascii="Arial" w:eastAsia="Times New Roman" w:hAnsi="Arial" w:cs="Arial"/>
                <w:color w:val="000000"/>
                <w:sz w:val="14"/>
                <w:szCs w:val="14"/>
                <w:lang w:eastAsia="es-MX"/>
              </w:rPr>
              <w:t>%</w:t>
            </w:r>
          </w:p>
        </w:tc>
      </w:tr>
      <w:tr w:rsidR="0046336D" w:rsidRPr="00E37D56" w14:paraId="6D69F426" w14:textId="77777777" w:rsidTr="003310EE">
        <w:trPr>
          <w:trHeight w:val="288"/>
          <w:jc w:val="center"/>
        </w:trPr>
        <w:tc>
          <w:tcPr>
            <w:tcW w:w="1625" w:type="pct"/>
            <w:gridSpan w:val="3"/>
            <w:shd w:val="clear" w:color="auto" w:fill="auto"/>
            <w:noWrap/>
            <w:vAlign w:val="bottom"/>
            <w:hideMark/>
          </w:tcPr>
          <w:p w14:paraId="06F13514" w14:textId="77777777" w:rsidR="0046336D" w:rsidRPr="00E37D56" w:rsidRDefault="0046336D" w:rsidP="0046336D">
            <w:pPr>
              <w:spacing w:after="0" w:line="240" w:lineRule="auto"/>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Ingresos por venta de bienes,</w:t>
            </w:r>
          </w:p>
        </w:tc>
        <w:tc>
          <w:tcPr>
            <w:tcW w:w="477" w:type="pct"/>
            <w:shd w:val="clear" w:color="auto" w:fill="auto"/>
            <w:noWrap/>
            <w:vAlign w:val="bottom"/>
            <w:hideMark/>
          </w:tcPr>
          <w:p w14:paraId="6E8E032D" w14:textId="77777777" w:rsidR="0046336D" w:rsidRPr="00E37D56" w:rsidRDefault="0046336D" w:rsidP="0046336D">
            <w:pPr>
              <w:spacing w:after="0" w:line="240" w:lineRule="auto"/>
              <w:rPr>
                <w:rFonts w:ascii="Arial" w:eastAsia="Times New Roman" w:hAnsi="Arial" w:cs="Arial"/>
                <w:color w:val="000000"/>
                <w:sz w:val="14"/>
                <w:szCs w:val="14"/>
                <w:lang w:eastAsia="es-MX"/>
              </w:rPr>
            </w:pPr>
          </w:p>
        </w:tc>
        <w:tc>
          <w:tcPr>
            <w:tcW w:w="482" w:type="pct"/>
            <w:shd w:val="clear" w:color="auto" w:fill="auto"/>
            <w:noWrap/>
            <w:vAlign w:val="bottom"/>
            <w:hideMark/>
          </w:tcPr>
          <w:p w14:paraId="591CB70E" w14:textId="77777777" w:rsidR="0046336D" w:rsidRPr="00E37D56" w:rsidRDefault="0046336D" w:rsidP="0046336D">
            <w:pPr>
              <w:spacing w:after="0" w:line="240" w:lineRule="auto"/>
              <w:jc w:val="right"/>
              <w:rPr>
                <w:rFonts w:ascii="Arial" w:eastAsia="Times New Roman" w:hAnsi="Arial" w:cs="Arial"/>
                <w:sz w:val="14"/>
                <w:szCs w:val="14"/>
                <w:lang w:eastAsia="es-MX"/>
              </w:rPr>
            </w:pPr>
          </w:p>
        </w:tc>
        <w:tc>
          <w:tcPr>
            <w:tcW w:w="491" w:type="pct"/>
            <w:shd w:val="clear" w:color="auto" w:fill="auto"/>
            <w:noWrap/>
            <w:vAlign w:val="bottom"/>
            <w:hideMark/>
          </w:tcPr>
          <w:p w14:paraId="3DA76888" w14:textId="77777777" w:rsidR="0046336D" w:rsidRPr="00E37D56" w:rsidRDefault="0046336D" w:rsidP="0046336D">
            <w:pPr>
              <w:spacing w:after="0" w:line="240" w:lineRule="auto"/>
              <w:jc w:val="right"/>
              <w:rPr>
                <w:rFonts w:ascii="Arial" w:eastAsia="Times New Roman" w:hAnsi="Arial" w:cs="Arial"/>
                <w:sz w:val="14"/>
                <w:szCs w:val="14"/>
                <w:lang w:eastAsia="es-MX"/>
              </w:rPr>
            </w:pPr>
          </w:p>
        </w:tc>
        <w:tc>
          <w:tcPr>
            <w:tcW w:w="477" w:type="pct"/>
            <w:shd w:val="clear" w:color="auto" w:fill="auto"/>
            <w:noWrap/>
            <w:vAlign w:val="bottom"/>
            <w:hideMark/>
          </w:tcPr>
          <w:p w14:paraId="5A61F814" w14:textId="77777777" w:rsidR="0046336D" w:rsidRPr="00E37D56" w:rsidRDefault="0046336D" w:rsidP="0046336D">
            <w:pPr>
              <w:spacing w:after="0" w:line="240" w:lineRule="auto"/>
              <w:jc w:val="right"/>
              <w:rPr>
                <w:rFonts w:ascii="Arial" w:eastAsia="Times New Roman" w:hAnsi="Arial" w:cs="Arial"/>
                <w:sz w:val="14"/>
                <w:szCs w:val="14"/>
                <w:lang w:eastAsia="es-MX"/>
              </w:rPr>
            </w:pPr>
          </w:p>
        </w:tc>
        <w:tc>
          <w:tcPr>
            <w:tcW w:w="464" w:type="pct"/>
            <w:shd w:val="clear" w:color="auto" w:fill="auto"/>
            <w:noWrap/>
            <w:vAlign w:val="bottom"/>
            <w:hideMark/>
          </w:tcPr>
          <w:p w14:paraId="7B770CD3" w14:textId="77777777" w:rsidR="0046336D" w:rsidRPr="00E37D56" w:rsidRDefault="0046336D" w:rsidP="0046336D">
            <w:pPr>
              <w:spacing w:after="0" w:line="240" w:lineRule="auto"/>
              <w:jc w:val="right"/>
              <w:rPr>
                <w:rFonts w:ascii="Arial" w:eastAsia="Times New Roman" w:hAnsi="Arial" w:cs="Arial"/>
                <w:sz w:val="14"/>
                <w:szCs w:val="14"/>
                <w:lang w:eastAsia="es-MX"/>
              </w:rPr>
            </w:pPr>
          </w:p>
        </w:tc>
        <w:tc>
          <w:tcPr>
            <w:tcW w:w="525" w:type="pct"/>
            <w:shd w:val="clear" w:color="auto" w:fill="auto"/>
            <w:noWrap/>
            <w:vAlign w:val="bottom"/>
            <w:hideMark/>
          </w:tcPr>
          <w:p w14:paraId="2133FAA2" w14:textId="77777777" w:rsidR="0046336D" w:rsidRPr="00E37D56" w:rsidRDefault="0046336D" w:rsidP="0046336D">
            <w:pPr>
              <w:spacing w:after="0" w:line="240" w:lineRule="auto"/>
              <w:jc w:val="right"/>
              <w:rPr>
                <w:rFonts w:ascii="Arial" w:eastAsia="Times New Roman" w:hAnsi="Arial" w:cs="Arial"/>
                <w:sz w:val="14"/>
                <w:szCs w:val="14"/>
                <w:lang w:eastAsia="es-MX"/>
              </w:rPr>
            </w:pPr>
          </w:p>
        </w:tc>
        <w:tc>
          <w:tcPr>
            <w:tcW w:w="456" w:type="pct"/>
            <w:gridSpan w:val="3"/>
            <w:shd w:val="clear" w:color="auto" w:fill="auto"/>
            <w:noWrap/>
            <w:vAlign w:val="bottom"/>
            <w:hideMark/>
          </w:tcPr>
          <w:p w14:paraId="6222D59E" w14:textId="77777777" w:rsidR="0046336D" w:rsidRPr="00E37D56" w:rsidRDefault="0046336D" w:rsidP="0046336D">
            <w:pPr>
              <w:spacing w:after="0" w:line="240" w:lineRule="auto"/>
              <w:jc w:val="right"/>
              <w:rPr>
                <w:rFonts w:ascii="Arial" w:eastAsia="Times New Roman" w:hAnsi="Arial" w:cs="Arial"/>
                <w:sz w:val="14"/>
                <w:szCs w:val="14"/>
                <w:lang w:eastAsia="es-MX"/>
              </w:rPr>
            </w:pPr>
          </w:p>
        </w:tc>
      </w:tr>
      <w:tr w:rsidR="0046336D" w:rsidRPr="00E37D56" w14:paraId="42404F5E" w14:textId="77777777" w:rsidTr="003310EE">
        <w:trPr>
          <w:trHeight w:val="288"/>
          <w:jc w:val="center"/>
        </w:trPr>
        <w:tc>
          <w:tcPr>
            <w:tcW w:w="1134" w:type="pct"/>
            <w:gridSpan w:val="2"/>
            <w:shd w:val="clear" w:color="auto" w:fill="auto"/>
            <w:noWrap/>
            <w:vAlign w:val="bottom"/>
            <w:hideMark/>
          </w:tcPr>
          <w:p w14:paraId="14C84946" w14:textId="77777777" w:rsidR="0046336D" w:rsidRPr="00E37D56" w:rsidRDefault="0046336D" w:rsidP="0046336D">
            <w:pPr>
              <w:spacing w:after="0" w:line="240" w:lineRule="auto"/>
              <w:rPr>
                <w:rFonts w:ascii="Arial" w:eastAsia="Times New Roman" w:hAnsi="Arial" w:cs="Arial"/>
                <w:sz w:val="14"/>
                <w:szCs w:val="14"/>
                <w:lang w:eastAsia="es-MX"/>
              </w:rPr>
            </w:pPr>
            <w:r w:rsidRPr="00E37D56">
              <w:rPr>
                <w:rFonts w:ascii="Arial" w:eastAsia="Times New Roman" w:hAnsi="Arial" w:cs="Arial"/>
                <w:color w:val="000000"/>
                <w:sz w:val="14"/>
                <w:szCs w:val="14"/>
                <w:lang w:eastAsia="es-MX"/>
              </w:rPr>
              <w:t>prestación de servicios y otros ingresos</w:t>
            </w:r>
          </w:p>
        </w:tc>
        <w:tc>
          <w:tcPr>
            <w:tcW w:w="492" w:type="pct"/>
            <w:shd w:val="clear" w:color="auto" w:fill="auto"/>
            <w:noWrap/>
            <w:vAlign w:val="bottom"/>
            <w:hideMark/>
          </w:tcPr>
          <w:p w14:paraId="62AFB275"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0</w:t>
            </w:r>
          </w:p>
        </w:tc>
        <w:tc>
          <w:tcPr>
            <w:tcW w:w="477" w:type="pct"/>
            <w:shd w:val="clear" w:color="auto" w:fill="auto"/>
            <w:noWrap/>
            <w:vAlign w:val="bottom"/>
            <w:hideMark/>
          </w:tcPr>
          <w:p w14:paraId="095E1CE8"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0.0%</w:t>
            </w:r>
          </w:p>
        </w:tc>
        <w:tc>
          <w:tcPr>
            <w:tcW w:w="482" w:type="pct"/>
            <w:shd w:val="clear" w:color="auto" w:fill="auto"/>
            <w:noWrap/>
            <w:vAlign w:val="bottom"/>
            <w:hideMark/>
          </w:tcPr>
          <w:p w14:paraId="7A87A10E"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0</w:t>
            </w:r>
          </w:p>
        </w:tc>
        <w:tc>
          <w:tcPr>
            <w:tcW w:w="491" w:type="pct"/>
            <w:shd w:val="clear" w:color="auto" w:fill="auto"/>
            <w:noWrap/>
            <w:vAlign w:val="bottom"/>
            <w:hideMark/>
          </w:tcPr>
          <w:p w14:paraId="403A9FCE"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0</w:t>
            </w:r>
          </w:p>
        </w:tc>
        <w:tc>
          <w:tcPr>
            <w:tcW w:w="477" w:type="pct"/>
            <w:shd w:val="clear" w:color="auto" w:fill="auto"/>
            <w:noWrap/>
            <w:vAlign w:val="bottom"/>
            <w:hideMark/>
          </w:tcPr>
          <w:p w14:paraId="24117648"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0.0%</w:t>
            </w:r>
          </w:p>
        </w:tc>
        <w:tc>
          <w:tcPr>
            <w:tcW w:w="464" w:type="pct"/>
            <w:shd w:val="clear" w:color="auto" w:fill="auto"/>
            <w:noWrap/>
            <w:vAlign w:val="bottom"/>
            <w:hideMark/>
          </w:tcPr>
          <w:p w14:paraId="4CF376D5"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0</w:t>
            </w:r>
          </w:p>
        </w:tc>
        <w:tc>
          <w:tcPr>
            <w:tcW w:w="525" w:type="pct"/>
            <w:shd w:val="clear" w:color="auto" w:fill="auto"/>
            <w:noWrap/>
            <w:vAlign w:val="bottom"/>
            <w:hideMark/>
          </w:tcPr>
          <w:p w14:paraId="33229894"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0.0%</w:t>
            </w:r>
          </w:p>
        </w:tc>
        <w:tc>
          <w:tcPr>
            <w:tcW w:w="456" w:type="pct"/>
            <w:gridSpan w:val="3"/>
            <w:shd w:val="clear" w:color="auto" w:fill="auto"/>
            <w:noWrap/>
            <w:vAlign w:val="bottom"/>
            <w:hideMark/>
          </w:tcPr>
          <w:p w14:paraId="51443F61"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0.0%</w:t>
            </w:r>
          </w:p>
        </w:tc>
      </w:tr>
      <w:tr w:rsidR="0046336D" w:rsidRPr="00E37D56" w14:paraId="7D85D089" w14:textId="77777777" w:rsidTr="003310EE">
        <w:trPr>
          <w:trHeight w:val="288"/>
          <w:jc w:val="center"/>
        </w:trPr>
        <w:tc>
          <w:tcPr>
            <w:tcW w:w="1134" w:type="pct"/>
            <w:gridSpan w:val="2"/>
            <w:shd w:val="clear" w:color="auto" w:fill="auto"/>
            <w:noWrap/>
            <w:vAlign w:val="bottom"/>
            <w:hideMark/>
          </w:tcPr>
          <w:p w14:paraId="3831AEE7" w14:textId="77777777" w:rsidR="0046336D" w:rsidRPr="00E37D56" w:rsidRDefault="0046336D" w:rsidP="0046336D">
            <w:pPr>
              <w:spacing w:after="0" w:line="240" w:lineRule="auto"/>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De Origen Federal</w:t>
            </w:r>
          </w:p>
        </w:tc>
        <w:tc>
          <w:tcPr>
            <w:tcW w:w="492" w:type="pct"/>
            <w:shd w:val="clear" w:color="auto" w:fill="auto"/>
            <w:noWrap/>
            <w:vAlign w:val="bottom"/>
            <w:hideMark/>
          </w:tcPr>
          <w:p w14:paraId="650FA104"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26,675,662</w:t>
            </w:r>
          </w:p>
        </w:tc>
        <w:tc>
          <w:tcPr>
            <w:tcW w:w="477" w:type="pct"/>
            <w:shd w:val="clear" w:color="auto" w:fill="auto"/>
            <w:noWrap/>
            <w:vAlign w:val="bottom"/>
            <w:hideMark/>
          </w:tcPr>
          <w:p w14:paraId="23A11323"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75.3%</w:t>
            </w:r>
          </w:p>
        </w:tc>
        <w:tc>
          <w:tcPr>
            <w:tcW w:w="482" w:type="pct"/>
            <w:shd w:val="clear" w:color="auto" w:fill="auto"/>
            <w:noWrap/>
            <w:vAlign w:val="bottom"/>
          </w:tcPr>
          <w:p w14:paraId="7567E2C7"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28,836,131</w:t>
            </w:r>
          </w:p>
        </w:tc>
        <w:tc>
          <w:tcPr>
            <w:tcW w:w="491" w:type="pct"/>
            <w:shd w:val="clear" w:color="auto" w:fill="auto"/>
            <w:noWrap/>
            <w:vAlign w:val="bottom"/>
          </w:tcPr>
          <w:p w14:paraId="2D73EDEC"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30,439,865</w:t>
            </w:r>
          </w:p>
        </w:tc>
        <w:tc>
          <w:tcPr>
            <w:tcW w:w="477" w:type="pct"/>
            <w:shd w:val="clear" w:color="auto" w:fill="auto"/>
            <w:noWrap/>
            <w:vAlign w:val="bottom"/>
            <w:hideMark/>
          </w:tcPr>
          <w:p w14:paraId="537B3380"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74.5</w:t>
            </w:r>
            <w:r w:rsidRPr="00E37D56">
              <w:rPr>
                <w:rFonts w:ascii="Arial" w:eastAsia="Times New Roman" w:hAnsi="Arial" w:cs="Arial"/>
                <w:b/>
                <w:color w:val="000000"/>
                <w:sz w:val="14"/>
                <w:szCs w:val="14"/>
                <w:lang w:eastAsia="es-MX"/>
              </w:rPr>
              <w:t>%</w:t>
            </w:r>
          </w:p>
        </w:tc>
        <w:tc>
          <w:tcPr>
            <w:tcW w:w="464" w:type="pct"/>
            <w:shd w:val="clear" w:color="auto" w:fill="auto"/>
            <w:noWrap/>
            <w:vAlign w:val="bottom"/>
          </w:tcPr>
          <w:p w14:paraId="38739B41"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1,603,734</w:t>
            </w:r>
          </w:p>
        </w:tc>
        <w:tc>
          <w:tcPr>
            <w:tcW w:w="525" w:type="pct"/>
            <w:shd w:val="clear" w:color="auto" w:fill="auto"/>
            <w:noWrap/>
            <w:vAlign w:val="bottom"/>
            <w:hideMark/>
          </w:tcPr>
          <w:p w14:paraId="4617D9B7"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105.6</w:t>
            </w:r>
            <w:r w:rsidRPr="00E37D56">
              <w:rPr>
                <w:rFonts w:ascii="Arial" w:eastAsia="Times New Roman" w:hAnsi="Arial" w:cs="Arial"/>
                <w:b/>
                <w:color w:val="000000"/>
                <w:sz w:val="14"/>
                <w:szCs w:val="14"/>
                <w:lang w:eastAsia="es-MX"/>
              </w:rPr>
              <w:t>%</w:t>
            </w:r>
          </w:p>
        </w:tc>
        <w:tc>
          <w:tcPr>
            <w:tcW w:w="456" w:type="pct"/>
            <w:gridSpan w:val="3"/>
            <w:shd w:val="clear" w:color="auto" w:fill="auto"/>
            <w:noWrap/>
            <w:vAlign w:val="bottom"/>
            <w:hideMark/>
          </w:tcPr>
          <w:p w14:paraId="1C0817CD"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5.8</w:t>
            </w:r>
            <w:r w:rsidRPr="00E37D56">
              <w:rPr>
                <w:rFonts w:ascii="Arial" w:eastAsia="Times New Roman" w:hAnsi="Arial" w:cs="Arial"/>
                <w:b/>
                <w:color w:val="000000"/>
                <w:sz w:val="14"/>
                <w:szCs w:val="14"/>
                <w:lang w:eastAsia="es-MX"/>
              </w:rPr>
              <w:t>%</w:t>
            </w:r>
          </w:p>
        </w:tc>
      </w:tr>
      <w:tr w:rsidR="0046336D" w:rsidRPr="00E37D56" w14:paraId="6D7EAA65" w14:textId="77777777" w:rsidTr="003310EE">
        <w:trPr>
          <w:trHeight w:val="288"/>
          <w:jc w:val="center"/>
        </w:trPr>
        <w:tc>
          <w:tcPr>
            <w:tcW w:w="1134" w:type="pct"/>
            <w:gridSpan w:val="2"/>
            <w:shd w:val="clear" w:color="auto" w:fill="auto"/>
            <w:noWrap/>
            <w:vAlign w:val="bottom"/>
            <w:hideMark/>
          </w:tcPr>
          <w:p w14:paraId="119E1966" w14:textId="77777777" w:rsidR="0046336D" w:rsidRPr="00E37D56" w:rsidRDefault="0046336D" w:rsidP="0046336D">
            <w:pPr>
              <w:spacing w:after="0" w:line="240" w:lineRule="auto"/>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Participaciones</w:t>
            </w:r>
          </w:p>
        </w:tc>
        <w:tc>
          <w:tcPr>
            <w:tcW w:w="492" w:type="pct"/>
            <w:shd w:val="clear" w:color="auto" w:fill="auto"/>
            <w:noWrap/>
            <w:vAlign w:val="bottom"/>
            <w:hideMark/>
          </w:tcPr>
          <w:p w14:paraId="79411AD2"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11,485,339</w:t>
            </w:r>
          </w:p>
        </w:tc>
        <w:tc>
          <w:tcPr>
            <w:tcW w:w="477" w:type="pct"/>
            <w:shd w:val="clear" w:color="auto" w:fill="auto"/>
            <w:noWrap/>
            <w:vAlign w:val="bottom"/>
            <w:hideMark/>
          </w:tcPr>
          <w:p w14:paraId="51AED00A"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32.4%</w:t>
            </w:r>
          </w:p>
        </w:tc>
        <w:tc>
          <w:tcPr>
            <w:tcW w:w="482" w:type="pct"/>
            <w:shd w:val="clear" w:color="auto" w:fill="auto"/>
            <w:noWrap/>
            <w:vAlign w:val="bottom"/>
          </w:tcPr>
          <w:p w14:paraId="3A70033F"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12,695,696</w:t>
            </w:r>
          </w:p>
        </w:tc>
        <w:tc>
          <w:tcPr>
            <w:tcW w:w="491" w:type="pct"/>
            <w:shd w:val="clear" w:color="auto" w:fill="auto"/>
            <w:noWrap/>
            <w:vAlign w:val="bottom"/>
          </w:tcPr>
          <w:p w14:paraId="76396C23"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12,480,178</w:t>
            </w:r>
          </w:p>
        </w:tc>
        <w:tc>
          <w:tcPr>
            <w:tcW w:w="477" w:type="pct"/>
            <w:shd w:val="clear" w:color="auto" w:fill="auto"/>
            <w:noWrap/>
            <w:vAlign w:val="bottom"/>
            <w:hideMark/>
          </w:tcPr>
          <w:p w14:paraId="13F67C45"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30.6</w:t>
            </w:r>
            <w:r w:rsidRPr="00E37D56">
              <w:rPr>
                <w:rFonts w:ascii="Arial" w:eastAsia="Times New Roman" w:hAnsi="Arial" w:cs="Arial"/>
                <w:color w:val="000000"/>
                <w:sz w:val="14"/>
                <w:szCs w:val="14"/>
                <w:lang w:eastAsia="es-MX"/>
              </w:rPr>
              <w:t>%</w:t>
            </w:r>
          </w:p>
        </w:tc>
        <w:tc>
          <w:tcPr>
            <w:tcW w:w="464" w:type="pct"/>
            <w:shd w:val="clear" w:color="auto" w:fill="auto"/>
            <w:noWrap/>
            <w:vAlign w:val="bottom"/>
          </w:tcPr>
          <w:p w14:paraId="720A18CA"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-215,518</w:t>
            </w:r>
          </w:p>
        </w:tc>
        <w:tc>
          <w:tcPr>
            <w:tcW w:w="525" w:type="pct"/>
            <w:shd w:val="clear" w:color="auto" w:fill="auto"/>
            <w:noWrap/>
            <w:vAlign w:val="bottom"/>
            <w:hideMark/>
          </w:tcPr>
          <w:p w14:paraId="0865E04B"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98.3</w:t>
            </w:r>
            <w:r w:rsidRPr="00E37D56">
              <w:rPr>
                <w:rFonts w:ascii="Arial" w:eastAsia="Times New Roman" w:hAnsi="Arial" w:cs="Arial"/>
                <w:color w:val="000000"/>
                <w:sz w:val="14"/>
                <w:szCs w:val="14"/>
                <w:lang w:eastAsia="es-MX"/>
              </w:rPr>
              <w:t>%</w:t>
            </w:r>
          </w:p>
        </w:tc>
        <w:tc>
          <w:tcPr>
            <w:tcW w:w="456" w:type="pct"/>
            <w:gridSpan w:val="3"/>
            <w:shd w:val="clear" w:color="auto" w:fill="auto"/>
            <w:noWrap/>
            <w:vAlign w:val="bottom"/>
            <w:hideMark/>
          </w:tcPr>
          <w:p w14:paraId="475A47BB"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0.7</w:t>
            </w:r>
            <w:r w:rsidRPr="00E37D56">
              <w:rPr>
                <w:rFonts w:ascii="Arial" w:eastAsia="Times New Roman" w:hAnsi="Arial" w:cs="Arial"/>
                <w:color w:val="000000"/>
                <w:sz w:val="14"/>
                <w:szCs w:val="14"/>
                <w:lang w:eastAsia="es-MX"/>
              </w:rPr>
              <w:t>%</w:t>
            </w:r>
          </w:p>
        </w:tc>
      </w:tr>
      <w:tr w:rsidR="0046336D" w:rsidRPr="00E37D56" w14:paraId="459D70D1" w14:textId="77777777" w:rsidTr="003310EE">
        <w:trPr>
          <w:trHeight w:val="288"/>
          <w:jc w:val="center"/>
        </w:trPr>
        <w:tc>
          <w:tcPr>
            <w:tcW w:w="1134" w:type="pct"/>
            <w:gridSpan w:val="2"/>
            <w:shd w:val="clear" w:color="auto" w:fill="auto"/>
            <w:noWrap/>
            <w:vAlign w:val="bottom"/>
            <w:hideMark/>
          </w:tcPr>
          <w:p w14:paraId="2F5BE040" w14:textId="77777777" w:rsidR="0046336D" w:rsidRPr="00E37D56" w:rsidRDefault="0046336D" w:rsidP="0046336D">
            <w:pPr>
              <w:spacing w:after="0" w:line="240" w:lineRule="auto"/>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Aportaciones</w:t>
            </w:r>
          </w:p>
        </w:tc>
        <w:tc>
          <w:tcPr>
            <w:tcW w:w="492" w:type="pct"/>
            <w:shd w:val="clear" w:color="auto" w:fill="auto"/>
            <w:noWrap/>
            <w:vAlign w:val="bottom"/>
            <w:hideMark/>
          </w:tcPr>
          <w:p w14:paraId="72B6BEF4"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11,702,405</w:t>
            </w:r>
          </w:p>
        </w:tc>
        <w:tc>
          <w:tcPr>
            <w:tcW w:w="477" w:type="pct"/>
            <w:shd w:val="clear" w:color="auto" w:fill="auto"/>
            <w:noWrap/>
            <w:vAlign w:val="bottom"/>
            <w:hideMark/>
          </w:tcPr>
          <w:p w14:paraId="67C89052"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33.0%</w:t>
            </w:r>
          </w:p>
        </w:tc>
        <w:tc>
          <w:tcPr>
            <w:tcW w:w="482" w:type="pct"/>
            <w:shd w:val="clear" w:color="auto" w:fill="auto"/>
            <w:noWrap/>
            <w:vAlign w:val="bottom"/>
          </w:tcPr>
          <w:p w14:paraId="14559965"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12,392,459</w:t>
            </w:r>
          </w:p>
        </w:tc>
        <w:tc>
          <w:tcPr>
            <w:tcW w:w="491" w:type="pct"/>
            <w:shd w:val="clear" w:color="auto" w:fill="auto"/>
            <w:noWrap/>
            <w:vAlign w:val="bottom"/>
          </w:tcPr>
          <w:p w14:paraId="32EA77FB"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13,218,686</w:t>
            </w:r>
          </w:p>
        </w:tc>
        <w:tc>
          <w:tcPr>
            <w:tcW w:w="477" w:type="pct"/>
            <w:shd w:val="clear" w:color="auto" w:fill="auto"/>
            <w:noWrap/>
            <w:vAlign w:val="bottom"/>
            <w:hideMark/>
          </w:tcPr>
          <w:p w14:paraId="6809AC2D"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32.3</w:t>
            </w:r>
            <w:r w:rsidRPr="00E37D56">
              <w:rPr>
                <w:rFonts w:ascii="Arial" w:eastAsia="Times New Roman" w:hAnsi="Arial" w:cs="Arial"/>
                <w:color w:val="000000"/>
                <w:sz w:val="14"/>
                <w:szCs w:val="14"/>
                <w:lang w:eastAsia="es-MX"/>
              </w:rPr>
              <w:t>%</w:t>
            </w:r>
          </w:p>
        </w:tc>
        <w:tc>
          <w:tcPr>
            <w:tcW w:w="464" w:type="pct"/>
            <w:shd w:val="clear" w:color="auto" w:fill="auto"/>
            <w:noWrap/>
            <w:vAlign w:val="bottom"/>
          </w:tcPr>
          <w:p w14:paraId="561F2BF0"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826,227</w:t>
            </w:r>
          </w:p>
        </w:tc>
        <w:tc>
          <w:tcPr>
            <w:tcW w:w="525" w:type="pct"/>
            <w:shd w:val="clear" w:color="auto" w:fill="auto"/>
            <w:noWrap/>
            <w:vAlign w:val="bottom"/>
            <w:hideMark/>
          </w:tcPr>
          <w:p w14:paraId="04E57E1E"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106.7</w:t>
            </w:r>
            <w:r w:rsidRPr="00E37D56">
              <w:rPr>
                <w:rFonts w:ascii="Arial" w:eastAsia="Times New Roman" w:hAnsi="Arial" w:cs="Arial"/>
                <w:color w:val="000000"/>
                <w:sz w:val="14"/>
                <w:szCs w:val="14"/>
                <w:lang w:eastAsia="es-MX"/>
              </w:rPr>
              <w:t>%</w:t>
            </w:r>
          </w:p>
        </w:tc>
        <w:tc>
          <w:tcPr>
            <w:tcW w:w="456" w:type="pct"/>
            <w:gridSpan w:val="3"/>
            <w:shd w:val="clear" w:color="auto" w:fill="auto"/>
            <w:noWrap/>
            <w:vAlign w:val="bottom"/>
            <w:hideMark/>
          </w:tcPr>
          <w:p w14:paraId="7323F5E6"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4.7</w:t>
            </w:r>
            <w:r w:rsidRPr="00E37D56">
              <w:rPr>
                <w:rFonts w:ascii="Arial" w:eastAsia="Times New Roman" w:hAnsi="Arial" w:cs="Arial"/>
                <w:color w:val="000000"/>
                <w:sz w:val="14"/>
                <w:szCs w:val="14"/>
                <w:lang w:eastAsia="es-MX"/>
              </w:rPr>
              <w:t>%</w:t>
            </w:r>
          </w:p>
        </w:tc>
      </w:tr>
      <w:tr w:rsidR="0046336D" w:rsidRPr="00E37D56" w14:paraId="28B7AA63" w14:textId="77777777" w:rsidTr="003310EE">
        <w:trPr>
          <w:trHeight w:val="288"/>
          <w:jc w:val="center"/>
        </w:trPr>
        <w:tc>
          <w:tcPr>
            <w:tcW w:w="1134" w:type="pct"/>
            <w:gridSpan w:val="2"/>
            <w:shd w:val="clear" w:color="auto" w:fill="auto"/>
            <w:noWrap/>
            <w:vAlign w:val="bottom"/>
            <w:hideMark/>
          </w:tcPr>
          <w:p w14:paraId="43FDC9EF" w14:textId="77777777" w:rsidR="0046336D" w:rsidRPr="00E37D56" w:rsidRDefault="0046336D" w:rsidP="0046336D">
            <w:pPr>
              <w:spacing w:after="0" w:line="240" w:lineRule="auto"/>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Convenios</w:t>
            </w:r>
          </w:p>
        </w:tc>
        <w:tc>
          <w:tcPr>
            <w:tcW w:w="492" w:type="pct"/>
            <w:shd w:val="clear" w:color="auto" w:fill="auto"/>
            <w:noWrap/>
            <w:vAlign w:val="bottom"/>
            <w:hideMark/>
          </w:tcPr>
          <w:p w14:paraId="7A389EA7"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2,297,941</w:t>
            </w:r>
          </w:p>
        </w:tc>
        <w:tc>
          <w:tcPr>
            <w:tcW w:w="477" w:type="pct"/>
            <w:shd w:val="clear" w:color="auto" w:fill="auto"/>
            <w:noWrap/>
            <w:vAlign w:val="bottom"/>
            <w:hideMark/>
          </w:tcPr>
          <w:p w14:paraId="692B5BC9"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6.5%</w:t>
            </w:r>
          </w:p>
        </w:tc>
        <w:tc>
          <w:tcPr>
            <w:tcW w:w="482" w:type="pct"/>
            <w:shd w:val="clear" w:color="auto" w:fill="auto"/>
            <w:noWrap/>
            <w:vAlign w:val="bottom"/>
          </w:tcPr>
          <w:p w14:paraId="3F6D163F"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2,366,760</w:t>
            </w:r>
          </w:p>
        </w:tc>
        <w:tc>
          <w:tcPr>
            <w:tcW w:w="491" w:type="pct"/>
            <w:shd w:val="clear" w:color="auto" w:fill="auto"/>
            <w:noWrap/>
            <w:vAlign w:val="bottom"/>
          </w:tcPr>
          <w:p w14:paraId="56FB3BC3"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2,929,620</w:t>
            </w:r>
          </w:p>
        </w:tc>
        <w:tc>
          <w:tcPr>
            <w:tcW w:w="477" w:type="pct"/>
            <w:shd w:val="clear" w:color="auto" w:fill="auto"/>
            <w:noWrap/>
            <w:vAlign w:val="bottom"/>
            <w:hideMark/>
          </w:tcPr>
          <w:p w14:paraId="7F308F9D"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7.2</w:t>
            </w:r>
            <w:r w:rsidRPr="00E37D56">
              <w:rPr>
                <w:rFonts w:ascii="Arial" w:eastAsia="Times New Roman" w:hAnsi="Arial" w:cs="Arial"/>
                <w:color w:val="000000"/>
                <w:sz w:val="14"/>
                <w:szCs w:val="14"/>
                <w:lang w:eastAsia="es-MX"/>
              </w:rPr>
              <w:t>%</w:t>
            </w:r>
          </w:p>
        </w:tc>
        <w:tc>
          <w:tcPr>
            <w:tcW w:w="464" w:type="pct"/>
            <w:shd w:val="clear" w:color="auto" w:fill="auto"/>
            <w:noWrap/>
            <w:vAlign w:val="bottom"/>
          </w:tcPr>
          <w:p w14:paraId="050269D5"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562,860</w:t>
            </w:r>
          </w:p>
        </w:tc>
        <w:tc>
          <w:tcPr>
            <w:tcW w:w="525" w:type="pct"/>
            <w:shd w:val="clear" w:color="auto" w:fill="auto"/>
            <w:noWrap/>
            <w:vAlign w:val="bottom"/>
            <w:hideMark/>
          </w:tcPr>
          <w:p w14:paraId="48A2C427"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123.8</w:t>
            </w:r>
            <w:r w:rsidRPr="00E37D56">
              <w:rPr>
                <w:rFonts w:ascii="Arial" w:eastAsia="Times New Roman" w:hAnsi="Arial" w:cs="Arial"/>
                <w:color w:val="000000"/>
                <w:sz w:val="14"/>
                <w:szCs w:val="14"/>
                <w:lang w:eastAsia="es-MX"/>
              </w:rPr>
              <w:t>%</w:t>
            </w:r>
          </w:p>
        </w:tc>
        <w:tc>
          <w:tcPr>
            <w:tcW w:w="456" w:type="pct"/>
            <w:gridSpan w:val="3"/>
            <w:shd w:val="clear" w:color="auto" w:fill="auto"/>
            <w:noWrap/>
            <w:vAlign w:val="bottom"/>
            <w:hideMark/>
          </w:tcPr>
          <w:p w14:paraId="274BF9B7"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18.2</w:t>
            </w:r>
            <w:r w:rsidRPr="00E37D56">
              <w:rPr>
                <w:rFonts w:ascii="Arial" w:eastAsia="Times New Roman" w:hAnsi="Arial" w:cs="Arial"/>
                <w:color w:val="000000"/>
                <w:sz w:val="14"/>
                <w:szCs w:val="14"/>
                <w:lang w:eastAsia="es-MX"/>
              </w:rPr>
              <w:t>%</w:t>
            </w:r>
          </w:p>
        </w:tc>
      </w:tr>
      <w:tr w:rsidR="0046336D" w:rsidRPr="00E37D56" w14:paraId="09D8AC81" w14:textId="77777777" w:rsidTr="003310EE">
        <w:trPr>
          <w:trHeight w:val="288"/>
          <w:jc w:val="center"/>
        </w:trPr>
        <w:tc>
          <w:tcPr>
            <w:tcW w:w="1134" w:type="pct"/>
            <w:gridSpan w:val="2"/>
            <w:shd w:val="clear" w:color="auto" w:fill="auto"/>
            <w:noWrap/>
            <w:vAlign w:val="bottom"/>
            <w:hideMark/>
          </w:tcPr>
          <w:p w14:paraId="291067B1" w14:textId="77777777" w:rsidR="0046336D" w:rsidRPr="00E37D56" w:rsidRDefault="0046336D" w:rsidP="0046336D">
            <w:pPr>
              <w:spacing w:after="0" w:line="240" w:lineRule="auto"/>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 xml:space="preserve">Incentivos derivados de la </w:t>
            </w:r>
          </w:p>
          <w:p w14:paraId="7566AEF7" w14:textId="77777777" w:rsidR="0046336D" w:rsidRPr="00E37D56" w:rsidRDefault="0046336D" w:rsidP="0046336D">
            <w:pPr>
              <w:spacing w:after="0" w:line="240" w:lineRule="auto"/>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colaboración fiscal</w:t>
            </w:r>
          </w:p>
        </w:tc>
        <w:tc>
          <w:tcPr>
            <w:tcW w:w="492" w:type="pct"/>
            <w:shd w:val="clear" w:color="auto" w:fill="auto"/>
            <w:noWrap/>
            <w:vAlign w:val="bottom"/>
            <w:hideMark/>
          </w:tcPr>
          <w:p w14:paraId="7F53265F"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1,189,977</w:t>
            </w:r>
          </w:p>
        </w:tc>
        <w:tc>
          <w:tcPr>
            <w:tcW w:w="477" w:type="pct"/>
            <w:shd w:val="clear" w:color="auto" w:fill="auto"/>
            <w:noWrap/>
            <w:vAlign w:val="bottom"/>
            <w:hideMark/>
          </w:tcPr>
          <w:p w14:paraId="33F41967"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sidRPr="00E37D56">
              <w:rPr>
                <w:rFonts w:ascii="Arial" w:eastAsia="Times New Roman" w:hAnsi="Arial" w:cs="Arial"/>
                <w:color w:val="000000"/>
                <w:sz w:val="14"/>
                <w:szCs w:val="14"/>
                <w:lang w:eastAsia="es-MX"/>
              </w:rPr>
              <w:t>3.4%</w:t>
            </w:r>
          </w:p>
        </w:tc>
        <w:tc>
          <w:tcPr>
            <w:tcW w:w="482" w:type="pct"/>
            <w:shd w:val="clear" w:color="auto" w:fill="auto"/>
            <w:noWrap/>
            <w:vAlign w:val="bottom"/>
          </w:tcPr>
          <w:p w14:paraId="367F46E1"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1,381,216</w:t>
            </w:r>
          </w:p>
        </w:tc>
        <w:tc>
          <w:tcPr>
            <w:tcW w:w="491" w:type="pct"/>
            <w:shd w:val="clear" w:color="auto" w:fill="auto"/>
            <w:noWrap/>
            <w:vAlign w:val="bottom"/>
          </w:tcPr>
          <w:p w14:paraId="4BCF03FF"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1,811,381</w:t>
            </w:r>
          </w:p>
        </w:tc>
        <w:tc>
          <w:tcPr>
            <w:tcW w:w="477" w:type="pct"/>
            <w:shd w:val="clear" w:color="auto" w:fill="auto"/>
            <w:noWrap/>
            <w:vAlign w:val="bottom"/>
            <w:hideMark/>
          </w:tcPr>
          <w:p w14:paraId="5FD93ACE"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4.4</w:t>
            </w:r>
            <w:r w:rsidRPr="00E37D56">
              <w:rPr>
                <w:rFonts w:ascii="Arial" w:eastAsia="Times New Roman" w:hAnsi="Arial" w:cs="Arial"/>
                <w:color w:val="000000"/>
                <w:sz w:val="14"/>
                <w:szCs w:val="14"/>
                <w:lang w:eastAsia="es-MX"/>
              </w:rPr>
              <w:t>%</w:t>
            </w:r>
          </w:p>
        </w:tc>
        <w:tc>
          <w:tcPr>
            <w:tcW w:w="464" w:type="pct"/>
            <w:shd w:val="clear" w:color="auto" w:fill="auto"/>
            <w:noWrap/>
            <w:vAlign w:val="bottom"/>
          </w:tcPr>
          <w:p w14:paraId="2BB1E3A1"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430,165</w:t>
            </w:r>
          </w:p>
        </w:tc>
        <w:tc>
          <w:tcPr>
            <w:tcW w:w="525" w:type="pct"/>
            <w:shd w:val="clear" w:color="auto" w:fill="auto"/>
            <w:noWrap/>
            <w:vAlign w:val="bottom"/>
            <w:hideMark/>
          </w:tcPr>
          <w:p w14:paraId="62765574"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131.1</w:t>
            </w:r>
            <w:r w:rsidRPr="00E37D56">
              <w:rPr>
                <w:rFonts w:ascii="Arial" w:eastAsia="Times New Roman" w:hAnsi="Arial" w:cs="Arial"/>
                <w:color w:val="000000"/>
                <w:sz w:val="14"/>
                <w:szCs w:val="14"/>
                <w:lang w:eastAsia="es-MX"/>
              </w:rPr>
              <w:t>%</w:t>
            </w:r>
          </w:p>
        </w:tc>
        <w:tc>
          <w:tcPr>
            <w:tcW w:w="456" w:type="pct"/>
            <w:gridSpan w:val="3"/>
            <w:shd w:val="clear" w:color="auto" w:fill="auto"/>
            <w:noWrap/>
            <w:vAlign w:val="bottom"/>
            <w:hideMark/>
          </w:tcPr>
          <w:p w14:paraId="70B9254B" w14:textId="77777777" w:rsidR="0046336D" w:rsidRPr="00E37D56" w:rsidRDefault="0046336D" w:rsidP="0046336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41.1</w:t>
            </w:r>
            <w:r w:rsidRPr="00E37D56">
              <w:rPr>
                <w:rFonts w:ascii="Arial" w:eastAsia="Times New Roman" w:hAnsi="Arial" w:cs="Arial"/>
                <w:color w:val="000000"/>
                <w:sz w:val="14"/>
                <w:szCs w:val="14"/>
                <w:lang w:eastAsia="es-MX"/>
              </w:rPr>
              <w:t>%</w:t>
            </w:r>
          </w:p>
        </w:tc>
      </w:tr>
      <w:tr w:rsidR="0046336D" w:rsidRPr="00E37D56" w14:paraId="0CA79AB1" w14:textId="77777777" w:rsidTr="003310EE">
        <w:trPr>
          <w:trHeight w:val="288"/>
          <w:jc w:val="center"/>
        </w:trPr>
        <w:tc>
          <w:tcPr>
            <w:tcW w:w="1134" w:type="pct"/>
            <w:gridSpan w:val="2"/>
            <w:tcBorders>
              <w:bottom w:val="nil"/>
            </w:tcBorders>
            <w:shd w:val="clear" w:color="auto" w:fill="auto"/>
            <w:noWrap/>
            <w:vAlign w:val="bottom"/>
            <w:hideMark/>
          </w:tcPr>
          <w:p w14:paraId="585E86E3" w14:textId="77777777" w:rsidR="0046336D" w:rsidRPr="00E37D56" w:rsidRDefault="0046336D" w:rsidP="0046336D">
            <w:pPr>
              <w:spacing w:after="0" w:line="240" w:lineRule="auto"/>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Ingresos Derivados de Financiamientos</w:t>
            </w:r>
          </w:p>
        </w:tc>
        <w:tc>
          <w:tcPr>
            <w:tcW w:w="492" w:type="pct"/>
            <w:tcBorders>
              <w:bottom w:val="nil"/>
            </w:tcBorders>
            <w:shd w:val="clear" w:color="auto" w:fill="auto"/>
            <w:noWrap/>
            <w:vAlign w:val="bottom"/>
            <w:hideMark/>
          </w:tcPr>
          <w:p w14:paraId="3D698AE1"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2,684,304</w:t>
            </w:r>
          </w:p>
        </w:tc>
        <w:tc>
          <w:tcPr>
            <w:tcW w:w="477" w:type="pct"/>
            <w:tcBorders>
              <w:bottom w:val="nil"/>
            </w:tcBorders>
            <w:shd w:val="clear" w:color="auto" w:fill="auto"/>
            <w:noWrap/>
            <w:vAlign w:val="bottom"/>
            <w:hideMark/>
          </w:tcPr>
          <w:p w14:paraId="1501C078"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7.6%</w:t>
            </w:r>
          </w:p>
        </w:tc>
        <w:tc>
          <w:tcPr>
            <w:tcW w:w="482" w:type="pct"/>
            <w:tcBorders>
              <w:bottom w:val="nil"/>
            </w:tcBorders>
            <w:shd w:val="clear" w:color="auto" w:fill="auto"/>
            <w:noWrap/>
            <w:vAlign w:val="bottom"/>
          </w:tcPr>
          <w:p w14:paraId="7F417031"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0</w:t>
            </w:r>
          </w:p>
        </w:tc>
        <w:tc>
          <w:tcPr>
            <w:tcW w:w="491" w:type="pct"/>
            <w:tcBorders>
              <w:bottom w:val="nil"/>
            </w:tcBorders>
            <w:shd w:val="clear" w:color="auto" w:fill="auto"/>
            <w:noWrap/>
            <w:vAlign w:val="bottom"/>
          </w:tcPr>
          <w:p w14:paraId="0C79F546"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2,025,696</w:t>
            </w:r>
          </w:p>
        </w:tc>
        <w:tc>
          <w:tcPr>
            <w:tcW w:w="477" w:type="pct"/>
            <w:tcBorders>
              <w:bottom w:val="nil"/>
            </w:tcBorders>
            <w:shd w:val="clear" w:color="auto" w:fill="auto"/>
            <w:noWrap/>
            <w:vAlign w:val="bottom"/>
            <w:hideMark/>
          </w:tcPr>
          <w:p w14:paraId="3DC34071"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5.0</w:t>
            </w:r>
            <w:r w:rsidRPr="00E37D56">
              <w:rPr>
                <w:rFonts w:ascii="Arial" w:eastAsia="Times New Roman" w:hAnsi="Arial" w:cs="Arial"/>
                <w:b/>
                <w:color w:val="000000"/>
                <w:sz w:val="14"/>
                <w:szCs w:val="14"/>
                <w:lang w:eastAsia="es-MX"/>
              </w:rPr>
              <w:t>%</w:t>
            </w:r>
          </w:p>
        </w:tc>
        <w:tc>
          <w:tcPr>
            <w:tcW w:w="464" w:type="pct"/>
            <w:tcBorders>
              <w:bottom w:val="nil"/>
            </w:tcBorders>
            <w:shd w:val="clear" w:color="auto" w:fill="auto"/>
            <w:noWrap/>
            <w:vAlign w:val="bottom"/>
          </w:tcPr>
          <w:p w14:paraId="068C09DE"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2,025,696</w:t>
            </w:r>
          </w:p>
        </w:tc>
        <w:tc>
          <w:tcPr>
            <w:tcW w:w="525" w:type="pct"/>
            <w:tcBorders>
              <w:bottom w:val="nil"/>
            </w:tcBorders>
            <w:shd w:val="clear" w:color="auto" w:fill="auto"/>
            <w:noWrap/>
            <w:vAlign w:val="bottom"/>
            <w:hideMark/>
          </w:tcPr>
          <w:p w14:paraId="456342D2"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0.0%</w:t>
            </w:r>
          </w:p>
        </w:tc>
        <w:tc>
          <w:tcPr>
            <w:tcW w:w="456" w:type="pct"/>
            <w:gridSpan w:val="3"/>
            <w:tcBorders>
              <w:bottom w:val="nil"/>
            </w:tcBorders>
            <w:shd w:val="clear" w:color="auto" w:fill="auto"/>
            <w:noWrap/>
            <w:vAlign w:val="bottom"/>
            <w:hideMark/>
          </w:tcPr>
          <w:p w14:paraId="0C073C79"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-30.1</w:t>
            </w:r>
            <w:r w:rsidRPr="00E37D56">
              <w:rPr>
                <w:rFonts w:ascii="Arial" w:eastAsia="Times New Roman" w:hAnsi="Arial" w:cs="Arial"/>
                <w:b/>
                <w:color w:val="000000"/>
                <w:sz w:val="14"/>
                <w:szCs w:val="14"/>
                <w:lang w:eastAsia="es-MX"/>
              </w:rPr>
              <w:t>%</w:t>
            </w:r>
          </w:p>
        </w:tc>
      </w:tr>
      <w:tr w:rsidR="0046336D" w:rsidRPr="00E37D56" w14:paraId="167B93D0" w14:textId="77777777" w:rsidTr="003310EE">
        <w:trPr>
          <w:trHeight w:val="288"/>
          <w:jc w:val="center"/>
        </w:trPr>
        <w:tc>
          <w:tcPr>
            <w:tcW w:w="1134" w:type="pct"/>
            <w:gridSpan w:val="2"/>
            <w:tcBorders>
              <w:top w:val="nil"/>
              <w:bottom w:val="single" w:sz="4" w:space="0" w:color="auto"/>
            </w:tcBorders>
            <w:shd w:val="clear" w:color="auto" w:fill="auto"/>
            <w:noWrap/>
            <w:vAlign w:val="bottom"/>
            <w:hideMark/>
          </w:tcPr>
          <w:p w14:paraId="14E63CA3" w14:textId="77777777" w:rsidR="0046336D" w:rsidRPr="00E37D56" w:rsidRDefault="0046336D" w:rsidP="0046336D">
            <w:pPr>
              <w:spacing w:after="0" w:line="240" w:lineRule="auto"/>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Total</w:t>
            </w:r>
          </w:p>
        </w:tc>
        <w:tc>
          <w:tcPr>
            <w:tcW w:w="492" w:type="pct"/>
            <w:tcBorders>
              <w:top w:val="nil"/>
              <w:bottom w:val="single" w:sz="4" w:space="0" w:color="auto"/>
            </w:tcBorders>
            <w:shd w:val="clear" w:color="auto" w:fill="auto"/>
            <w:noWrap/>
            <w:vAlign w:val="bottom"/>
            <w:hideMark/>
          </w:tcPr>
          <w:p w14:paraId="5FB105DD"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35,428,469</w:t>
            </w:r>
          </w:p>
        </w:tc>
        <w:tc>
          <w:tcPr>
            <w:tcW w:w="477" w:type="pct"/>
            <w:tcBorders>
              <w:top w:val="nil"/>
              <w:bottom w:val="single" w:sz="4" w:space="0" w:color="auto"/>
            </w:tcBorders>
            <w:shd w:val="clear" w:color="auto" w:fill="auto"/>
            <w:noWrap/>
            <w:vAlign w:val="bottom"/>
            <w:hideMark/>
          </w:tcPr>
          <w:p w14:paraId="253AE885"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100.0%</w:t>
            </w:r>
          </w:p>
        </w:tc>
        <w:tc>
          <w:tcPr>
            <w:tcW w:w="482" w:type="pct"/>
            <w:tcBorders>
              <w:top w:val="nil"/>
              <w:bottom w:val="single" w:sz="4" w:space="0" w:color="auto"/>
            </w:tcBorders>
            <w:shd w:val="clear" w:color="auto" w:fill="auto"/>
            <w:noWrap/>
            <w:vAlign w:val="bottom"/>
          </w:tcPr>
          <w:p w14:paraId="5FF70C1C"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34,</w:t>
            </w:r>
            <w:r w:rsidRPr="00071BF4">
              <w:rPr>
                <w:rFonts w:ascii="Arial" w:eastAsia="Times New Roman" w:hAnsi="Arial" w:cs="Arial"/>
                <w:b/>
                <w:color w:val="000000"/>
                <w:sz w:val="14"/>
                <w:szCs w:val="14"/>
                <w:lang w:eastAsia="es-MX"/>
              </w:rPr>
              <w:t>611</w:t>
            </w:r>
            <w:r>
              <w:rPr>
                <w:rFonts w:ascii="Arial" w:eastAsia="Times New Roman" w:hAnsi="Arial" w:cs="Arial"/>
                <w:b/>
                <w:color w:val="000000"/>
                <w:sz w:val="14"/>
                <w:szCs w:val="14"/>
                <w:lang w:eastAsia="es-MX"/>
              </w:rPr>
              <w:t>,218</w:t>
            </w:r>
          </w:p>
        </w:tc>
        <w:tc>
          <w:tcPr>
            <w:tcW w:w="491" w:type="pct"/>
            <w:tcBorders>
              <w:top w:val="nil"/>
              <w:bottom w:val="single" w:sz="4" w:space="0" w:color="auto"/>
            </w:tcBorders>
            <w:shd w:val="clear" w:color="auto" w:fill="auto"/>
            <w:noWrap/>
            <w:vAlign w:val="bottom"/>
          </w:tcPr>
          <w:p w14:paraId="23986730"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40,839,556</w:t>
            </w:r>
          </w:p>
        </w:tc>
        <w:tc>
          <w:tcPr>
            <w:tcW w:w="477" w:type="pct"/>
            <w:tcBorders>
              <w:top w:val="nil"/>
              <w:bottom w:val="single" w:sz="4" w:space="0" w:color="auto"/>
            </w:tcBorders>
            <w:shd w:val="clear" w:color="auto" w:fill="auto"/>
            <w:noWrap/>
            <w:vAlign w:val="bottom"/>
            <w:hideMark/>
          </w:tcPr>
          <w:p w14:paraId="28BB6E30"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sidRPr="00E37D56">
              <w:rPr>
                <w:rFonts w:ascii="Arial" w:eastAsia="Times New Roman" w:hAnsi="Arial" w:cs="Arial"/>
                <w:b/>
                <w:color w:val="000000"/>
                <w:sz w:val="14"/>
                <w:szCs w:val="14"/>
                <w:lang w:eastAsia="es-MX"/>
              </w:rPr>
              <w:t>100.0%</w:t>
            </w:r>
          </w:p>
        </w:tc>
        <w:tc>
          <w:tcPr>
            <w:tcW w:w="464" w:type="pct"/>
            <w:tcBorders>
              <w:top w:val="nil"/>
              <w:bottom w:val="single" w:sz="4" w:space="0" w:color="auto"/>
            </w:tcBorders>
            <w:shd w:val="clear" w:color="auto" w:fill="auto"/>
            <w:noWrap/>
            <w:vAlign w:val="bottom"/>
          </w:tcPr>
          <w:p w14:paraId="397EE16F"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6,228,338</w:t>
            </w:r>
          </w:p>
        </w:tc>
        <w:tc>
          <w:tcPr>
            <w:tcW w:w="525" w:type="pct"/>
            <w:tcBorders>
              <w:top w:val="nil"/>
              <w:bottom w:val="single" w:sz="4" w:space="0" w:color="auto"/>
            </w:tcBorders>
            <w:shd w:val="clear" w:color="auto" w:fill="auto"/>
            <w:noWrap/>
            <w:vAlign w:val="bottom"/>
            <w:hideMark/>
          </w:tcPr>
          <w:p w14:paraId="539B296D"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118.0</w:t>
            </w:r>
            <w:r w:rsidRPr="00E37D56">
              <w:rPr>
                <w:rFonts w:ascii="Arial" w:eastAsia="Times New Roman" w:hAnsi="Arial" w:cs="Arial"/>
                <w:b/>
                <w:color w:val="000000"/>
                <w:sz w:val="14"/>
                <w:szCs w:val="14"/>
                <w:lang w:eastAsia="es-MX"/>
              </w:rPr>
              <w:t>%</w:t>
            </w:r>
          </w:p>
        </w:tc>
        <w:tc>
          <w:tcPr>
            <w:tcW w:w="456" w:type="pct"/>
            <w:gridSpan w:val="3"/>
            <w:tcBorders>
              <w:top w:val="nil"/>
              <w:bottom w:val="single" w:sz="4" w:space="0" w:color="auto"/>
            </w:tcBorders>
            <w:shd w:val="clear" w:color="auto" w:fill="auto"/>
            <w:noWrap/>
            <w:vAlign w:val="bottom"/>
            <w:hideMark/>
          </w:tcPr>
          <w:p w14:paraId="02912D18" w14:textId="77777777" w:rsidR="0046336D" w:rsidRPr="00E37D56" w:rsidRDefault="0046336D" w:rsidP="0046336D">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6.8</w:t>
            </w:r>
            <w:r w:rsidRPr="00E37D56">
              <w:rPr>
                <w:rFonts w:ascii="Arial" w:eastAsia="Times New Roman" w:hAnsi="Arial" w:cs="Arial"/>
                <w:b/>
                <w:color w:val="000000"/>
                <w:sz w:val="14"/>
                <w:szCs w:val="14"/>
                <w:lang w:eastAsia="es-MX"/>
              </w:rPr>
              <w:t>%</w:t>
            </w:r>
          </w:p>
        </w:tc>
      </w:tr>
      <w:tr w:rsidR="0046336D" w:rsidRPr="00E37D56" w14:paraId="66AB1958" w14:textId="77777777" w:rsidTr="003310EE">
        <w:tblPrEx>
          <w:tblBorders>
            <w:top w:val="none" w:sz="0" w:space="0" w:color="auto"/>
            <w:left w:val="none" w:sz="0" w:space="0" w:color="auto"/>
            <w:bottom w:val="none" w:sz="0" w:space="0" w:color="auto"/>
            <w:right w:val="none" w:sz="0" w:space="0" w:color="auto"/>
          </w:tblBorders>
        </w:tblPrEx>
        <w:trPr>
          <w:gridBefore w:val="1"/>
          <w:gridAfter w:val="1"/>
          <w:wBefore w:w="164" w:type="pct"/>
          <w:wAfter w:w="244" w:type="pct"/>
          <w:trHeight w:val="288"/>
          <w:jc w:val="center"/>
        </w:trPr>
        <w:tc>
          <w:tcPr>
            <w:tcW w:w="4591" w:type="pct"/>
            <w:gridSpan w:val="10"/>
            <w:tcBorders>
              <w:top w:val="single" w:sz="4" w:space="0" w:color="BFBFBF"/>
              <w:left w:val="nil"/>
              <w:bottom w:val="nil"/>
              <w:right w:val="nil"/>
            </w:tcBorders>
            <w:shd w:val="clear" w:color="auto" w:fill="auto"/>
            <w:vAlign w:val="center"/>
            <w:hideMark/>
          </w:tcPr>
          <w:p w14:paraId="1DE25ED8" w14:textId="77777777" w:rsidR="0046336D" w:rsidRPr="00E9545C" w:rsidRDefault="0046336D" w:rsidP="0046336D">
            <w:pPr>
              <w:autoSpaceDE w:val="0"/>
              <w:autoSpaceDN w:val="0"/>
              <w:adjustRightInd w:val="0"/>
              <w:spacing w:after="0" w:line="240" w:lineRule="auto"/>
              <w:ind w:left="142" w:hanging="142"/>
              <w:jc w:val="center"/>
              <w:rPr>
                <w:rFonts w:ascii="Arial" w:eastAsia="Trebuchet MS" w:hAnsi="Arial" w:cs="Arial"/>
                <w:color w:val="262626" w:themeColor="text1" w:themeTint="D9"/>
                <w:sz w:val="14"/>
                <w:szCs w:val="14"/>
              </w:rPr>
            </w:pPr>
          </w:p>
          <w:p w14:paraId="105D4B81" w14:textId="77777777" w:rsidR="0046336D" w:rsidRPr="00E9545C" w:rsidRDefault="0046336D" w:rsidP="0046336D">
            <w:pPr>
              <w:autoSpaceDE w:val="0"/>
              <w:autoSpaceDN w:val="0"/>
              <w:adjustRightInd w:val="0"/>
              <w:spacing w:after="0" w:line="240" w:lineRule="auto"/>
              <w:ind w:left="142" w:hanging="142"/>
              <w:rPr>
                <w:rFonts w:ascii="Arial" w:eastAsia="Times New Roman" w:hAnsi="Arial" w:cs="Arial"/>
                <w:b/>
                <w:bCs/>
                <w:color w:val="262626" w:themeColor="text1" w:themeTint="D9"/>
                <w:sz w:val="14"/>
                <w:szCs w:val="14"/>
                <w:lang w:eastAsia="es-MX"/>
              </w:rPr>
            </w:pPr>
            <w:r w:rsidRPr="00E9545C">
              <w:rPr>
                <w:rFonts w:ascii="Arial" w:eastAsia="Trebuchet MS" w:hAnsi="Arial" w:cs="Arial"/>
                <w:color w:val="262626" w:themeColor="text1" w:themeTint="D9"/>
                <w:sz w:val="14"/>
                <w:szCs w:val="14"/>
              </w:rPr>
              <w:t>* Factor de deflactación 1.0</w:t>
            </w:r>
            <w:r>
              <w:rPr>
                <w:rFonts w:ascii="Arial" w:eastAsia="Trebuchet MS" w:hAnsi="Arial" w:cs="Arial"/>
                <w:color w:val="262626" w:themeColor="text1" w:themeTint="D9"/>
                <w:sz w:val="14"/>
                <w:szCs w:val="14"/>
              </w:rPr>
              <w:t>79</w:t>
            </w:r>
            <w:r w:rsidRPr="00E9545C">
              <w:rPr>
                <w:rFonts w:ascii="Arial" w:eastAsia="Trebuchet MS" w:hAnsi="Arial" w:cs="Arial"/>
                <w:color w:val="262626" w:themeColor="text1" w:themeTint="D9"/>
                <w:sz w:val="14"/>
                <w:szCs w:val="14"/>
              </w:rPr>
              <w:t xml:space="preserve"> (Deflactado con el Índice Nacional de Precios Promedio del Consumidor)</w:t>
            </w:r>
          </w:p>
          <w:p w14:paraId="66264ED4" w14:textId="77777777" w:rsidR="0046336D" w:rsidRPr="004A14D3" w:rsidRDefault="0046336D" w:rsidP="0046336D">
            <w:pPr>
              <w:spacing w:after="0" w:line="240" w:lineRule="auto"/>
              <w:ind w:left="142" w:hanging="142"/>
              <w:rPr>
                <w:rFonts w:ascii="Arial" w:eastAsia="Times New Roman" w:hAnsi="Arial" w:cs="Arial"/>
                <w:color w:val="262626" w:themeColor="text1" w:themeTint="D9"/>
                <w:sz w:val="14"/>
                <w:szCs w:val="14"/>
                <w:lang w:eastAsia="es-MX"/>
              </w:rPr>
            </w:pPr>
            <w:r w:rsidRPr="00E9545C">
              <w:rPr>
                <w:rFonts w:ascii="Arial" w:eastAsia="Times New Roman" w:hAnsi="Arial" w:cs="Arial"/>
                <w:b/>
                <w:bCs/>
                <w:color w:val="262626" w:themeColor="text1" w:themeTint="D9"/>
                <w:sz w:val="14"/>
                <w:szCs w:val="14"/>
                <w:lang w:eastAsia="es-MX"/>
              </w:rPr>
              <w:t xml:space="preserve">Fuente: </w:t>
            </w:r>
            <w:r w:rsidRPr="00E9545C">
              <w:rPr>
                <w:rFonts w:ascii="Arial" w:eastAsia="Times New Roman" w:hAnsi="Arial" w:cs="Arial"/>
                <w:color w:val="262626" w:themeColor="text1" w:themeTint="D9"/>
                <w:sz w:val="14"/>
                <w:szCs w:val="14"/>
                <w:lang w:eastAsia="es-MX"/>
              </w:rPr>
              <w:t xml:space="preserve">Secretaría de Finanzas y Planeación del Estado, cuenta pública </w:t>
            </w:r>
            <w:r>
              <w:rPr>
                <w:rFonts w:ascii="Arial" w:eastAsia="Times New Roman" w:hAnsi="Arial" w:cs="Arial"/>
                <w:color w:val="262626" w:themeColor="text1" w:themeTint="D9"/>
                <w:sz w:val="14"/>
                <w:szCs w:val="14"/>
                <w:lang w:eastAsia="es-MX"/>
              </w:rPr>
              <w:t xml:space="preserve">Tomo I </w:t>
            </w:r>
            <w:r w:rsidRPr="00E9545C">
              <w:rPr>
                <w:rFonts w:ascii="Arial" w:eastAsia="Times New Roman" w:hAnsi="Arial" w:cs="Arial"/>
                <w:color w:val="262626" w:themeColor="text1" w:themeTint="D9"/>
                <w:sz w:val="14"/>
                <w:szCs w:val="14"/>
                <w:lang w:eastAsia="es-MX"/>
              </w:rPr>
              <w:t>e</w:t>
            </w:r>
            <w:r>
              <w:rPr>
                <w:rFonts w:ascii="Arial" w:eastAsia="Times New Roman" w:hAnsi="Arial" w:cs="Arial"/>
                <w:color w:val="262626" w:themeColor="text1" w:themeTint="D9"/>
                <w:sz w:val="14"/>
                <w:szCs w:val="14"/>
                <w:lang w:eastAsia="es-MX"/>
              </w:rPr>
              <w:t>jercicio 2022</w:t>
            </w:r>
            <w:r w:rsidRPr="00E9545C">
              <w:rPr>
                <w:rFonts w:ascii="Arial" w:eastAsia="Times New Roman" w:hAnsi="Arial" w:cs="Arial"/>
                <w:color w:val="262626" w:themeColor="text1" w:themeTint="D9"/>
                <w:sz w:val="14"/>
                <w:szCs w:val="14"/>
                <w:lang w:eastAsia="es-MX"/>
              </w:rPr>
              <w:t xml:space="preserve"> </w:t>
            </w:r>
          </w:p>
        </w:tc>
      </w:tr>
      <w:tr w:rsidR="0046336D" w:rsidRPr="00E37D56" w14:paraId="672CEC93" w14:textId="77777777" w:rsidTr="003310EE">
        <w:tblPrEx>
          <w:tblBorders>
            <w:top w:val="none" w:sz="0" w:space="0" w:color="auto"/>
            <w:left w:val="none" w:sz="0" w:space="0" w:color="auto"/>
            <w:bottom w:val="none" w:sz="0" w:space="0" w:color="auto"/>
            <w:right w:val="none" w:sz="0" w:space="0" w:color="auto"/>
          </w:tblBorders>
        </w:tblPrEx>
        <w:trPr>
          <w:gridBefore w:val="1"/>
          <w:gridAfter w:val="1"/>
          <w:wBefore w:w="164" w:type="pct"/>
          <w:wAfter w:w="244" w:type="pct"/>
          <w:trHeight w:val="288"/>
          <w:jc w:val="center"/>
        </w:trPr>
        <w:tc>
          <w:tcPr>
            <w:tcW w:w="4591" w:type="pct"/>
            <w:gridSpan w:val="10"/>
            <w:tcBorders>
              <w:top w:val="nil"/>
              <w:left w:val="nil"/>
              <w:bottom w:val="nil"/>
              <w:right w:val="nil"/>
            </w:tcBorders>
            <w:shd w:val="clear" w:color="auto" w:fill="auto"/>
            <w:vAlign w:val="center"/>
            <w:hideMark/>
          </w:tcPr>
          <w:p w14:paraId="4CF82840" w14:textId="77777777" w:rsidR="0046336D" w:rsidRPr="004A14D3" w:rsidRDefault="0046336D" w:rsidP="0046336D">
            <w:pPr>
              <w:spacing w:after="0" w:line="240" w:lineRule="auto"/>
              <w:ind w:left="142" w:hanging="142"/>
              <w:rPr>
                <w:rFonts w:ascii="Arial" w:eastAsia="Times New Roman" w:hAnsi="Arial" w:cs="Arial"/>
                <w:color w:val="262626" w:themeColor="text1" w:themeTint="D9"/>
                <w:sz w:val="14"/>
                <w:szCs w:val="14"/>
                <w:lang w:eastAsia="es-MX"/>
              </w:rPr>
            </w:pPr>
            <w:r>
              <w:rPr>
                <w:rFonts w:ascii="Arial" w:eastAsia="Times New Roman" w:hAnsi="Arial" w:cs="Arial"/>
                <w:color w:val="262626" w:themeColor="text1" w:themeTint="D9"/>
                <w:sz w:val="14"/>
                <w:szCs w:val="16"/>
                <w:lang w:eastAsia="es-MX"/>
              </w:rPr>
              <w:t>Página</w:t>
            </w:r>
            <w:r w:rsidR="001376C7">
              <w:rPr>
                <w:rFonts w:ascii="Arial" w:eastAsia="Times New Roman" w:hAnsi="Arial" w:cs="Arial"/>
                <w:color w:val="262626" w:themeColor="text1" w:themeTint="D9"/>
                <w:sz w:val="14"/>
                <w:szCs w:val="16"/>
                <w:lang w:eastAsia="es-MX"/>
              </w:rPr>
              <w:t xml:space="preserve"> </w:t>
            </w:r>
            <w:r>
              <w:rPr>
                <w:rFonts w:ascii="Arial" w:eastAsia="Times New Roman" w:hAnsi="Arial" w:cs="Arial"/>
                <w:color w:val="262626" w:themeColor="text1" w:themeTint="D9"/>
                <w:sz w:val="14"/>
                <w:szCs w:val="16"/>
                <w:lang w:eastAsia="es-MX"/>
              </w:rPr>
              <w:t>78</w:t>
            </w:r>
            <w:r w:rsidRPr="00E9545C">
              <w:rPr>
                <w:rFonts w:ascii="Arial" w:eastAsia="Times New Roman" w:hAnsi="Arial" w:cs="Arial"/>
                <w:color w:val="262626" w:themeColor="text1" w:themeTint="D9"/>
                <w:sz w:val="14"/>
                <w:szCs w:val="16"/>
                <w:lang w:eastAsia="es-MX"/>
              </w:rPr>
              <w:t xml:space="preserve"> </w:t>
            </w:r>
            <w:r w:rsidRPr="004A14D3">
              <w:rPr>
                <w:rFonts w:ascii="Arial" w:eastAsia="Trebuchet MS" w:hAnsi="Arial" w:cs="Arial"/>
                <w:color w:val="0D0D0D" w:themeColor="text1" w:themeTint="F2"/>
                <w:sz w:val="14"/>
                <w:szCs w:val="14"/>
              </w:rPr>
              <w:t>http://www.sefiplan.qroo.gob.mx/sistemas/Cpublica/archivos/TomoI-ResultadosGenerales2022.pdf</w:t>
            </w:r>
          </w:p>
        </w:tc>
      </w:tr>
    </w:tbl>
    <w:p w14:paraId="417CAEA0" w14:textId="77777777" w:rsidR="0046336D" w:rsidRPr="00E37D56" w:rsidRDefault="0046336D" w:rsidP="0046336D">
      <w:pPr>
        <w:widowControl w:val="0"/>
        <w:autoSpaceDE w:val="0"/>
        <w:autoSpaceDN w:val="0"/>
        <w:spacing w:after="0" w:line="240" w:lineRule="auto"/>
        <w:ind w:left="142" w:right="-93" w:hanging="142"/>
        <w:rPr>
          <w:rFonts w:ascii="Arial" w:eastAsia="Arial" w:hAnsi="Arial" w:cs="Arial"/>
          <w:b/>
          <w:sz w:val="16"/>
          <w:szCs w:val="24"/>
          <w:lang w:val="es-ES"/>
        </w:rPr>
      </w:pPr>
    </w:p>
    <w:p w14:paraId="67440731" w14:textId="77777777" w:rsidR="0046336D" w:rsidRPr="00E37D56" w:rsidRDefault="0046336D" w:rsidP="00C520AA">
      <w:pPr>
        <w:widowControl w:val="0"/>
        <w:tabs>
          <w:tab w:val="left" w:pos="9356"/>
        </w:tabs>
        <w:autoSpaceDE w:val="0"/>
        <w:autoSpaceDN w:val="0"/>
        <w:spacing w:before="160"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t>Las cifras de la ejecución de la Ley de Ingresos vigente para el año 202</w:t>
      </w:r>
      <w:r>
        <w:rPr>
          <w:rFonts w:ascii="Arial" w:eastAsia="Arial" w:hAnsi="Arial" w:cs="Arial"/>
          <w:sz w:val="24"/>
          <w:szCs w:val="24"/>
          <w:lang w:val="es-ES"/>
        </w:rPr>
        <w:t>2</w:t>
      </w:r>
      <w:r w:rsidRPr="00E37D56">
        <w:rPr>
          <w:rFonts w:ascii="Arial" w:eastAsia="Arial" w:hAnsi="Arial" w:cs="Arial"/>
          <w:sz w:val="24"/>
          <w:szCs w:val="24"/>
          <w:lang w:val="es-ES"/>
        </w:rPr>
        <w:t xml:space="preserve"> producen un ingreso superior de </w:t>
      </w:r>
      <w:r>
        <w:rPr>
          <w:rFonts w:ascii="Arial" w:eastAsia="Arial" w:hAnsi="Arial" w:cs="Arial"/>
          <w:sz w:val="24"/>
          <w:szCs w:val="24"/>
          <w:lang w:val="es-ES"/>
        </w:rPr>
        <w:t>6,228.3</w:t>
      </w:r>
      <w:r w:rsidRPr="00E37D56">
        <w:rPr>
          <w:rFonts w:ascii="Arial" w:eastAsia="Arial" w:hAnsi="Arial" w:cs="Arial"/>
          <w:sz w:val="24"/>
          <w:szCs w:val="24"/>
          <w:lang w:val="es-ES"/>
        </w:rPr>
        <w:t xml:space="preserve"> millones de pesos brutos</w:t>
      </w:r>
      <w:r>
        <w:rPr>
          <w:rFonts w:ascii="Arial" w:eastAsia="Arial" w:hAnsi="Arial" w:cs="Arial"/>
          <w:sz w:val="24"/>
          <w:szCs w:val="24"/>
          <w:lang w:val="es-ES"/>
        </w:rPr>
        <w:t xml:space="preserve"> respecto a su estimación.</w:t>
      </w:r>
      <w:r w:rsidRPr="00E37D56">
        <w:rPr>
          <w:rFonts w:ascii="Arial" w:eastAsia="Arial" w:hAnsi="Arial" w:cs="Arial"/>
          <w:sz w:val="24"/>
          <w:szCs w:val="24"/>
          <w:lang w:val="es-ES"/>
        </w:rPr>
        <w:t xml:space="preserve"> Variación que primordialmente se explica como sigue:</w:t>
      </w:r>
    </w:p>
    <w:p w14:paraId="37D4BF30" w14:textId="77777777" w:rsidR="0046336D" w:rsidRPr="00E37D56" w:rsidRDefault="0046336D" w:rsidP="00C520AA">
      <w:pPr>
        <w:widowControl w:val="0"/>
        <w:tabs>
          <w:tab w:val="left" w:pos="9356"/>
        </w:tabs>
        <w:autoSpaceDE w:val="0"/>
        <w:autoSpaceDN w:val="0"/>
        <w:spacing w:before="160"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t>En materia de Ingresos Locales, los obtenidos en 202</w:t>
      </w:r>
      <w:r>
        <w:rPr>
          <w:rFonts w:ascii="Arial" w:eastAsia="Arial" w:hAnsi="Arial" w:cs="Arial"/>
          <w:sz w:val="24"/>
          <w:szCs w:val="24"/>
          <w:lang w:val="es-ES"/>
        </w:rPr>
        <w:t>2</w:t>
      </w:r>
      <w:r w:rsidRPr="00E37D56">
        <w:rPr>
          <w:rFonts w:ascii="Arial" w:eastAsia="Arial" w:hAnsi="Arial" w:cs="Arial"/>
          <w:sz w:val="24"/>
          <w:szCs w:val="24"/>
          <w:lang w:val="es-ES"/>
        </w:rPr>
        <w:t xml:space="preserve"> fueron </w:t>
      </w:r>
      <w:r>
        <w:rPr>
          <w:rFonts w:ascii="Arial" w:eastAsia="Arial" w:hAnsi="Arial" w:cs="Arial"/>
          <w:sz w:val="24"/>
          <w:szCs w:val="24"/>
          <w:lang w:val="es-ES"/>
        </w:rPr>
        <w:t>mayo</w:t>
      </w:r>
      <w:r w:rsidRPr="00E37D56">
        <w:rPr>
          <w:rFonts w:ascii="Arial" w:eastAsia="Arial" w:hAnsi="Arial" w:cs="Arial"/>
          <w:sz w:val="24"/>
          <w:szCs w:val="24"/>
          <w:lang w:val="es-ES"/>
        </w:rPr>
        <w:t xml:space="preserve">res en </w:t>
      </w:r>
      <w:r>
        <w:rPr>
          <w:rFonts w:ascii="Arial" w:eastAsia="Arial" w:hAnsi="Arial" w:cs="Arial"/>
          <w:sz w:val="24"/>
          <w:szCs w:val="24"/>
          <w:lang w:val="es-ES"/>
        </w:rPr>
        <w:t>2,598.9</w:t>
      </w:r>
      <w:r w:rsidRPr="00E37D56">
        <w:rPr>
          <w:rFonts w:ascii="Arial" w:eastAsia="Arial" w:hAnsi="Arial" w:cs="Arial"/>
          <w:sz w:val="24"/>
          <w:szCs w:val="24"/>
          <w:lang w:val="es-ES"/>
        </w:rPr>
        <w:t xml:space="preserve"> millones de pesos, cifra que corresponde a </w:t>
      </w:r>
      <w:r>
        <w:rPr>
          <w:rFonts w:ascii="Arial" w:eastAsia="Arial" w:hAnsi="Arial" w:cs="Arial"/>
          <w:sz w:val="24"/>
          <w:szCs w:val="24"/>
          <w:lang w:val="es-ES"/>
        </w:rPr>
        <w:t>45.0</w:t>
      </w:r>
      <w:r w:rsidRPr="00E37D56">
        <w:rPr>
          <w:rFonts w:ascii="Arial" w:eastAsia="Arial" w:hAnsi="Arial" w:cs="Arial"/>
          <w:sz w:val="24"/>
          <w:szCs w:val="24"/>
          <w:lang w:val="es-ES"/>
        </w:rPr>
        <w:t xml:space="preserve"> por ciento de m</w:t>
      </w:r>
      <w:r>
        <w:rPr>
          <w:rFonts w:ascii="Arial" w:eastAsia="Arial" w:hAnsi="Arial" w:cs="Arial"/>
          <w:sz w:val="24"/>
          <w:szCs w:val="24"/>
          <w:lang w:val="es-ES"/>
        </w:rPr>
        <w:t>ás</w:t>
      </w:r>
      <w:r w:rsidRPr="00E37D56">
        <w:rPr>
          <w:rFonts w:ascii="Arial" w:eastAsia="Arial" w:hAnsi="Arial" w:cs="Arial"/>
          <w:sz w:val="24"/>
          <w:szCs w:val="24"/>
          <w:lang w:val="es-ES"/>
        </w:rPr>
        <w:t xml:space="preserve"> del monto estimado original, variación generada </w:t>
      </w:r>
      <w:r w:rsidRPr="00514F82">
        <w:rPr>
          <w:rFonts w:ascii="Arial" w:eastAsia="Arial" w:hAnsi="Arial" w:cs="Arial"/>
          <w:sz w:val="24"/>
          <w:szCs w:val="24"/>
          <w:lang w:val="es-ES"/>
        </w:rPr>
        <w:t xml:space="preserve">al </w:t>
      </w:r>
      <w:r>
        <w:rPr>
          <w:rFonts w:ascii="Arial" w:eastAsia="Arial" w:hAnsi="Arial" w:cs="Arial"/>
          <w:sz w:val="24"/>
          <w:szCs w:val="24"/>
          <w:lang w:val="es-ES"/>
        </w:rPr>
        <w:t>superar</w:t>
      </w:r>
      <w:r w:rsidRPr="00E37D56">
        <w:rPr>
          <w:rFonts w:ascii="Arial" w:eastAsia="Arial" w:hAnsi="Arial" w:cs="Arial"/>
          <w:sz w:val="24"/>
          <w:szCs w:val="24"/>
          <w:lang w:val="es-ES"/>
        </w:rPr>
        <w:t xml:space="preserve"> la meta en impuestos por </w:t>
      </w:r>
      <w:r>
        <w:rPr>
          <w:rFonts w:ascii="Arial" w:eastAsia="Arial" w:hAnsi="Arial" w:cs="Arial"/>
          <w:sz w:val="24"/>
          <w:szCs w:val="24"/>
          <w:lang w:val="es-ES"/>
        </w:rPr>
        <w:t>35.9</w:t>
      </w:r>
      <w:r w:rsidRPr="00E37D56">
        <w:rPr>
          <w:rFonts w:ascii="Arial" w:eastAsia="Arial" w:hAnsi="Arial" w:cs="Arial"/>
          <w:sz w:val="24"/>
          <w:szCs w:val="24"/>
          <w:lang w:val="es-ES"/>
        </w:rPr>
        <w:t xml:space="preserve"> por ciento, </w:t>
      </w:r>
      <w:r>
        <w:rPr>
          <w:rFonts w:ascii="Arial" w:eastAsia="Arial" w:hAnsi="Arial" w:cs="Arial"/>
          <w:sz w:val="24"/>
          <w:szCs w:val="24"/>
          <w:lang w:val="es-ES"/>
        </w:rPr>
        <w:t xml:space="preserve">en derechos por 20.5 por ciento, en </w:t>
      </w:r>
      <w:r w:rsidRPr="00E37D56">
        <w:rPr>
          <w:rFonts w:ascii="Arial" w:eastAsia="Arial" w:hAnsi="Arial" w:cs="Arial"/>
          <w:sz w:val="24"/>
          <w:szCs w:val="24"/>
          <w:lang w:val="es-ES"/>
        </w:rPr>
        <w:t xml:space="preserve">productos por </w:t>
      </w:r>
      <w:r>
        <w:rPr>
          <w:rFonts w:ascii="Arial" w:eastAsia="Arial" w:hAnsi="Arial" w:cs="Arial"/>
          <w:sz w:val="24"/>
          <w:szCs w:val="24"/>
          <w:lang w:val="es-ES"/>
        </w:rPr>
        <w:t>59.1 y</w:t>
      </w:r>
      <w:r w:rsidRPr="00E37D56">
        <w:rPr>
          <w:rFonts w:ascii="Arial" w:eastAsia="Arial" w:hAnsi="Arial" w:cs="Arial"/>
          <w:sz w:val="24"/>
          <w:szCs w:val="24"/>
          <w:lang w:val="es-ES"/>
        </w:rPr>
        <w:t xml:space="preserve"> Aprovechamientos por </w:t>
      </w:r>
      <w:r>
        <w:rPr>
          <w:rFonts w:ascii="Arial" w:eastAsia="Arial" w:hAnsi="Arial" w:cs="Arial"/>
          <w:sz w:val="24"/>
          <w:szCs w:val="24"/>
          <w:lang w:val="es-ES"/>
        </w:rPr>
        <w:t>237.9</w:t>
      </w:r>
      <w:r w:rsidRPr="00E37D56">
        <w:rPr>
          <w:rFonts w:ascii="Arial" w:eastAsia="Arial" w:hAnsi="Arial" w:cs="Arial"/>
          <w:sz w:val="24"/>
          <w:szCs w:val="24"/>
          <w:lang w:val="es-ES"/>
        </w:rPr>
        <w:t xml:space="preserve"> por ciento.</w:t>
      </w:r>
    </w:p>
    <w:p w14:paraId="77B76CDA" w14:textId="77777777" w:rsidR="0046336D" w:rsidRPr="00E37D56" w:rsidRDefault="0046336D" w:rsidP="00C520AA">
      <w:pPr>
        <w:widowControl w:val="0"/>
        <w:tabs>
          <w:tab w:val="left" w:pos="9356"/>
        </w:tabs>
        <w:autoSpaceDE w:val="0"/>
        <w:autoSpaceDN w:val="0"/>
        <w:spacing w:before="160"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t xml:space="preserve">En cuanto a los Ingresos de Origen Federal, se presentó un incremento de </w:t>
      </w:r>
      <w:r>
        <w:rPr>
          <w:rFonts w:ascii="Arial" w:eastAsia="Arial" w:hAnsi="Arial" w:cs="Arial"/>
          <w:sz w:val="24"/>
          <w:szCs w:val="24"/>
          <w:lang w:val="es-ES"/>
        </w:rPr>
        <w:t>1,603.7</w:t>
      </w:r>
      <w:r w:rsidRPr="00E37D56">
        <w:rPr>
          <w:rFonts w:ascii="Arial" w:eastAsia="Arial" w:hAnsi="Arial" w:cs="Arial"/>
          <w:sz w:val="24"/>
          <w:szCs w:val="24"/>
          <w:lang w:val="es-ES"/>
        </w:rPr>
        <w:t xml:space="preserve"> millones de pesos, un </w:t>
      </w:r>
      <w:r>
        <w:rPr>
          <w:rFonts w:ascii="Arial" w:eastAsia="Arial" w:hAnsi="Arial" w:cs="Arial"/>
          <w:sz w:val="24"/>
          <w:szCs w:val="24"/>
          <w:lang w:val="es-ES"/>
        </w:rPr>
        <w:t>5.6</w:t>
      </w:r>
      <w:r w:rsidRPr="00E37D56">
        <w:rPr>
          <w:rFonts w:ascii="Arial" w:eastAsia="Arial" w:hAnsi="Arial" w:cs="Arial"/>
          <w:sz w:val="24"/>
          <w:szCs w:val="24"/>
          <w:lang w:val="es-ES"/>
        </w:rPr>
        <w:t xml:space="preserve"> por ciento por arriba del monto original estimado, cifra que se integra por variaciones positivas en los rubros de Convenios</w:t>
      </w:r>
      <w:r>
        <w:rPr>
          <w:rFonts w:ascii="Arial" w:eastAsia="Arial" w:hAnsi="Arial" w:cs="Arial"/>
          <w:sz w:val="24"/>
          <w:szCs w:val="24"/>
          <w:lang w:val="es-ES"/>
        </w:rPr>
        <w:t>, Incentivos y Aportaciones</w:t>
      </w:r>
      <w:r w:rsidRPr="00E37D56">
        <w:rPr>
          <w:rFonts w:ascii="Arial" w:eastAsia="Arial" w:hAnsi="Arial" w:cs="Arial"/>
          <w:sz w:val="24"/>
          <w:szCs w:val="24"/>
          <w:lang w:val="es-ES"/>
        </w:rPr>
        <w:t xml:space="preserve">. Dentro de los ingresos regulares previstos en la Ley de Coordinación </w:t>
      </w:r>
      <w:r w:rsidRPr="00E37D56">
        <w:rPr>
          <w:rFonts w:ascii="Arial" w:eastAsia="Arial" w:hAnsi="Arial" w:cs="Arial"/>
          <w:sz w:val="24"/>
          <w:szCs w:val="24"/>
          <w:lang w:val="es-ES"/>
        </w:rPr>
        <w:lastRenderedPageBreak/>
        <w:t xml:space="preserve">Fiscal: se recibieron en el rubro de Participaciones (Ramo 28) </w:t>
      </w:r>
      <w:r>
        <w:rPr>
          <w:rFonts w:ascii="Arial" w:eastAsia="Arial" w:hAnsi="Arial" w:cs="Arial"/>
          <w:sz w:val="24"/>
          <w:szCs w:val="24"/>
          <w:lang w:val="es-ES"/>
        </w:rPr>
        <w:t>12,480.2</w:t>
      </w:r>
      <w:r w:rsidRPr="00E37D56">
        <w:rPr>
          <w:rFonts w:ascii="Arial" w:eastAsia="Arial" w:hAnsi="Arial" w:cs="Arial"/>
          <w:sz w:val="24"/>
          <w:szCs w:val="24"/>
          <w:lang w:val="es-ES"/>
        </w:rPr>
        <w:t xml:space="preserve"> millones de pesos, es decir, un </w:t>
      </w:r>
      <w:r>
        <w:rPr>
          <w:rFonts w:ascii="Arial" w:eastAsia="Arial" w:hAnsi="Arial" w:cs="Arial"/>
          <w:sz w:val="24"/>
          <w:szCs w:val="24"/>
          <w:lang w:val="es-ES"/>
        </w:rPr>
        <w:t>1.7</w:t>
      </w:r>
      <w:r w:rsidRPr="00E37D56">
        <w:rPr>
          <w:rFonts w:ascii="Arial" w:eastAsia="Arial" w:hAnsi="Arial" w:cs="Arial"/>
          <w:sz w:val="24"/>
          <w:szCs w:val="24"/>
          <w:lang w:val="es-ES"/>
        </w:rPr>
        <w:t xml:space="preserve"> por ciento </w:t>
      </w:r>
      <w:r>
        <w:rPr>
          <w:rFonts w:ascii="Arial" w:eastAsia="Arial" w:hAnsi="Arial" w:cs="Arial"/>
          <w:sz w:val="24"/>
          <w:szCs w:val="24"/>
          <w:lang w:val="es-ES"/>
        </w:rPr>
        <w:t>menos</w:t>
      </w:r>
      <w:r w:rsidRPr="00E37D56">
        <w:rPr>
          <w:rFonts w:ascii="Arial" w:eastAsia="Arial" w:hAnsi="Arial" w:cs="Arial"/>
          <w:sz w:val="24"/>
          <w:szCs w:val="24"/>
          <w:lang w:val="es-ES"/>
        </w:rPr>
        <w:t>, esto debido a</w:t>
      </w:r>
      <w:r>
        <w:rPr>
          <w:rFonts w:ascii="Arial" w:eastAsia="Arial" w:hAnsi="Arial" w:cs="Arial"/>
          <w:sz w:val="24"/>
          <w:szCs w:val="24"/>
          <w:lang w:val="es-ES"/>
        </w:rPr>
        <w:t>l resultado del cálculo de liquidación de participaciones por el ajuste definitivo de 2021</w:t>
      </w:r>
      <w:r w:rsidRPr="00E37D56">
        <w:rPr>
          <w:rFonts w:ascii="Arial" w:eastAsia="Arial" w:hAnsi="Arial" w:cs="Arial"/>
          <w:sz w:val="24"/>
          <w:szCs w:val="24"/>
          <w:lang w:val="es-ES"/>
        </w:rPr>
        <w:t xml:space="preserve"> que </w:t>
      </w:r>
      <w:r>
        <w:rPr>
          <w:rFonts w:ascii="Arial" w:eastAsia="Arial" w:hAnsi="Arial" w:cs="Arial"/>
          <w:sz w:val="24"/>
          <w:szCs w:val="24"/>
          <w:lang w:val="es-ES"/>
        </w:rPr>
        <w:t>para el</w:t>
      </w:r>
      <w:r w:rsidR="001376C7">
        <w:rPr>
          <w:rFonts w:ascii="Arial" w:eastAsia="Arial" w:hAnsi="Arial" w:cs="Arial"/>
          <w:sz w:val="24"/>
          <w:szCs w:val="24"/>
          <w:lang w:val="es-ES"/>
        </w:rPr>
        <w:t xml:space="preserve"> </w:t>
      </w:r>
      <w:r w:rsidRPr="002542F2">
        <w:rPr>
          <w:rFonts w:ascii="Arial" w:eastAsia="Arial" w:hAnsi="Arial" w:cs="Arial"/>
          <w:sz w:val="24"/>
          <w:szCs w:val="24"/>
          <w:lang w:val="es-ES"/>
        </w:rPr>
        <w:t>estado</w:t>
      </w:r>
      <w:r w:rsidRPr="00E37D56">
        <w:rPr>
          <w:rFonts w:ascii="Arial" w:eastAsia="Arial" w:hAnsi="Arial" w:cs="Arial"/>
          <w:sz w:val="24"/>
          <w:szCs w:val="24"/>
          <w:lang w:val="es-ES"/>
        </w:rPr>
        <w:t xml:space="preserve"> </w:t>
      </w:r>
      <w:r>
        <w:rPr>
          <w:rFonts w:ascii="Arial" w:eastAsia="Arial" w:hAnsi="Arial" w:cs="Arial"/>
          <w:sz w:val="24"/>
          <w:szCs w:val="24"/>
          <w:lang w:val="es-ES"/>
        </w:rPr>
        <w:t>fue por 488.0</w:t>
      </w:r>
      <w:r w:rsidRPr="00E37D56">
        <w:rPr>
          <w:rFonts w:ascii="Arial" w:eastAsia="Arial" w:hAnsi="Arial" w:cs="Arial"/>
          <w:sz w:val="24"/>
          <w:szCs w:val="24"/>
          <w:lang w:val="es-ES"/>
        </w:rPr>
        <w:t xml:space="preserve"> millones de pesos</w:t>
      </w:r>
      <w:r>
        <w:rPr>
          <w:rFonts w:ascii="Arial" w:eastAsia="Arial" w:hAnsi="Arial" w:cs="Arial"/>
          <w:sz w:val="24"/>
          <w:szCs w:val="24"/>
          <w:lang w:val="es-ES"/>
        </w:rPr>
        <w:t>,</w:t>
      </w:r>
      <w:r w:rsidRPr="00E37D56">
        <w:rPr>
          <w:rFonts w:ascii="Arial" w:eastAsia="Arial" w:hAnsi="Arial" w:cs="Arial"/>
          <w:sz w:val="24"/>
          <w:szCs w:val="24"/>
          <w:lang w:val="es-ES"/>
        </w:rPr>
        <w:t xml:space="preserve"> en el rubro de Aportaciones (Ramo 33) los ingresos </w:t>
      </w:r>
      <w:r>
        <w:rPr>
          <w:rFonts w:ascii="Arial" w:eastAsia="Arial" w:hAnsi="Arial" w:cs="Arial"/>
          <w:sz w:val="24"/>
          <w:szCs w:val="24"/>
          <w:lang w:val="es-ES"/>
        </w:rPr>
        <w:t>aumentaron</w:t>
      </w:r>
      <w:r w:rsidRPr="00E37D56">
        <w:rPr>
          <w:rFonts w:ascii="Arial" w:eastAsia="Arial" w:hAnsi="Arial" w:cs="Arial"/>
          <w:sz w:val="24"/>
          <w:szCs w:val="24"/>
          <w:lang w:val="es-ES"/>
        </w:rPr>
        <w:t xml:space="preserve"> </w:t>
      </w:r>
      <w:r>
        <w:rPr>
          <w:rFonts w:ascii="Arial" w:eastAsia="Arial" w:hAnsi="Arial" w:cs="Arial"/>
          <w:sz w:val="24"/>
          <w:szCs w:val="24"/>
          <w:lang w:val="es-ES"/>
        </w:rPr>
        <w:t>826.2</w:t>
      </w:r>
      <w:r w:rsidRPr="00E37D56">
        <w:rPr>
          <w:rFonts w:ascii="Arial" w:eastAsia="Arial" w:hAnsi="Arial" w:cs="Arial"/>
          <w:sz w:val="24"/>
          <w:szCs w:val="24"/>
          <w:lang w:val="es-ES"/>
        </w:rPr>
        <w:t xml:space="preserve"> millones de pesos, un </w:t>
      </w:r>
      <w:r>
        <w:rPr>
          <w:rFonts w:ascii="Arial" w:eastAsia="Arial" w:hAnsi="Arial" w:cs="Arial"/>
          <w:sz w:val="24"/>
          <w:szCs w:val="24"/>
          <w:lang w:val="es-ES"/>
        </w:rPr>
        <w:t>6.7</w:t>
      </w:r>
      <w:r w:rsidRPr="00E37D56">
        <w:rPr>
          <w:rFonts w:ascii="Arial" w:eastAsia="Arial" w:hAnsi="Arial" w:cs="Arial"/>
          <w:sz w:val="24"/>
          <w:szCs w:val="24"/>
          <w:lang w:val="es-ES"/>
        </w:rPr>
        <w:t xml:space="preserve"> por ciento </w:t>
      </w:r>
      <w:r>
        <w:rPr>
          <w:rFonts w:ascii="Arial" w:eastAsia="Arial" w:hAnsi="Arial" w:cs="Arial"/>
          <w:sz w:val="24"/>
          <w:szCs w:val="24"/>
          <w:lang w:val="es-ES"/>
        </w:rPr>
        <w:t>más</w:t>
      </w:r>
      <w:r w:rsidRPr="00E37D56">
        <w:rPr>
          <w:rFonts w:ascii="Arial" w:eastAsia="Arial" w:hAnsi="Arial" w:cs="Arial"/>
          <w:sz w:val="24"/>
          <w:szCs w:val="24"/>
          <w:lang w:val="es-ES"/>
        </w:rPr>
        <w:t xml:space="preserve"> respecto a las estimaciones previstas en la Ley de Ingresos del Estado, a su interior </w:t>
      </w:r>
      <w:r>
        <w:rPr>
          <w:rFonts w:ascii="Arial" w:eastAsia="Arial" w:hAnsi="Arial" w:cs="Arial"/>
          <w:sz w:val="24"/>
          <w:szCs w:val="24"/>
          <w:lang w:val="es-ES"/>
        </w:rPr>
        <w:t xml:space="preserve">el ingreso más </w:t>
      </w:r>
      <w:r w:rsidRPr="00E37D56">
        <w:rPr>
          <w:rFonts w:ascii="Arial" w:eastAsia="Arial" w:hAnsi="Arial" w:cs="Arial"/>
          <w:sz w:val="24"/>
          <w:szCs w:val="24"/>
          <w:lang w:val="es-ES"/>
        </w:rPr>
        <w:t>significativ</w:t>
      </w:r>
      <w:r>
        <w:rPr>
          <w:rFonts w:ascii="Arial" w:eastAsia="Arial" w:hAnsi="Arial" w:cs="Arial"/>
          <w:sz w:val="24"/>
          <w:szCs w:val="24"/>
          <w:lang w:val="es-ES"/>
        </w:rPr>
        <w:t>o</w:t>
      </w:r>
      <w:r w:rsidRPr="00E37D56">
        <w:rPr>
          <w:rFonts w:ascii="Arial" w:eastAsia="Arial" w:hAnsi="Arial" w:cs="Arial"/>
          <w:sz w:val="24"/>
          <w:szCs w:val="24"/>
          <w:lang w:val="es-ES"/>
        </w:rPr>
        <w:t xml:space="preserve"> corresponde al Fondo de Aportaciones para la Nómina Educativa y Gasto Operativo, especialmente en Servicios Personales con </w:t>
      </w:r>
      <w:r>
        <w:rPr>
          <w:rFonts w:ascii="Arial" w:eastAsia="Arial" w:hAnsi="Arial" w:cs="Arial"/>
          <w:sz w:val="24"/>
          <w:szCs w:val="24"/>
          <w:lang w:val="es-ES"/>
        </w:rPr>
        <w:t>6,521.7</w:t>
      </w:r>
      <w:r w:rsidRPr="00E37D56">
        <w:rPr>
          <w:rFonts w:ascii="Arial" w:eastAsia="Arial" w:hAnsi="Arial" w:cs="Arial"/>
          <w:sz w:val="24"/>
          <w:szCs w:val="24"/>
          <w:lang w:val="es-ES"/>
        </w:rPr>
        <w:t xml:space="preserve"> millones de pesos; por otra parte, </w:t>
      </w:r>
      <w:r>
        <w:rPr>
          <w:rFonts w:ascii="Arial" w:eastAsia="Arial" w:hAnsi="Arial" w:cs="Arial"/>
          <w:sz w:val="24"/>
          <w:szCs w:val="24"/>
          <w:lang w:val="es-ES"/>
        </w:rPr>
        <w:t xml:space="preserve">en </w:t>
      </w:r>
      <w:r w:rsidRPr="00E37D56">
        <w:rPr>
          <w:rFonts w:ascii="Arial" w:eastAsia="Arial" w:hAnsi="Arial" w:cs="Arial"/>
          <w:sz w:val="24"/>
          <w:szCs w:val="24"/>
          <w:lang w:val="es-ES"/>
        </w:rPr>
        <w:t xml:space="preserve">los ingresos de los Convenios entre el Gobierno Federal y el Estado, se obtuvieron </w:t>
      </w:r>
      <w:r>
        <w:rPr>
          <w:rFonts w:ascii="Arial" w:eastAsia="Arial" w:hAnsi="Arial" w:cs="Arial"/>
          <w:sz w:val="24"/>
          <w:szCs w:val="24"/>
          <w:lang w:val="es-ES"/>
        </w:rPr>
        <w:t>2,929.6</w:t>
      </w:r>
      <w:r w:rsidRPr="00E37D56">
        <w:rPr>
          <w:rFonts w:ascii="Arial" w:eastAsia="Arial" w:hAnsi="Arial" w:cs="Arial"/>
          <w:sz w:val="24"/>
          <w:szCs w:val="24"/>
          <w:lang w:val="es-ES"/>
        </w:rPr>
        <w:t xml:space="preserve"> millones de pesos, </w:t>
      </w:r>
      <w:r>
        <w:rPr>
          <w:rFonts w:ascii="Arial" w:eastAsia="Arial" w:hAnsi="Arial" w:cs="Arial"/>
          <w:sz w:val="24"/>
          <w:szCs w:val="24"/>
          <w:lang w:val="es-ES"/>
        </w:rPr>
        <w:t>23.8</w:t>
      </w:r>
      <w:r w:rsidRPr="00E37D56">
        <w:rPr>
          <w:rFonts w:ascii="Arial" w:eastAsia="Arial" w:hAnsi="Arial" w:cs="Arial"/>
          <w:sz w:val="24"/>
          <w:szCs w:val="24"/>
          <w:lang w:val="es-ES"/>
        </w:rPr>
        <w:t xml:space="preserve"> por ciento más que el monto estimado para el ejercicio 202</w:t>
      </w:r>
      <w:r>
        <w:rPr>
          <w:rFonts w:ascii="Arial" w:eastAsia="Arial" w:hAnsi="Arial" w:cs="Arial"/>
          <w:sz w:val="24"/>
          <w:szCs w:val="24"/>
          <w:lang w:val="es-ES"/>
        </w:rPr>
        <w:t>2</w:t>
      </w:r>
      <w:r w:rsidRPr="00E37D56">
        <w:rPr>
          <w:rFonts w:ascii="Arial" w:eastAsia="Arial" w:hAnsi="Arial" w:cs="Arial"/>
          <w:sz w:val="24"/>
          <w:szCs w:val="24"/>
          <w:lang w:val="es-ES"/>
        </w:rPr>
        <w:t>, siendo el Ramo 11 Educación</w:t>
      </w:r>
      <w:r>
        <w:rPr>
          <w:rFonts w:ascii="Arial" w:eastAsia="Arial" w:hAnsi="Arial" w:cs="Arial"/>
          <w:sz w:val="24"/>
          <w:szCs w:val="24"/>
          <w:lang w:val="es-ES"/>
        </w:rPr>
        <w:t>,</w:t>
      </w:r>
      <w:r w:rsidRPr="00E37D56">
        <w:rPr>
          <w:rFonts w:ascii="Arial" w:eastAsia="Arial" w:hAnsi="Arial" w:cs="Arial"/>
          <w:sz w:val="24"/>
          <w:szCs w:val="24"/>
          <w:lang w:val="es-ES"/>
        </w:rPr>
        <w:t xml:space="preserve"> </w:t>
      </w:r>
      <w:r>
        <w:rPr>
          <w:rFonts w:ascii="Arial" w:eastAsia="Arial" w:hAnsi="Arial" w:cs="Arial"/>
          <w:sz w:val="24"/>
          <w:szCs w:val="24"/>
          <w:lang w:val="es-ES"/>
        </w:rPr>
        <w:t>el</w:t>
      </w:r>
      <w:r w:rsidRPr="00E37D56">
        <w:rPr>
          <w:rFonts w:ascii="Arial" w:eastAsia="Arial" w:hAnsi="Arial" w:cs="Arial"/>
          <w:sz w:val="24"/>
          <w:szCs w:val="24"/>
          <w:lang w:val="es-ES"/>
        </w:rPr>
        <w:t xml:space="preserve"> que más ingresos </w:t>
      </w:r>
      <w:r>
        <w:rPr>
          <w:rFonts w:ascii="Arial" w:eastAsia="Arial" w:hAnsi="Arial" w:cs="Arial"/>
          <w:sz w:val="24"/>
          <w:szCs w:val="24"/>
          <w:lang w:val="es-ES"/>
        </w:rPr>
        <w:t>obtuvo</w:t>
      </w:r>
      <w:r w:rsidRPr="00E37D56">
        <w:rPr>
          <w:rFonts w:ascii="Arial" w:eastAsia="Arial" w:hAnsi="Arial" w:cs="Arial"/>
          <w:sz w:val="24"/>
          <w:szCs w:val="24"/>
          <w:lang w:val="es-ES"/>
        </w:rPr>
        <w:t xml:space="preserve"> con 1,</w:t>
      </w:r>
      <w:r>
        <w:rPr>
          <w:rFonts w:ascii="Arial" w:eastAsia="Arial" w:hAnsi="Arial" w:cs="Arial"/>
          <w:sz w:val="24"/>
          <w:szCs w:val="24"/>
          <w:lang w:val="es-ES"/>
        </w:rPr>
        <w:t>514.0</w:t>
      </w:r>
      <w:r w:rsidRPr="00E37D56">
        <w:rPr>
          <w:rFonts w:ascii="Arial" w:eastAsia="Arial" w:hAnsi="Arial" w:cs="Arial"/>
          <w:sz w:val="24"/>
          <w:szCs w:val="24"/>
          <w:lang w:val="es-ES"/>
        </w:rPr>
        <w:t xml:space="preserve"> millones de pesos, en Incentivos Derivados de la Colabora</w:t>
      </w:r>
      <w:r>
        <w:rPr>
          <w:rFonts w:ascii="Arial" w:eastAsia="Arial" w:hAnsi="Arial" w:cs="Arial"/>
          <w:sz w:val="24"/>
          <w:szCs w:val="24"/>
          <w:lang w:val="es-ES"/>
        </w:rPr>
        <w:t>ción Fiscal, este rubro presentó</w:t>
      </w:r>
      <w:r w:rsidRPr="00E37D56">
        <w:rPr>
          <w:rFonts w:ascii="Arial" w:eastAsia="Arial" w:hAnsi="Arial" w:cs="Arial"/>
          <w:sz w:val="24"/>
          <w:szCs w:val="24"/>
          <w:lang w:val="es-ES"/>
        </w:rPr>
        <w:t xml:space="preserve"> un </w:t>
      </w:r>
      <w:r>
        <w:rPr>
          <w:rFonts w:ascii="Arial" w:eastAsia="Arial" w:hAnsi="Arial" w:cs="Arial"/>
          <w:sz w:val="24"/>
          <w:szCs w:val="24"/>
          <w:lang w:val="es-ES"/>
        </w:rPr>
        <w:t>in</w:t>
      </w:r>
      <w:r w:rsidRPr="00E37D56">
        <w:rPr>
          <w:rFonts w:ascii="Arial" w:eastAsia="Arial" w:hAnsi="Arial" w:cs="Arial"/>
          <w:sz w:val="24"/>
          <w:szCs w:val="24"/>
          <w:lang w:val="es-ES"/>
        </w:rPr>
        <w:t xml:space="preserve">cremento de </w:t>
      </w:r>
      <w:r>
        <w:rPr>
          <w:rFonts w:ascii="Arial" w:eastAsia="Arial" w:hAnsi="Arial" w:cs="Arial"/>
          <w:sz w:val="24"/>
          <w:szCs w:val="24"/>
          <w:lang w:val="es-ES"/>
        </w:rPr>
        <w:t>31.1 por ciento, 430.2</w:t>
      </w:r>
      <w:r w:rsidRPr="00E37D56">
        <w:rPr>
          <w:rFonts w:ascii="Arial" w:eastAsia="Arial" w:hAnsi="Arial" w:cs="Arial"/>
          <w:sz w:val="24"/>
          <w:szCs w:val="24"/>
          <w:lang w:val="es-ES"/>
        </w:rPr>
        <w:t xml:space="preserve"> millones de pesos </w:t>
      </w:r>
      <w:r>
        <w:rPr>
          <w:rFonts w:ascii="Arial" w:eastAsia="Arial" w:hAnsi="Arial" w:cs="Arial"/>
          <w:sz w:val="24"/>
          <w:szCs w:val="24"/>
          <w:lang w:val="es-ES"/>
        </w:rPr>
        <w:t xml:space="preserve">más </w:t>
      </w:r>
      <w:r w:rsidRPr="00E37D56">
        <w:rPr>
          <w:rFonts w:ascii="Arial" w:eastAsia="Arial" w:hAnsi="Arial" w:cs="Arial"/>
          <w:sz w:val="24"/>
          <w:szCs w:val="24"/>
          <w:lang w:val="es-ES"/>
        </w:rPr>
        <w:t>respecto a la estimación, cabe destacar que estos incentivos se presentan en la Ley de Ingresos del Estado de acuerdo a las cifras emitidas por la federación.</w:t>
      </w:r>
    </w:p>
    <w:p w14:paraId="52D7CDEC" w14:textId="77777777" w:rsidR="0046336D" w:rsidRPr="00E37D56" w:rsidRDefault="005C7263" w:rsidP="00C520AA">
      <w:pPr>
        <w:widowControl w:val="0"/>
        <w:tabs>
          <w:tab w:val="left" w:pos="9356"/>
        </w:tabs>
        <w:autoSpaceDE w:val="0"/>
        <w:autoSpaceDN w:val="0"/>
        <w:spacing w:before="160" w:after="0" w:line="276" w:lineRule="auto"/>
        <w:jc w:val="both"/>
        <w:rPr>
          <w:rFonts w:ascii="Arial" w:eastAsia="Arial" w:hAnsi="Arial" w:cs="Arial"/>
          <w:sz w:val="24"/>
          <w:szCs w:val="24"/>
          <w:lang w:val="es-ES"/>
        </w:rPr>
      </w:pPr>
      <w:r>
        <w:rPr>
          <w:rFonts w:ascii="Arial" w:eastAsia="Arial" w:hAnsi="Arial" w:cs="Arial"/>
          <w:sz w:val="24"/>
          <w:szCs w:val="24"/>
          <w:lang w:val="es-ES"/>
        </w:rPr>
        <w:t xml:space="preserve">La cantidad de </w:t>
      </w:r>
      <w:r w:rsidR="0046336D" w:rsidRPr="00E37D56">
        <w:rPr>
          <w:rFonts w:ascii="Arial" w:eastAsia="Arial" w:hAnsi="Arial" w:cs="Arial"/>
          <w:sz w:val="24"/>
          <w:szCs w:val="24"/>
          <w:lang w:val="es-ES"/>
        </w:rPr>
        <w:t>2,</w:t>
      </w:r>
      <w:r w:rsidR="0046336D">
        <w:rPr>
          <w:rFonts w:ascii="Arial" w:eastAsia="Arial" w:hAnsi="Arial" w:cs="Arial"/>
          <w:sz w:val="24"/>
          <w:szCs w:val="24"/>
          <w:lang w:val="es-ES"/>
        </w:rPr>
        <w:t>025,696</w:t>
      </w:r>
      <w:r w:rsidR="0046336D" w:rsidRPr="00E37D56">
        <w:rPr>
          <w:rFonts w:ascii="Arial" w:eastAsia="Arial" w:hAnsi="Arial" w:cs="Arial"/>
          <w:sz w:val="24"/>
          <w:szCs w:val="24"/>
          <w:lang w:val="es-ES"/>
        </w:rPr>
        <w:t xml:space="preserve"> millones de pesos, corresponde a la operación de potenciación de los recursos del Fondo de Aportaciones para el Fortalecimiento de las Entidades Federativas (FAFEF) que le corresponde al Estado, para ser destinados a proyectos de inversión pública y a la obtención de créditos de corto plazo durante el ejercicio 202</w:t>
      </w:r>
      <w:r w:rsidR="0046336D">
        <w:rPr>
          <w:rFonts w:ascii="Arial" w:eastAsia="Arial" w:hAnsi="Arial" w:cs="Arial"/>
          <w:sz w:val="24"/>
          <w:szCs w:val="24"/>
          <w:lang w:val="es-ES"/>
        </w:rPr>
        <w:t>2</w:t>
      </w:r>
      <w:r w:rsidR="0046336D" w:rsidRPr="00E37D56">
        <w:rPr>
          <w:rFonts w:ascii="Arial" w:eastAsia="Arial" w:hAnsi="Arial" w:cs="Arial"/>
          <w:sz w:val="24"/>
          <w:szCs w:val="24"/>
          <w:lang w:val="es-ES"/>
        </w:rPr>
        <w:t>.</w:t>
      </w:r>
    </w:p>
    <w:p w14:paraId="3C03B1C6" w14:textId="77777777" w:rsidR="0046336D" w:rsidRDefault="0046336D" w:rsidP="00C520AA">
      <w:pPr>
        <w:widowControl w:val="0"/>
        <w:tabs>
          <w:tab w:val="left" w:pos="9356"/>
        </w:tabs>
        <w:autoSpaceDE w:val="0"/>
        <w:autoSpaceDN w:val="0"/>
        <w:spacing w:before="160"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t>En este sentido, en el mes de agosto de 2021, se hizo efectiva la operación de potenciación de los recursos del FAFEF, por lo que se suscribió el Contrato de Apertura de Crédito Simple, con fecha 27 de agosto de 2021, entre Banco Nacional de Obras y Servicios Públicos, S.N.C., Institución de Banca de Desarrollo, como acreditante y el Estado Libre y Soberano de Quintana Roo como acr</w:t>
      </w:r>
      <w:r w:rsidR="005C7263">
        <w:rPr>
          <w:rFonts w:ascii="Arial" w:eastAsia="Arial" w:hAnsi="Arial" w:cs="Arial"/>
          <w:sz w:val="24"/>
          <w:szCs w:val="24"/>
          <w:lang w:val="es-ES"/>
        </w:rPr>
        <w:t xml:space="preserve">editado, por un monto de hasta </w:t>
      </w:r>
      <w:r w:rsidRPr="00E37D56">
        <w:rPr>
          <w:rFonts w:ascii="Arial" w:eastAsia="Arial" w:hAnsi="Arial" w:cs="Arial"/>
          <w:sz w:val="24"/>
          <w:szCs w:val="24"/>
          <w:lang w:val="es-ES"/>
        </w:rPr>
        <w:t xml:space="preserve">820.0 millones de pesos del cual al cierre del ejercicio 2021 se llevaron a cabo dos fases de desembolso, por un </w:t>
      </w:r>
      <w:r w:rsidR="005C7263">
        <w:rPr>
          <w:rFonts w:ascii="Arial" w:eastAsia="Arial" w:hAnsi="Arial" w:cs="Arial"/>
          <w:sz w:val="24"/>
          <w:szCs w:val="24"/>
          <w:lang w:val="es-ES"/>
        </w:rPr>
        <w:t xml:space="preserve">monto de </w:t>
      </w:r>
      <w:r w:rsidRPr="00E37D56">
        <w:rPr>
          <w:rFonts w:ascii="Arial" w:eastAsia="Arial" w:hAnsi="Arial" w:cs="Arial"/>
          <w:sz w:val="24"/>
          <w:szCs w:val="24"/>
          <w:lang w:val="es-ES"/>
        </w:rPr>
        <w:t xml:space="preserve">644.3 millones de pesos </w:t>
      </w:r>
      <w:r>
        <w:rPr>
          <w:rFonts w:ascii="Arial" w:eastAsia="Arial" w:hAnsi="Arial" w:cs="Arial"/>
          <w:sz w:val="24"/>
          <w:szCs w:val="24"/>
          <w:lang w:val="es-ES"/>
        </w:rPr>
        <w:t>y al cierre del ejercicio 2022 se concluyó con la disposiciones (tercera y cuarta) del saldo</w:t>
      </w:r>
      <w:r w:rsidR="005C7263">
        <w:rPr>
          <w:rFonts w:ascii="Arial" w:eastAsia="Arial" w:hAnsi="Arial" w:cs="Arial"/>
          <w:sz w:val="24"/>
          <w:szCs w:val="24"/>
          <w:lang w:val="es-ES"/>
        </w:rPr>
        <w:t xml:space="preserve"> de </w:t>
      </w:r>
      <w:r w:rsidRPr="00E37D56">
        <w:rPr>
          <w:rFonts w:ascii="Arial" w:eastAsia="Arial" w:hAnsi="Arial" w:cs="Arial"/>
          <w:sz w:val="24"/>
          <w:szCs w:val="24"/>
          <w:lang w:val="es-ES"/>
        </w:rPr>
        <w:t>175.7 millones de pesos</w:t>
      </w:r>
      <w:r>
        <w:rPr>
          <w:rFonts w:ascii="Arial" w:eastAsia="Arial" w:hAnsi="Arial" w:cs="Arial"/>
          <w:sz w:val="24"/>
          <w:szCs w:val="24"/>
          <w:lang w:val="es-ES"/>
        </w:rPr>
        <w:t>.</w:t>
      </w:r>
    </w:p>
    <w:p w14:paraId="74C7C701" w14:textId="77777777" w:rsidR="00C520AA" w:rsidRDefault="00C520AA" w:rsidP="0046336D">
      <w:pPr>
        <w:autoSpaceDE w:val="0"/>
        <w:autoSpaceDN w:val="0"/>
        <w:adjustRightInd w:val="0"/>
        <w:spacing w:after="0" w:line="276" w:lineRule="auto"/>
        <w:ind w:left="360"/>
        <w:jc w:val="both"/>
        <w:rPr>
          <w:rFonts w:ascii="Arial" w:eastAsia="Arial" w:hAnsi="Arial" w:cs="Arial"/>
          <w:sz w:val="24"/>
          <w:szCs w:val="24"/>
          <w:lang w:val="es-ES"/>
        </w:rPr>
      </w:pPr>
    </w:p>
    <w:p w14:paraId="2F2A558B" w14:textId="77777777" w:rsidR="0046336D" w:rsidRPr="00E37D56" w:rsidRDefault="0046336D" w:rsidP="00C520AA">
      <w:pPr>
        <w:widowControl w:val="0"/>
        <w:autoSpaceDE w:val="0"/>
        <w:autoSpaceDN w:val="0"/>
        <w:spacing w:after="0" w:line="276" w:lineRule="auto"/>
        <w:jc w:val="both"/>
        <w:rPr>
          <w:rFonts w:ascii="Arial" w:eastAsia="Arial" w:hAnsi="Arial" w:cs="Arial"/>
          <w:sz w:val="24"/>
          <w:szCs w:val="24"/>
        </w:rPr>
      </w:pPr>
      <w:r w:rsidRPr="00E37D56">
        <w:rPr>
          <w:rFonts w:ascii="Arial" w:eastAsia="Arial" w:hAnsi="Arial" w:cs="Arial"/>
          <w:sz w:val="24"/>
          <w:szCs w:val="24"/>
        </w:rPr>
        <w:t xml:space="preserve">La </w:t>
      </w:r>
      <w:r>
        <w:rPr>
          <w:rFonts w:ascii="Arial" w:eastAsia="Arial" w:hAnsi="Arial" w:cs="Arial"/>
          <w:sz w:val="24"/>
          <w:szCs w:val="24"/>
        </w:rPr>
        <w:t>tercera disposición se efectuó el 2</w:t>
      </w:r>
      <w:r w:rsidRPr="00E37D56">
        <w:rPr>
          <w:rFonts w:ascii="Arial" w:eastAsia="Arial" w:hAnsi="Arial" w:cs="Arial"/>
          <w:sz w:val="24"/>
          <w:szCs w:val="24"/>
        </w:rPr>
        <w:t xml:space="preserve">5 de </w:t>
      </w:r>
      <w:r>
        <w:rPr>
          <w:rFonts w:ascii="Arial" w:eastAsia="Arial" w:hAnsi="Arial" w:cs="Arial"/>
          <w:sz w:val="24"/>
          <w:szCs w:val="24"/>
        </w:rPr>
        <w:t>febrero</w:t>
      </w:r>
      <w:r w:rsidRPr="00E37D56">
        <w:rPr>
          <w:rFonts w:ascii="Arial" w:eastAsia="Arial" w:hAnsi="Arial" w:cs="Arial"/>
          <w:sz w:val="24"/>
          <w:szCs w:val="24"/>
        </w:rPr>
        <w:t xml:space="preserve"> de 202</w:t>
      </w:r>
      <w:r>
        <w:rPr>
          <w:rFonts w:ascii="Arial" w:eastAsia="Arial" w:hAnsi="Arial" w:cs="Arial"/>
          <w:sz w:val="24"/>
          <w:szCs w:val="24"/>
        </w:rPr>
        <w:t>2</w:t>
      </w:r>
      <w:r w:rsidRPr="00E37D56">
        <w:rPr>
          <w:rFonts w:ascii="Arial" w:eastAsia="Arial" w:hAnsi="Arial" w:cs="Arial"/>
          <w:sz w:val="24"/>
          <w:szCs w:val="24"/>
        </w:rPr>
        <w:t>, por un total de $</w:t>
      </w:r>
      <w:r>
        <w:rPr>
          <w:rFonts w:ascii="Arial" w:eastAsia="Arial" w:hAnsi="Arial" w:cs="Arial"/>
          <w:sz w:val="24"/>
          <w:szCs w:val="24"/>
        </w:rPr>
        <w:t>101.5</w:t>
      </w:r>
      <w:r w:rsidRPr="00E37D56">
        <w:rPr>
          <w:rFonts w:ascii="Arial" w:eastAsia="Arial" w:hAnsi="Arial" w:cs="Arial"/>
          <w:sz w:val="24"/>
          <w:szCs w:val="24"/>
        </w:rPr>
        <w:t xml:space="preserve"> millones de pesos, los cuales fueron destinados para el pago total o parcial de los proyectos de inversión pública productiva, establecidos en el artículo 4 del Decreto de autorización.</w:t>
      </w:r>
    </w:p>
    <w:p w14:paraId="062089CB" w14:textId="77777777" w:rsidR="0046336D" w:rsidRPr="00E37D56" w:rsidRDefault="0046336D" w:rsidP="00C520AA">
      <w:pPr>
        <w:widowControl w:val="0"/>
        <w:autoSpaceDE w:val="0"/>
        <w:autoSpaceDN w:val="0"/>
        <w:spacing w:after="0" w:line="240" w:lineRule="auto"/>
        <w:jc w:val="both"/>
        <w:rPr>
          <w:rFonts w:ascii="Arial" w:eastAsia="Arial" w:hAnsi="Arial" w:cs="Arial"/>
          <w:sz w:val="20"/>
          <w:szCs w:val="24"/>
          <w:lang w:val="es-ES"/>
        </w:rPr>
      </w:pPr>
    </w:p>
    <w:p w14:paraId="2952F17C" w14:textId="77777777" w:rsidR="0046336D" w:rsidRPr="00E37D56" w:rsidRDefault="0046336D" w:rsidP="00C520AA">
      <w:pPr>
        <w:autoSpaceDE w:val="0"/>
        <w:autoSpaceDN w:val="0"/>
        <w:adjustRightInd w:val="0"/>
        <w:spacing w:after="0" w:line="276" w:lineRule="auto"/>
        <w:jc w:val="both"/>
        <w:rPr>
          <w:rFonts w:ascii="Arial" w:eastAsia="Trebuchet MS" w:hAnsi="Arial" w:cs="Arial"/>
          <w:sz w:val="24"/>
          <w:szCs w:val="24"/>
        </w:rPr>
      </w:pPr>
      <w:r w:rsidRPr="00E37D56">
        <w:rPr>
          <w:rFonts w:ascii="Arial" w:eastAsia="Trebuchet MS" w:hAnsi="Arial" w:cs="Arial"/>
          <w:sz w:val="24"/>
          <w:szCs w:val="24"/>
        </w:rPr>
        <w:t xml:space="preserve">El </w:t>
      </w:r>
      <w:r>
        <w:rPr>
          <w:rFonts w:ascii="Arial" w:eastAsia="Trebuchet MS" w:hAnsi="Arial" w:cs="Arial"/>
          <w:sz w:val="24"/>
          <w:szCs w:val="24"/>
        </w:rPr>
        <w:t>cuarto</w:t>
      </w:r>
      <w:r w:rsidRPr="00E37D56">
        <w:rPr>
          <w:rFonts w:ascii="Arial" w:eastAsia="Trebuchet MS" w:hAnsi="Arial" w:cs="Arial"/>
          <w:sz w:val="24"/>
          <w:szCs w:val="24"/>
        </w:rPr>
        <w:t xml:space="preserve"> desembolso se realizó con fecha </w:t>
      </w:r>
      <w:r>
        <w:rPr>
          <w:rFonts w:ascii="Arial" w:eastAsia="Trebuchet MS" w:hAnsi="Arial" w:cs="Arial"/>
          <w:sz w:val="24"/>
          <w:szCs w:val="24"/>
        </w:rPr>
        <w:t>26</w:t>
      </w:r>
      <w:r w:rsidRPr="00E37D56">
        <w:rPr>
          <w:rFonts w:ascii="Arial" w:eastAsia="Trebuchet MS" w:hAnsi="Arial" w:cs="Arial"/>
          <w:sz w:val="24"/>
          <w:szCs w:val="24"/>
        </w:rPr>
        <w:t xml:space="preserve"> de </w:t>
      </w:r>
      <w:r>
        <w:rPr>
          <w:rFonts w:ascii="Arial" w:eastAsia="Trebuchet MS" w:hAnsi="Arial" w:cs="Arial"/>
          <w:sz w:val="24"/>
          <w:szCs w:val="24"/>
        </w:rPr>
        <w:t>mayo de 2022,</w:t>
      </w:r>
      <w:r w:rsidRPr="00E37D56">
        <w:rPr>
          <w:rFonts w:ascii="Arial" w:eastAsia="Trebuchet MS" w:hAnsi="Arial" w:cs="Arial"/>
          <w:sz w:val="24"/>
          <w:szCs w:val="24"/>
        </w:rPr>
        <w:t xml:space="preserve"> </w:t>
      </w:r>
      <w:r w:rsidRPr="002542F2">
        <w:rPr>
          <w:rFonts w:ascii="Arial" w:eastAsia="Trebuchet MS" w:hAnsi="Arial" w:cs="Arial"/>
          <w:sz w:val="24"/>
          <w:szCs w:val="24"/>
        </w:rPr>
        <w:t>por la cantidad de</w:t>
      </w:r>
      <w:r w:rsidR="005C7263">
        <w:rPr>
          <w:rFonts w:ascii="Arial" w:eastAsia="Trebuchet MS" w:hAnsi="Arial" w:cs="Arial"/>
          <w:sz w:val="24"/>
          <w:szCs w:val="24"/>
        </w:rPr>
        <w:t xml:space="preserve"> </w:t>
      </w:r>
      <w:r>
        <w:rPr>
          <w:rFonts w:ascii="Arial" w:eastAsia="Trebuchet MS" w:hAnsi="Arial" w:cs="Arial"/>
          <w:sz w:val="24"/>
          <w:szCs w:val="24"/>
        </w:rPr>
        <w:t>74.2</w:t>
      </w:r>
      <w:r w:rsidRPr="00E37D56">
        <w:rPr>
          <w:rFonts w:ascii="Arial" w:eastAsia="Trebuchet MS" w:hAnsi="Arial" w:cs="Arial"/>
          <w:sz w:val="24"/>
          <w:szCs w:val="24"/>
        </w:rPr>
        <w:t xml:space="preserve"> millones de pesos, los cuales de igual manera fueron destinados para el pago </w:t>
      </w:r>
      <w:r w:rsidRPr="00E37D56">
        <w:rPr>
          <w:rFonts w:ascii="Arial" w:eastAsia="Trebuchet MS" w:hAnsi="Arial" w:cs="Arial"/>
          <w:sz w:val="24"/>
          <w:szCs w:val="24"/>
        </w:rPr>
        <w:lastRenderedPageBreak/>
        <w:t>total o parcial de los proyectos de inversión pública productiva, establecidos en el artículo 4 del Decreto de autorización.</w:t>
      </w:r>
    </w:p>
    <w:p w14:paraId="6E06F97C" w14:textId="77777777" w:rsidR="0046336D" w:rsidRPr="00E37D56" w:rsidRDefault="0046336D" w:rsidP="0046336D">
      <w:pPr>
        <w:widowControl w:val="0"/>
        <w:autoSpaceDE w:val="0"/>
        <w:autoSpaceDN w:val="0"/>
        <w:spacing w:after="0" w:line="240" w:lineRule="auto"/>
        <w:jc w:val="both"/>
        <w:rPr>
          <w:rFonts w:ascii="Arial" w:eastAsia="Arial" w:hAnsi="Arial" w:cs="Arial"/>
          <w:sz w:val="24"/>
          <w:szCs w:val="24"/>
          <w:lang w:val="es-ES"/>
        </w:rPr>
      </w:pPr>
    </w:p>
    <w:p w14:paraId="1C9E0947" w14:textId="77777777" w:rsidR="0046336D" w:rsidRPr="00E37D56" w:rsidRDefault="0046336D" w:rsidP="0046336D">
      <w:pPr>
        <w:autoSpaceDE w:val="0"/>
        <w:autoSpaceDN w:val="0"/>
        <w:adjustRightInd w:val="0"/>
        <w:spacing w:after="0" w:line="276" w:lineRule="auto"/>
        <w:jc w:val="both"/>
        <w:rPr>
          <w:rFonts w:ascii="Arial" w:eastAsia="Trebuchet MS" w:hAnsi="Arial" w:cs="Arial"/>
          <w:sz w:val="24"/>
          <w:szCs w:val="24"/>
        </w:rPr>
      </w:pPr>
      <w:r w:rsidRPr="00E37D56">
        <w:rPr>
          <w:rFonts w:ascii="Arial" w:eastAsia="Trebuchet MS" w:hAnsi="Arial" w:cs="Arial"/>
          <w:sz w:val="24"/>
          <w:szCs w:val="24"/>
        </w:rPr>
        <w:t xml:space="preserve">En cuanto a la contratación de compromisos de corto plazo, </w:t>
      </w:r>
      <w:r>
        <w:rPr>
          <w:rFonts w:ascii="Arial" w:eastAsia="Trebuchet MS" w:hAnsi="Arial" w:cs="Arial"/>
          <w:sz w:val="24"/>
          <w:szCs w:val="24"/>
        </w:rPr>
        <w:t>en el ejercicio 2022,</w:t>
      </w:r>
      <w:r w:rsidRPr="00E37D56">
        <w:rPr>
          <w:rFonts w:ascii="Arial" w:eastAsia="Trebuchet MS" w:hAnsi="Arial" w:cs="Arial"/>
          <w:sz w:val="24"/>
          <w:szCs w:val="24"/>
        </w:rPr>
        <w:t xml:space="preserve"> el Estado recurrió a estos mecanismos para</w:t>
      </w:r>
      <w:r>
        <w:rPr>
          <w:rFonts w:ascii="Arial" w:eastAsia="Trebuchet MS" w:hAnsi="Arial" w:cs="Arial"/>
          <w:sz w:val="24"/>
          <w:szCs w:val="24"/>
        </w:rPr>
        <w:t xml:space="preserve"> cubrir sus necesidades de liquidez</w:t>
      </w:r>
      <w:r w:rsidRPr="00E37D56">
        <w:rPr>
          <w:rFonts w:ascii="Arial" w:eastAsia="Trebuchet MS" w:hAnsi="Arial" w:cs="Arial"/>
          <w:sz w:val="24"/>
          <w:szCs w:val="24"/>
        </w:rPr>
        <w:t xml:space="preserve">. Dichos créditos se documentaron a través de </w:t>
      </w:r>
      <w:r>
        <w:rPr>
          <w:rFonts w:ascii="Arial" w:eastAsia="Trebuchet MS" w:hAnsi="Arial" w:cs="Arial"/>
          <w:sz w:val="24"/>
          <w:szCs w:val="24"/>
        </w:rPr>
        <w:t>3</w:t>
      </w:r>
      <w:r w:rsidRPr="00E37D56">
        <w:rPr>
          <w:rFonts w:ascii="Arial" w:eastAsia="Trebuchet MS" w:hAnsi="Arial" w:cs="Arial"/>
          <w:sz w:val="24"/>
          <w:szCs w:val="24"/>
        </w:rPr>
        <w:t xml:space="preserve"> instrume</w:t>
      </w:r>
      <w:r w:rsidR="005C7263">
        <w:rPr>
          <w:rFonts w:ascii="Arial" w:eastAsia="Trebuchet MS" w:hAnsi="Arial" w:cs="Arial"/>
          <w:sz w:val="24"/>
          <w:szCs w:val="24"/>
        </w:rPr>
        <w:t xml:space="preserve">ntos jurídicos por un total de </w:t>
      </w:r>
      <w:r>
        <w:rPr>
          <w:rFonts w:ascii="Arial" w:eastAsia="Trebuchet MS" w:hAnsi="Arial" w:cs="Arial"/>
          <w:sz w:val="24"/>
          <w:szCs w:val="24"/>
        </w:rPr>
        <w:t>1,850.0</w:t>
      </w:r>
      <w:r w:rsidRPr="00E37D56">
        <w:rPr>
          <w:rFonts w:ascii="Arial" w:eastAsia="Trebuchet MS" w:hAnsi="Arial" w:cs="Arial"/>
          <w:sz w:val="24"/>
          <w:szCs w:val="24"/>
        </w:rPr>
        <w:t xml:space="preserve"> millones</w:t>
      </w:r>
      <w:r w:rsidR="005C7263">
        <w:rPr>
          <w:rFonts w:ascii="Arial" w:eastAsia="Trebuchet MS" w:hAnsi="Arial" w:cs="Arial"/>
          <w:sz w:val="24"/>
          <w:szCs w:val="24"/>
        </w:rPr>
        <w:t xml:space="preserve"> de pesos</w:t>
      </w:r>
      <w:r w:rsidRPr="00E37D56">
        <w:rPr>
          <w:rFonts w:ascii="Arial" w:eastAsia="Trebuchet MS" w:hAnsi="Arial" w:cs="Arial"/>
          <w:sz w:val="24"/>
          <w:szCs w:val="24"/>
        </w:rPr>
        <w:t>.</w:t>
      </w:r>
    </w:p>
    <w:p w14:paraId="75D6ACC0" w14:textId="77777777" w:rsidR="0046336D" w:rsidRPr="00E37D56" w:rsidRDefault="0046336D" w:rsidP="0046336D">
      <w:pPr>
        <w:autoSpaceDE w:val="0"/>
        <w:autoSpaceDN w:val="0"/>
        <w:adjustRightInd w:val="0"/>
        <w:spacing w:after="0" w:line="276" w:lineRule="auto"/>
        <w:jc w:val="both"/>
        <w:rPr>
          <w:rFonts w:ascii="Arial" w:eastAsia="Trebuchet MS" w:hAnsi="Arial" w:cs="Arial"/>
          <w:sz w:val="24"/>
          <w:szCs w:val="24"/>
        </w:rPr>
      </w:pPr>
    </w:p>
    <w:p w14:paraId="47AE3849" w14:textId="77777777" w:rsidR="0046336D" w:rsidRPr="00E37D56" w:rsidRDefault="0046336D" w:rsidP="0046336D">
      <w:pPr>
        <w:autoSpaceDE w:val="0"/>
        <w:autoSpaceDN w:val="0"/>
        <w:adjustRightInd w:val="0"/>
        <w:spacing w:after="0" w:line="276" w:lineRule="auto"/>
        <w:jc w:val="both"/>
        <w:rPr>
          <w:rFonts w:ascii="Arial" w:eastAsia="Trebuchet MS" w:hAnsi="Arial" w:cs="Arial"/>
          <w:sz w:val="24"/>
          <w:szCs w:val="24"/>
        </w:rPr>
      </w:pPr>
      <w:r w:rsidRPr="00E37D56">
        <w:rPr>
          <w:rFonts w:ascii="Arial" w:eastAsia="Trebuchet MS" w:hAnsi="Arial" w:cs="Arial"/>
          <w:sz w:val="24"/>
          <w:szCs w:val="24"/>
        </w:rPr>
        <w:t xml:space="preserve">Estas contrataciones se hicieron mediante proceso competitivo, a un plazo máximo de </w:t>
      </w:r>
      <w:r>
        <w:rPr>
          <w:rFonts w:ascii="Arial" w:eastAsia="Trebuchet MS" w:hAnsi="Arial" w:cs="Arial"/>
          <w:sz w:val="24"/>
          <w:szCs w:val="24"/>
        </w:rPr>
        <w:t>12</w:t>
      </w:r>
      <w:r w:rsidRPr="00E37D56">
        <w:rPr>
          <w:rFonts w:ascii="Arial" w:eastAsia="Trebuchet MS" w:hAnsi="Arial" w:cs="Arial"/>
          <w:sz w:val="24"/>
          <w:szCs w:val="24"/>
        </w:rPr>
        <w:t xml:space="preserve"> meses y cumpliendo con los límites de Techo de Financiamiento Neto establecidos en la Ley de Disciplina Financiera de las Entidades Federativas y los Municipios.</w:t>
      </w:r>
    </w:p>
    <w:p w14:paraId="01B23026" w14:textId="77777777" w:rsidR="0046336D" w:rsidRPr="00E37D56" w:rsidRDefault="0046336D" w:rsidP="0046336D">
      <w:pPr>
        <w:rPr>
          <w:rFonts w:ascii="Arial" w:eastAsia="Arial" w:hAnsi="Arial" w:cs="Arial"/>
          <w:sz w:val="24"/>
          <w:szCs w:val="24"/>
          <w:lang w:val="es-ES"/>
        </w:rPr>
      </w:pPr>
    </w:p>
    <w:p w14:paraId="2BEDDD4D" w14:textId="77777777" w:rsidR="0046336D" w:rsidRPr="00E37D56" w:rsidRDefault="0046336D" w:rsidP="00683FD0">
      <w:pPr>
        <w:keepNext/>
        <w:keepLines/>
        <w:numPr>
          <w:ilvl w:val="0"/>
          <w:numId w:val="8"/>
        </w:numPr>
        <w:spacing w:before="40" w:after="0"/>
        <w:outlineLvl w:val="1"/>
        <w:rPr>
          <w:rFonts w:ascii="Arial" w:eastAsia="Times New Roman" w:hAnsi="Arial" w:cs="Arial"/>
          <w:b/>
          <w:color w:val="000000"/>
          <w:sz w:val="24"/>
          <w:szCs w:val="26"/>
        </w:rPr>
      </w:pPr>
      <w:bookmarkStart w:id="83" w:name="_Toc95496693"/>
      <w:bookmarkStart w:id="84" w:name="_Toc158567504"/>
      <w:r w:rsidRPr="00E37D56">
        <w:rPr>
          <w:rFonts w:ascii="Arial" w:eastAsia="Times New Roman" w:hAnsi="Arial" w:cs="Arial"/>
          <w:b/>
          <w:color w:val="000000"/>
          <w:sz w:val="24"/>
          <w:szCs w:val="26"/>
        </w:rPr>
        <w:t>Gasto Presupuestario</w:t>
      </w:r>
      <w:bookmarkEnd w:id="83"/>
      <w:bookmarkEnd w:id="84"/>
    </w:p>
    <w:p w14:paraId="5F4F8EFE" w14:textId="77777777" w:rsidR="0046336D" w:rsidRPr="00E37D56" w:rsidRDefault="0046336D" w:rsidP="0046336D">
      <w:pPr>
        <w:widowControl w:val="0"/>
        <w:autoSpaceDE w:val="0"/>
        <w:autoSpaceDN w:val="0"/>
        <w:spacing w:before="10" w:after="0" w:line="276" w:lineRule="auto"/>
        <w:ind w:left="-284" w:right="142"/>
        <w:jc w:val="both"/>
        <w:rPr>
          <w:rFonts w:ascii="Arial" w:eastAsia="Arial" w:hAnsi="Arial" w:cs="Arial"/>
          <w:b/>
          <w:sz w:val="16"/>
          <w:szCs w:val="24"/>
          <w:lang w:val="es-ES"/>
        </w:rPr>
      </w:pPr>
    </w:p>
    <w:p w14:paraId="0A2D83B6" w14:textId="77777777" w:rsidR="0046336D" w:rsidRPr="00E37D56" w:rsidRDefault="0046336D" w:rsidP="0046336D">
      <w:pPr>
        <w:keepNext/>
        <w:keepLines/>
        <w:spacing w:before="40" w:after="0"/>
        <w:ind w:left="360"/>
        <w:outlineLvl w:val="2"/>
        <w:rPr>
          <w:rFonts w:ascii="Arial" w:eastAsia="Times New Roman" w:hAnsi="Arial" w:cs="Arial"/>
          <w:b/>
          <w:color w:val="262626"/>
          <w:sz w:val="24"/>
          <w:szCs w:val="24"/>
        </w:rPr>
      </w:pPr>
      <w:bookmarkStart w:id="85" w:name="_Toc95496694"/>
      <w:bookmarkStart w:id="86" w:name="_Toc158567505"/>
      <w:r w:rsidRPr="00E37D56">
        <w:rPr>
          <w:rFonts w:ascii="Arial" w:eastAsia="Times New Roman" w:hAnsi="Arial" w:cs="Arial"/>
          <w:b/>
          <w:color w:val="262626"/>
          <w:sz w:val="24"/>
          <w:szCs w:val="24"/>
        </w:rPr>
        <w:t>I. Presupuesto de Egresos Autorizado y Devengado</w:t>
      </w:r>
      <w:bookmarkEnd w:id="85"/>
      <w:bookmarkEnd w:id="86"/>
    </w:p>
    <w:p w14:paraId="0F22A401" w14:textId="77777777" w:rsidR="0046336D" w:rsidRPr="00E37D56" w:rsidRDefault="0046336D" w:rsidP="0046336D">
      <w:pPr>
        <w:spacing w:before="1" w:line="276" w:lineRule="auto"/>
        <w:ind w:left="-284" w:right="142" w:firstLine="708"/>
        <w:jc w:val="both"/>
        <w:rPr>
          <w:rFonts w:ascii="Arial" w:eastAsia="Trebuchet MS" w:hAnsi="Arial" w:cs="Arial"/>
          <w:b/>
          <w:sz w:val="14"/>
          <w:szCs w:val="24"/>
        </w:rPr>
      </w:pPr>
    </w:p>
    <w:p w14:paraId="3EFA6765" w14:textId="77777777" w:rsidR="0046336D" w:rsidRPr="002641A5" w:rsidRDefault="0046336D" w:rsidP="00C520AA">
      <w:pPr>
        <w:spacing w:line="276" w:lineRule="auto"/>
        <w:jc w:val="both"/>
        <w:rPr>
          <w:rFonts w:ascii="Arial" w:eastAsia="Trebuchet MS" w:hAnsi="Arial" w:cs="Arial"/>
          <w:sz w:val="24"/>
          <w:szCs w:val="24"/>
        </w:rPr>
      </w:pPr>
      <w:r w:rsidRPr="00E37D56">
        <w:rPr>
          <w:rFonts w:ascii="Arial" w:eastAsia="Trebuchet MS" w:hAnsi="Arial" w:cs="Arial"/>
          <w:sz w:val="24"/>
          <w:szCs w:val="24"/>
        </w:rPr>
        <w:t xml:space="preserve">Acorde al decreto publicado el </w:t>
      </w:r>
      <w:r>
        <w:rPr>
          <w:rFonts w:ascii="Arial" w:eastAsia="Trebuchet MS" w:hAnsi="Arial" w:cs="Arial"/>
          <w:sz w:val="24"/>
          <w:szCs w:val="24"/>
        </w:rPr>
        <w:t>21</w:t>
      </w:r>
      <w:r w:rsidRPr="00E37D56">
        <w:rPr>
          <w:rFonts w:ascii="Arial" w:eastAsia="Trebuchet MS" w:hAnsi="Arial" w:cs="Arial"/>
          <w:sz w:val="24"/>
          <w:szCs w:val="24"/>
        </w:rPr>
        <w:t xml:space="preserve"> de diciembre del año 202</w:t>
      </w:r>
      <w:r>
        <w:rPr>
          <w:rFonts w:ascii="Arial" w:eastAsia="Trebuchet MS" w:hAnsi="Arial" w:cs="Arial"/>
          <w:sz w:val="24"/>
          <w:szCs w:val="24"/>
        </w:rPr>
        <w:t>1</w:t>
      </w:r>
      <w:r w:rsidRPr="00E37D56">
        <w:rPr>
          <w:rFonts w:ascii="Arial" w:eastAsia="Trebuchet MS" w:hAnsi="Arial" w:cs="Arial"/>
          <w:sz w:val="24"/>
          <w:szCs w:val="24"/>
        </w:rPr>
        <w:t>, el Honorable Congreso del Estado de Quintana Roo, por conducto de la XVI Legislatura aprobó el Presupuesto de Egresos para el ejercicio fiscal 202</w:t>
      </w:r>
      <w:r>
        <w:rPr>
          <w:rFonts w:ascii="Arial" w:eastAsia="Trebuchet MS" w:hAnsi="Arial" w:cs="Arial"/>
          <w:sz w:val="24"/>
          <w:szCs w:val="24"/>
        </w:rPr>
        <w:t>2</w:t>
      </w:r>
      <w:r w:rsidRPr="00E37D56">
        <w:rPr>
          <w:rFonts w:ascii="Arial" w:eastAsia="Trebuchet MS" w:hAnsi="Arial" w:cs="Arial"/>
          <w:sz w:val="24"/>
          <w:szCs w:val="24"/>
        </w:rPr>
        <w:t xml:space="preserve"> por un monto de </w:t>
      </w:r>
      <w:r>
        <w:rPr>
          <w:rFonts w:ascii="Arial" w:eastAsia="Trebuchet MS" w:hAnsi="Arial" w:cs="Arial"/>
          <w:sz w:val="24"/>
          <w:szCs w:val="24"/>
        </w:rPr>
        <w:t>34,611.2</w:t>
      </w:r>
      <w:r w:rsidRPr="00E37D56">
        <w:rPr>
          <w:rFonts w:ascii="Arial" w:eastAsia="Trebuchet MS" w:hAnsi="Arial" w:cs="Arial"/>
          <w:sz w:val="24"/>
          <w:szCs w:val="24"/>
        </w:rPr>
        <w:t xml:space="preserve"> millones de pesos en los ramos administr</w:t>
      </w:r>
      <w:r>
        <w:rPr>
          <w:rFonts w:ascii="Arial" w:eastAsia="Trebuchet MS" w:hAnsi="Arial" w:cs="Arial"/>
          <w:sz w:val="24"/>
          <w:szCs w:val="24"/>
        </w:rPr>
        <w:t>ativos del Gobierno del Estado.</w:t>
      </w:r>
    </w:p>
    <w:p w14:paraId="275D6DE7" w14:textId="77777777" w:rsidR="0046336D" w:rsidRDefault="0046336D" w:rsidP="00C520AA">
      <w:pPr>
        <w:spacing w:before="1" w:line="276" w:lineRule="auto"/>
        <w:jc w:val="both"/>
        <w:rPr>
          <w:rFonts w:ascii="Arial" w:eastAsia="Trebuchet MS" w:hAnsi="Arial" w:cs="Arial"/>
          <w:sz w:val="24"/>
          <w:szCs w:val="24"/>
        </w:rPr>
      </w:pPr>
      <w:r w:rsidRPr="00E37D56">
        <w:rPr>
          <w:rFonts w:ascii="Arial" w:eastAsia="Trebuchet MS" w:hAnsi="Arial" w:cs="Arial"/>
          <w:sz w:val="24"/>
          <w:szCs w:val="24"/>
        </w:rPr>
        <w:t>En resumen, al cierre del ejercicio 202</w:t>
      </w:r>
      <w:r>
        <w:rPr>
          <w:rFonts w:ascii="Arial" w:eastAsia="Trebuchet MS" w:hAnsi="Arial" w:cs="Arial"/>
          <w:sz w:val="24"/>
          <w:szCs w:val="24"/>
        </w:rPr>
        <w:t>2</w:t>
      </w:r>
      <w:r w:rsidRPr="00E37D56">
        <w:rPr>
          <w:rFonts w:ascii="Arial" w:eastAsia="Trebuchet MS" w:hAnsi="Arial" w:cs="Arial"/>
          <w:sz w:val="24"/>
          <w:szCs w:val="24"/>
        </w:rPr>
        <w:t xml:space="preserve">, mediante la ejecución del Presupuesto de Egresos se devengaron </w:t>
      </w:r>
      <w:r>
        <w:rPr>
          <w:rFonts w:ascii="Arial" w:eastAsia="Trebuchet MS" w:hAnsi="Arial" w:cs="Arial"/>
          <w:sz w:val="24"/>
          <w:szCs w:val="24"/>
        </w:rPr>
        <w:t>42</w:t>
      </w:r>
      <w:r w:rsidRPr="00F203FE">
        <w:rPr>
          <w:rFonts w:ascii="Arial" w:eastAsia="Trebuchet MS" w:hAnsi="Arial" w:cs="Arial"/>
          <w:sz w:val="24"/>
          <w:szCs w:val="24"/>
        </w:rPr>
        <w:t>,</w:t>
      </w:r>
      <w:r>
        <w:rPr>
          <w:rFonts w:ascii="Arial" w:eastAsia="Trebuchet MS" w:hAnsi="Arial" w:cs="Arial"/>
          <w:sz w:val="24"/>
          <w:szCs w:val="24"/>
        </w:rPr>
        <w:t>438.2</w:t>
      </w:r>
      <w:r w:rsidRPr="00E37D56">
        <w:rPr>
          <w:rFonts w:ascii="Arial" w:eastAsia="Trebuchet MS" w:hAnsi="Arial" w:cs="Arial"/>
          <w:sz w:val="24"/>
          <w:szCs w:val="24"/>
        </w:rPr>
        <w:t xml:space="preserve"> millones de </w:t>
      </w:r>
      <w:r>
        <w:rPr>
          <w:rFonts w:ascii="Arial" w:eastAsia="Trebuchet MS" w:hAnsi="Arial" w:cs="Arial"/>
          <w:sz w:val="24"/>
          <w:szCs w:val="24"/>
        </w:rPr>
        <w:t>pesos</w:t>
      </w:r>
      <w:r w:rsidRPr="00E37D56">
        <w:rPr>
          <w:rFonts w:ascii="Arial" w:eastAsia="Trebuchet MS" w:hAnsi="Arial" w:cs="Arial"/>
          <w:sz w:val="24"/>
          <w:szCs w:val="24"/>
        </w:rPr>
        <w:t xml:space="preserve"> (</w:t>
      </w:r>
      <w:r>
        <w:rPr>
          <w:rFonts w:ascii="Arial" w:eastAsia="Trebuchet MS" w:hAnsi="Arial" w:cs="Arial"/>
          <w:sz w:val="24"/>
          <w:szCs w:val="24"/>
        </w:rPr>
        <w:t>42,444.7</w:t>
      </w:r>
      <w:r w:rsidRPr="00E37D56">
        <w:rPr>
          <w:rFonts w:ascii="Arial" w:eastAsia="Trebuchet MS" w:hAnsi="Arial" w:cs="Arial"/>
          <w:sz w:val="24"/>
          <w:szCs w:val="24"/>
        </w:rPr>
        <w:t xml:space="preserve"> millones de pesos en flujo de efectivo), cifra superior en </w:t>
      </w:r>
      <w:r>
        <w:rPr>
          <w:rFonts w:ascii="Arial" w:eastAsia="Trebuchet MS" w:hAnsi="Arial" w:cs="Arial"/>
          <w:sz w:val="24"/>
          <w:szCs w:val="24"/>
        </w:rPr>
        <w:t>7,827.0</w:t>
      </w:r>
      <w:r w:rsidRPr="00E37D56">
        <w:rPr>
          <w:rFonts w:ascii="Arial" w:eastAsia="Trebuchet MS" w:hAnsi="Arial" w:cs="Arial"/>
          <w:sz w:val="24"/>
          <w:szCs w:val="24"/>
        </w:rPr>
        <w:t xml:space="preserve"> millones de</w:t>
      </w:r>
      <w:r>
        <w:rPr>
          <w:rFonts w:ascii="Arial" w:eastAsia="Trebuchet MS" w:hAnsi="Arial" w:cs="Arial"/>
          <w:sz w:val="24"/>
          <w:szCs w:val="24"/>
        </w:rPr>
        <w:t xml:space="preserve"> pesos al presupuesto aprobado.</w:t>
      </w:r>
    </w:p>
    <w:tbl>
      <w:tblPr>
        <w:tblStyle w:val="Tablaconcuadrcula1"/>
        <w:tblW w:w="0" w:type="auto"/>
        <w:tblInd w:w="336" w:type="dxa"/>
        <w:tblLook w:val="04A0" w:firstRow="1" w:lastRow="0" w:firstColumn="1" w:lastColumn="0" w:noHBand="0" w:noVBand="1"/>
      </w:tblPr>
      <w:tblGrid>
        <w:gridCol w:w="2353"/>
        <w:gridCol w:w="1984"/>
        <w:gridCol w:w="2126"/>
        <w:gridCol w:w="1985"/>
      </w:tblGrid>
      <w:tr w:rsidR="0046336D" w:rsidRPr="00E37D56" w14:paraId="00A50F19" w14:textId="77777777" w:rsidTr="0046336D">
        <w:trPr>
          <w:trHeight w:val="835"/>
        </w:trPr>
        <w:tc>
          <w:tcPr>
            <w:tcW w:w="8448" w:type="dxa"/>
            <w:gridSpan w:val="4"/>
            <w:tcBorders>
              <w:top w:val="single" w:sz="4" w:space="0" w:color="BFBFBF"/>
              <w:left w:val="single" w:sz="4" w:space="0" w:color="BFBFBF"/>
              <w:bottom w:val="single" w:sz="4" w:space="0" w:color="BFBFBF"/>
              <w:right w:val="single" w:sz="4" w:space="0" w:color="BFBFBF"/>
            </w:tcBorders>
            <w:vAlign w:val="center"/>
          </w:tcPr>
          <w:p w14:paraId="464DF316" w14:textId="77777777" w:rsidR="0046336D" w:rsidRPr="00E9545C" w:rsidRDefault="0046336D" w:rsidP="0046336D">
            <w:pPr>
              <w:spacing w:line="276" w:lineRule="auto"/>
              <w:ind w:right="-93"/>
              <w:jc w:val="center"/>
              <w:rPr>
                <w:rFonts w:ascii="Arial" w:eastAsia="Trebuchet MS" w:hAnsi="Arial" w:cs="Arial"/>
                <w:b/>
                <w:color w:val="262626"/>
                <w:sz w:val="20"/>
              </w:rPr>
            </w:pPr>
            <w:r w:rsidRPr="00E9545C">
              <w:rPr>
                <w:rFonts w:ascii="Arial" w:eastAsia="Trebuchet MS" w:hAnsi="Arial" w:cs="Arial"/>
                <w:b/>
                <w:color w:val="262626"/>
                <w:sz w:val="20"/>
              </w:rPr>
              <w:t>Presupuesto de Egresos</w:t>
            </w:r>
          </w:p>
          <w:p w14:paraId="3773675D" w14:textId="77777777" w:rsidR="0046336D" w:rsidRPr="00E9545C" w:rsidRDefault="0046336D" w:rsidP="0046336D">
            <w:pPr>
              <w:spacing w:line="276" w:lineRule="auto"/>
              <w:ind w:right="-93"/>
              <w:jc w:val="center"/>
              <w:rPr>
                <w:rFonts w:ascii="Arial" w:eastAsia="Trebuchet MS" w:hAnsi="Arial" w:cs="Arial"/>
                <w:b/>
                <w:color w:val="262626"/>
                <w:sz w:val="20"/>
              </w:rPr>
            </w:pPr>
            <w:r w:rsidRPr="00E9545C">
              <w:rPr>
                <w:rFonts w:ascii="Arial" w:eastAsia="Trebuchet MS" w:hAnsi="Arial" w:cs="Arial"/>
                <w:b/>
                <w:color w:val="262626"/>
                <w:sz w:val="20"/>
              </w:rPr>
              <w:t>Ejercicio 202</w:t>
            </w:r>
            <w:r>
              <w:rPr>
                <w:rFonts w:ascii="Arial" w:eastAsia="Trebuchet MS" w:hAnsi="Arial" w:cs="Arial"/>
                <w:b/>
                <w:color w:val="262626"/>
                <w:sz w:val="20"/>
              </w:rPr>
              <w:t>2</w:t>
            </w:r>
          </w:p>
          <w:p w14:paraId="6151227D" w14:textId="77777777" w:rsidR="0046336D" w:rsidRPr="00E37D56" w:rsidRDefault="0046336D" w:rsidP="0046336D">
            <w:pPr>
              <w:spacing w:line="276" w:lineRule="auto"/>
              <w:ind w:right="-93"/>
              <w:jc w:val="center"/>
              <w:rPr>
                <w:rFonts w:eastAsia="Trebuchet MS"/>
                <w:b/>
                <w:sz w:val="16"/>
              </w:rPr>
            </w:pPr>
            <w:r w:rsidRPr="00E9545C">
              <w:rPr>
                <w:rFonts w:ascii="Arial" w:eastAsia="Trebuchet MS" w:hAnsi="Arial" w:cs="Arial"/>
                <w:b/>
                <w:color w:val="262626"/>
                <w:sz w:val="20"/>
              </w:rPr>
              <w:t>(Miles de pesos)</w:t>
            </w:r>
          </w:p>
        </w:tc>
      </w:tr>
      <w:tr w:rsidR="0046336D" w:rsidRPr="00E37D56" w14:paraId="0DFBBA23" w14:textId="77777777" w:rsidTr="0046336D">
        <w:trPr>
          <w:trHeight w:val="518"/>
        </w:trPr>
        <w:tc>
          <w:tcPr>
            <w:tcW w:w="2353" w:type="dxa"/>
            <w:vMerge w:val="restart"/>
            <w:tcBorders>
              <w:top w:val="single" w:sz="4" w:space="0" w:color="BFBFBF"/>
              <w:left w:val="single" w:sz="4" w:space="0" w:color="BFBFBF"/>
              <w:bottom w:val="single" w:sz="4" w:space="0" w:color="FFFFFF"/>
              <w:right w:val="single" w:sz="4" w:space="0" w:color="FFFFFF"/>
            </w:tcBorders>
            <w:shd w:val="clear" w:color="auto" w:fill="A5A5A5" w:themeFill="accent3"/>
            <w:vAlign w:val="center"/>
          </w:tcPr>
          <w:p w14:paraId="5740E4F5" w14:textId="77777777" w:rsidR="0046336D" w:rsidRPr="00E9545C" w:rsidRDefault="0046336D" w:rsidP="0046336D">
            <w:pPr>
              <w:widowControl w:val="0"/>
              <w:autoSpaceDE w:val="0"/>
              <w:autoSpaceDN w:val="0"/>
              <w:ind w:right="-93"/>
              <w:jc w:val="center"/>
              <w:rPr>
                <w:rFonts w:ascii="Arial" w:eastAsia="Arial" w:hAnsi="Arial" w:cs="Arial"/>
                <w:b/>
                <w:color w:val="F2F2F2"/>
                <w:szCs w:val="24"/>
                <w:lang w:val="es-ES"/>
              </w:rPr>
            </w:pPr>
            <w:r w:rsidRPr="00E9545C">
              <w:rPr>
                <w:rFonts w:ascii="Arial" w:eastAsia="Arial" w:hAnsi="Arial" w:cs="Arial"/>
                <w:b/>
                <w:color w:val="F2F2F2"/>
                <w:szCs w:val="24"/>
                <w:lang w:val="es-ES"/>
              </w:rPr>
              <w:t>Concepto</w:t>
            </w:r>
          </w:p>
        </w:tc>
        <w:tc>
          <w:tcPr>
            <w:tcW w:w="1984" w:type="dxa"/>
            <w:vMerge w:val="restart"/>
            <w:tcBorders>
              <w:top w:val="single" w:sz="4" w:space="0" w:color="BFBFBF"/>
              <w:left w:val="single" w:sz="4" w:space="0" w:color="FFFFFF"/>
              <w:bottom w:val="single" w:sz="4" w:space="0" w:color="FFFFFF"/>
              <w:right w:val="single" w:sz="4" w:space="0" w:color="FFFFFF"/>
            </w:tcBorders>
            <w:shd w:val="clear" w:color="auto" w:fill="A5A5A5" w:themeFill="accent3"/>
            <w:vAlign w:val="center"/>
          </w:tcPr>
          <w:p w14:paraId="6F9C71A7" w14:textId="77777777" w:rsidR="0046336D" w:rsidRPr="00E9545C" w:rsidRDefault="0046336D" w:rsidP="0046336D">
            <w:pPr>
              <w:widowControl w:val="0"/>
              <w:autoSpaceDE w:val="0"/>
              <w:autoSpaceDN w:val="0"/>
              <w:ind w:right="-93"/>
              <w:jc w:val="center"/>
              <w:rPr>
                <w:rFonts w:ascii="Arial" w:eastAsia="Arial" w:hAnsi="Arial" w:cs="Arial"/>
                <w:b/>
                <w:color w:val="F2F2F2"/>
                <w:szCs w:val="24"/>
                <w:lang w:val="es-ES"/>
              </w:rPr>
            </w:pPr>
            <w:r w:rsidRPr="00E9545C">
              <w:rPr>
                <w:rFonts w:ascii="Arial" w:eastAsia="Arial" w:hAnsi="Arial" w:cs="Arial"/>
                <w:b/>
                <w:color w:val="F2F2F2"/>
                <w:szCs w:val="24"/>
                <w:lang w:val="es-ES"/>
              </w:rPr>
              <w:t>Importe</w:t>
            </w:r>
          </w:p>
        </w:tc>
        <w:tc>
          <w:tcPr>
            <w:tcW w:w="4111" w:type="dxa"/>
            <w:gridSpan w:val="2"/>
            <w:tcBorders>
              <w:top w:val="single" w:sz="4" w:space="0" w:color="BFBFBF"/>
              <w:left w:val="single" w:sz="4" w:space="0" w:color="FFFFFF"/>
              <w:bottom w:val="single" w:sz="4" w:space="0" w:color="FFFFFF"/>
              <w:right w:val="single" w:sz="4" w:space="0" w:color="BFBFBF"/>
            </w:tcBorders>
            <w:shd w:val="clear" w:color="auto" w:fill="A5A5A5" w:themeFill="accent3"/>
            <w:vAlign w:val="center"/>
          </w:tcPr>
          <w:p w14:paraId="5FC1197D" w14:textId="77777777" w:rsidR="0046336D" w:rsidRPr="00E9545C" w:rsidRDefault="0046336D" w:rsidP="0046336D">
            <w:pPr>
              <w:widowControl w:val="0"/>
              <w:autoSpaceDE w:val="0"/>
              <w:autoSpaceDN w:val="0"/>
              <w:ind w:right="-93"/>
              <w:jc w:val="center"/>
              <w:rPr>
                <w:rFonts w:ascii="Arial" w:eastAsia="Arial" w:hAnsi="Arial" w:cs="Arial"/>
                <w:b/>
                <w:color w:val="F2F2F2"/>
                <w:szCs w:val="24"/>
                <w:lang w:val="es-ES"/>
              </w:rPr>
            </w:pPr>
            <w:r w:rsidRPr="00E9545C">
              <w:rPr>
                <w:rFonts w:ascii="Arial" w:eastAsia="Arial" w:hAnsi="Arial" w:cs="Arial"/>
                <w:b/>
                <w:color w:val="F2F2F2"/>
                <w:szCs w:val="24"/>
                <w:lang w:val="es-ES"/>
              </w:rPr>
              <w:t>Variación Respecto a Presupuesto Aprobado 202</w:t>
            </w:r>
            <w:r>
              <w:rPr>
                <w:rFonts w:ascii="Arial" w:eastAsia="Arial" w:hAnsi="Arial" w:cs="Arial"/>
                <w:b/>
                <w:color w:val="F2F2F2"/>
                <w:szCs w:val="24"/>
                <w:lang w:val="es-ES"/>
              </w:rPr>
              <w:t>1</w:t>
            </w:r>
          </w:p>
        </w:tc>
      </w:tr>
      <w:tr w:rsidR="0046336D" w:rsidRPr="00E37D56" w14:paraId="0C8EFA6C" w14:textId="77777777" w:rsidTr="0046336D">
        <w:trPr>
          <w:trHeight w:val="269"/>
        </w:trPr>
        <w:tc>
          <w:tcPr>
            <w:tcW w:w="2353" w:type="dxa"/>
            <w:vMerge/>
            <w:tcBorders>
              <w:top w:val="single" w:sz="4" w:space="0" w:color="FFFFFF"/>
              <w:left w:val="single" w:sz="4" w:space="0" w:color="BFBFBF"/>
              <w:bottom w:val="single" w:sz="4" w:space="0" w:color="FFFFFF"/>
              <w:right w:val="single" w:sz="4" w:space="0" w:color="FFFFFF"/>
            </w:tcBorders>
            <w:shd w:val="clear" w:color="auto" w:fill="A5A5A5" w:themeFill="accent3"/>
            <w:vAlign w:val="center"/>
          </w:tcPr>
          <w:p w14:paraId="0D208F82" w14:textId="77777777" w:rsidR="0046336D" w:rsidRPr="00E9545C" w:rsidRDefault="0046336D" w:rsidP="0046336D">
            <w:pPr>
              <w:widowControl w:val="0"/>
              <w:autoSpaceDE w:val="0"/>
              <w:autoSpaceDN w:val="0"/>
              <w:ind w:right="-93"/>
              <w:jc w:val="center"/>
              <w:rPr>
                <w:rFonts w:ascii="Arial" w:eastAsia="Arial" w:hAnsi="Arial" w:cs="Arial"/>
                <w:b/>
                <w:color w:val="F2F2F2"/>
                <w:szCs w:val="24"/>
                <w:lang w:val="es-ES"/>
              </w:rPr>
            </w:pPr>
          </w:p>
        </w:tc>
        <w:tc>
          <w:tcPr>
            <w:tcW w:w="1984" w:type="dxa"/>
            <w:vMerge/>
            <w:tcBorders>
              <w:top w:val="single" w:sz="4" w:space="0" w:color="FFFFFF"/>
              <w:left w:val="single" w:sz="4" w:space="0" w:color="FFFFFF"/>
              <w:bottom w:val="single" w:sz="4" w:space="0" w:color="FFFFFF"/>
              <w:right w:val="single" w:sz="4" w:space="0" w:color="FFFFFF"/>
            </w:tcBorders>
            <w:shd w:val="clear" w:color="auto" w:fill="A5A5A5" w:themeFill="accent3"/>
            <w:vAlign w:val="center"/>
          </w:tcPr>
          <w:p w14:paraId="352E29F2" w14:textId="77777777" w:rsidR="0046336D" w:rsidRPr="00E9545C" w:rsidRDefault="0046336D" w:rsidP="0046336D">
            <w:pPr>
              <w:widowControl w:val="0"/>
              <w:autoSpaceDE w:val="0"/>
              <w:autoSpaceDN w:val="0"/>
              <w:ind w:right="-93"/>
              <w:jc w:val="center"/>
              <w:rPr>
                <w:rFonts w:ascii="Arial" w:eastAsia="Arial" w:hAnsi="Arial" w:cs="Arial"/>
                <w:b/>
                <w:color w:val="F2F2F2"/>
                <w:szCs w:val="24"/>
                <w:lang w:val="es-ES"/>
              </w:rPr>
            </w:pPr>
          </w:p>
        </w:tc>
        <w:tc>
          <w:tcPr>
            <w:tcW w:w="2126" w:type="dxa"/>
            <w:tcBorders>
              <w:top w:val="single" w:sz="4" w:space="0" w:color="FFFFFF"/>
              <w:left w:val="single" w:sz="4" w:space="0" w:color="FFFFFF"/>
              <w:bottom w:val="single" w:sz="4" w:space="0" w:color="FFFFFF"/>
              <w:right w:val="single" w:sz="4" w:space="0" w:color="FFFFFF"/>
            </w:tcBorders>
            <w:shd w:val="clear" w:color="auto" w:fill="A5A5A5" w:themeFill="accent3"/>
            <w:vAlign w:val="center"/>
          </w:tcPr>
          <w:p w14:paraId="470BF9D6" w14:textId="77777777" w:rsidR="0046336D" w:rsidRPr="00E9545C" w:rsidRDefault="0046336D" w:rsidP="0046336D">
            <w:pPr>
              <w:widowControl w:val="0"/>
              <w:autoSpaceDE w:val="0"/>
              <w:autoSpaceDN w:val="0"/>
              <w:ind w:right="-93"/>
              <w:jc w:val="center"/>
              <w:rPr>
                <w:rFonts w:ascii="Arial" w:eastAsia="Arial" w:hAnsi="Arial" w:cs="Arial"/>
                <w:b/>
                <w:color w:val="F2F2F2"/>
                <w:szCs w:val="24"/>
                <w:lang w:val="es-ES"/>
              </w:rPr>
            </w:pPr>
            <w:r w:rsidRPr="00E9545C">
              <w:rPr>
                <w:rFonts w:ascii="Arial" w:eastAsia="Arial" w:hAnsi="Arial" w:cs="Arial"/>
                <w:b/>
                <w:color w:val="F2F2F2"/>
                <w:szCs w:val="24"/>
                <w:lang w:val="es-ES"/>
              </w:rPr>
              <w:t>Nominal</w:t>
            </w:r>
          </w:p>
        </w:tc>
        <w:tc>
          <w:tcPr>
            <w:tcW w:w="1985" w:type="dxa"/>
            <w:tcBorders>
              <w:top w:val="single" w:sz="4" w:space="0" w:color="FFFFFF"/>
              <w:left w:val="single" w:sz="4" w:space="0" w:color="FFFFFF"/>
              <w:bottom w:val="single" w:sz="4" w:space="0" w:color="FFFFFF"/>
              <w:right w:val="single" w:sz="4" w:space="0" w:color="BFBFBF"/>
            </w:tcBorders>
            <w:shd w:val="clear" w:color="auto" w:fill="A5A5A5" w:themeFill="accent3"/>
            <w:vAlign w:val="center"/>
          </w:tcPr>
          <w:p w14:paraId="317C672D" w14:textId="77777777" w:rsidR="0046336D" w:rsidRPr="00E9545C" w:rsidRDefault="0046336D" w:rsidP="0046336D">
            <w:pPr>
              <w:widowControl w:val="0"/>
              <w:autoSpaceDE w:val="0"/>
              <w:autoSpaceDN w:val="0"/>
              <w:ind w:right="-93"/>
              <w:jc w:val="center"/>
              <w:rPr>
                <w:rFonts w:ascii="Arial" w:eastAsia="Arial" w:hAnsi="Arial" w:cs="Arial"/>
                <w:b/>
                <w:color w:val="F2F2F2"/>
                <w:szCs w:val="24"/>
                <w:lang w:val="es-ES"/>
              </w:rPr>
            </w:pPr>
            <w:r w:rsidRPr="00E9545C">
              <w:rPr>
                <w:rFonts w:ascii="Arial" w:eastAsia="Arial" w:hAnsi="Arial" w:cs="Arial"/>
                <w:b/>
                <w:color w:val="F2F2F2"/>
                <w:szCs w:val="24"/>
                <w:lang w:val="es-ES"/>
              </w:rPr>
              <w:t>%</w:t>
            </w:r>
          </w:p>
        </w:tc>
      </w:tr>
      <w:tr w:rsidR="0046336D" w:rsidRPr="00E37D56" w14:paraId="47FC9463" w14:textId="77777777" w:rsidTr="0046336D">
        <w:trPr>
          <w:trHeight w:val="397"/>
        </w:trPr>
        <w:tc>
          <w:tcPr>
            <w:tcW w:w="2353" w:type="dxa"/>
            <w:tcBorders>
              <w:top w:val="single" w:sz="4" w:space="0" w:color="FFFFFF"/>
              <w:left w:val="single" w:sz="4" w:space="0" w:color="BFBFBF"/>
              <w:bottom w:val="single" w:sz="4" w:space="0" w:color="A6A6A6"/>
              <w:right w:val="single" w:sz="4" w:space="0" w:color="A6A6A6"/>
            </w:tcBorders>
            <w:vAlign w:val="center"/>
          </w:tcPr>
          <w:p w14:paraId="6429C93D" w14:textId="77777777" w:rsidR="0046336D" w:rsidRPr="00E9545C" w:rsidRDefault="0046336D" w:rsidP="0046336D">
            <w:pPr>
              <w:widowControl w:val="0"/>
              <w:autoSpaceDE w:val="0"/>
              <w:autoSpaceDN w:val="0"/>
              <w:spacing w:line="218" w:lineRule="exact"/>
              <w:ind w:right="-93"/>
              <w:rPr>
                <w:rFonts w:ascii="Arial" w:eastAsia="Arial" w:hAnsi="Arial" w:cs="Arial"/>
                <w:b/>
                <w:sz w:val="18"/>
                <w:lang w:val="es-ES"/>
              </w:rPr>
            </w:pPr>
            <w:r w:rsidRPr="002542F2">
              <w:rPr>
                <w:rFonts w:ascii="Arial" w:eastAsia="Arial" w:hAnsi="Arial" w:cs="Arial"/>
                <w:b/>
                <w:sz w:val="18"/>
                <w:lang w:val="es-ES"/>
              </w:rPr>
              <w:t>Aprobado</w:t>
            </w:r>
          </w:p>
        </w:tc>
        <w:tc>
          <w:tcPr>
            <w:tcW w:w="1984" w:type="dxa"/>
            <w:tcBorders>
              <w:top w:val="single" w:sz="4" w:space="0" w:color="FFFFFF"/>
              <w:left w:val="single" w:sz="4" w:space="0" w:color="A6A6A6"/>
              <w:bottom w:val="single" w:sz="4" w:space="0" w:color="A6A6A6"/>
              <w:right w:val="single" w:sz="4" w:space="0" w:color="A6A6A6"/>
            </w:tcBorders>
            <w:vAlign w:val="center"/>
          </w:tcPr>
          <w:p w14:paraId="321A185B" w14:textId="77777777" w:rsidR="0046336D" w:rsidRPr="00E9545C" w:rsidRDefault="0046336D" w:rsidP="0046336D">
            <w:pPr>
              <w:widowControl w:val="0"/>
              <w:tabs>
                <w:tab w:val="left" w:pos="779"/>
              </w:tabs>
              <w:autoSpaceDE w:val="0"/>
              <w:autoSpaceDN w:val="0"/>
              <w:spacing w:line="218" w:lineRule="exact"/>
              <w:jc w:val="right"/>
              <w:rPr>
                <w:rFonts w:ascii="Arial" w:eastAsia="Arial" w:hAnsi="Arial" w:cs="Arial"/>
                <w:sz w:val="18"/>
                <w:lang w:val="es-ES"/>
              </w:rPr>
            </w:pPr>
            <w:r>
              <w:rPr>
                <w:rFonts w:ascii="Arial" w:eastAsia="Arial" w:hAnsi="Arial" w:cs="Arial"/>
                <w:spacing w:val="-1"/>
                <w:sz w:val="18"/>
                <w:lang w:val="es-ES"/>
              </w:rPr>
              <w:t>34</w:t>
            </w:r>
            <w:r w:rsidRPr="00E9545C">
              <w:rPr>
                <w:rFonts w:ascii="Arial" w:eastAsia="Arial" w:hAnsi="Arial" w:cs="Arial"/>
                <w:spacing w:val="-1"/>
                <w:sz w:val="18"/>
                <w:lang w:val="es-ES"/>
              </w:rPr>
              <w:t>,</w:t>
            </w:r>
            <w:r>
              <w:rPr>
                <w:rFonts w:ascii="Arial" w:eastAsia="Arial" w:hAnsi="Arial" w:cs="Arial"/>
                <w:spacing w:val="-1"/>
                <w:sz w:val="18"/>
                <w:lang w:val="es-ES"/>
              </w:rPr>
              <w:t>611,212</w:t>
            </w:r>
          </w:p>
        </w:tc>
        <w:tc>
          <w:tcPr>
            <w:tcW w:w="2126" w:type="dxa"/>
            <w:tcBorders>
              <w:top w:val="single" w:sz="4" w:space="0" w:color="FFFFFF"/>
              <w:left w:val="single" w:sz="4" w:space="0" w:color="A6A6A6"/>
              <w:bottom w:val="single" w:sz="4" w:space="0" w:color="A6A6A6"/>
              <w:right w:val="single" w:sz="4" w:space="0" w:color="A6A6A6"/>
            </w:tcBorders>
            <w:vAlign w:val="center"/>
          </w:tcPr>
          <w:p w14:paraId="2E2523D1" w14:textId="77777777" w:rsidR="0046336D" w:rsidRPr="00E9545C" w:rsidRDefault="0046336D" w:rsidP="0046336D">
            <w:pPr>
              <w:widowControl w:val="0"/>
              <w:tabs>
                <w:tab w:val="left" w:pos="1820"/>
              </w:tabs>
              <w:autoSpaceDE w:val="0"/>
              <w:autoSpaceDN w:val="0"/>
              <w:spacing w:line="218" w:lineRule="exact"/>
              <w:ind w:right="-93"/>
              <w:jc w:val="right"/>
              <w:rPr>
                <w:rFonts w:ascii="Arial" w:eastAsia="Arial" w:hAnsi="Arial" w:cs="Arial"/>
                <w:sz w:val="18"/>
                <w:lang w:val="es-ES"/>
              </w:rPr>
            </w:pPr>
          </w:p>
        </w:tc>
        <w:tc>
          <w:tcPr>
            <w:tcW w:w="1985" w:type="dxa"/>
            <w:tcBorders>
              <w:top w:val="single" w:sz="4" w:space="0" w:color="FFFFFF"/>
              <w:left w:val="single" w:sz="4" w:space="0" w:color="A6A6A6"/>
              <w:bottom w:val="single" w:sz="4" w:space="0" w:color="A6A6A6"/>
              <w:right w:val="single" w:sz="4" w:space="0" w:color="A6A6A6"/>
            </w:tcBorders>
          </w:tcPr>
          <w:p w14:paraId="61DBCAB6" w14:textId="77777777" w:rsidR="0046336D" w:rsidRPr="00E9545C" w:rsidRDefault="0046336D" w:rsidP="0046336D">
            <w:pPr>
              <w:widowControl w:val="0"/>
              <w:autoSpaceDE w:val="0"/>
              <w:autoSpaceDN w:val="0"/>
              <w:ind w:right="-93"/>
              <w:rPr>
                <w:rFonts w:ascii="Arial" w:eastAsia="Arial" w:hAnsi="Arial" w:cs="Arial"/>
                <w:sz w:val="18"/>
                <w:lang w:val="es-ES"/>
              </w:rPr>
            </w:pPr>
          </w:p>
        </w:tc>
      </w:tr>
      <w:tr w:rsidR="0046336D" w:rsidRPr="00E37D56" w14:paraId="0D603B8D" w14:textId="77777777" w:rsidTr="0046336D">
        <w:trPr>
          <w:trHeight w:val="397"/>
        </w:trPr>
        <w:tc>
          <w:tcPr>
            <w:tcW w:w="2353" w:type="dxa"/>
            <w:tcBorders>
              <w:top w:val="single" w:sz="4" w:space="0" w:color="A6A6A6"/>
              <w:left w:val="single" w:sz="4" w:space="0" w:color="BFBFBF"/>
              <w:bottom w:val="single" w:sz="4" w:space="0" w:color="A6A6A6"/>
              <w:right w:val="single" w:sz="4" w:space="0" w:color="A6A6A6"/>
            </w:tcBorders>
            <w:vAlign w:val="center"/>
          </w:tcPr>
          <w:p w14:paraId="3FD585DD" w14:textId="77777777" w:rsidR="0046336D" w:rsidRPr="00E9545C" w:rsidRDefault="0046336D" w:rsidP="0046336D">
            <w:pPr>
              <w:widowControl w:val="0"/>
              <w:autoSpaceDE w:val="0"/>
              <w:autoSpaceDN w:val="0"/>
              <w:spacing w:line="229" w:lineRule="exact"/>
              <w:ind w:right="-93"/>
              <w:rPr>
                <w:rFonts w:ascii="Arial" w:eastAsia="Arial" w:hAnsi="Arial" w:cs="Arial"/>
                <w:b/>
                <w:sz w:val="18"/>
                <w:lang w:val="es-ES"/>
              </w:rPr>
            </w:pPr>
            <w:r w:rsidRPr="00E9545C">
              <w:rPr>
                <w:rFonts w:ascii="Arial" w:eastAsia="Arial" w:hAnsi="Arial" w:cs="Arial"/>
                <w:b/>
                <w:sz w:val="18"/>
                <w:lang w:val="es-ES"/>
              </w:rPr>
              <w:t>Devengado</w:t>
            </w:r>
          </w:p>
        </w:tc>
        <w:tc>
          <w:tcPr>
            <w:tcW w:w="1984" w:type="dxa"/>
            <w:tcBorders>
              <w:top w:val="single" w:sz="4" w:space="0" w:color="A6A6A6"/>
              <w:left w:val="single" w:sz="4" w:space="0" w:color="A6A6A6"/>
              <w:bottom w:val="single" w:sz="4" w:space="0" w:color="A6A6A6"/>
              <w:right w:val="single" w:sz="4" w:space="0" w:color="A6A6A6"/>
            </w:tcBorders>
            <w:vAlign w:val="center"/>
          </w:tcPr>
          <w:p w14:paraId="7D7D3856" w14:textId="77777777" w:rsidR="0046336D" w:rsidRPr="00E9545C" w:rsidRDefault="0046336D" w:rsidP="0046336D">
            <w:pPr>
              <w:widowControl w:val="0"/>
              <w:autoSpaceDE w:val="0"/>
              <w:autoSpaceDN w:val="0"/>
              <w:spacing w:line="229" w:lineRule="exact"/>
              <w:jc w:val="right"/>
              <w:rPr>
                <w:rFonts w:ascii="Arial" w:eastAsia="Arial" w:hAnsi="Arial" w:cs="Arial"/>
                <w:sz w:val="18"/>
                <w:lang w:val="es-ES"/>
              </w:rPr>
            </w:pPr>
            <w:r>
              <w:rPr>
                <w:rFonts w:ascii="Arial" w:eastAsia="Arial" w:hAnsi="Arial" w:cs="Arial"/>
                <w:sz w:val="18"/>
                <w:lang w:val="es-ES"/>
              </w:rPr>
              <w:t>42,438,218</w:t>
            </w:r>
          </w:p>
        </w:tc>
        <w:tc>
          <w:tcPr>
            <w:tcW w:w="2126" w:type="dxa"/>
            <w:tcBorders>
              <w:top w:val="single" w:sz="4" w:space="0" w:color="A6A6A6"/>
              <w:left w:val="single" w:sz="4" w:space="0" w:color="A6A6A6"/>
              <w:bottom w:val="single" w:sz="4" w:space="0" w:color="A6A6A6"/>
              <w:right w:val="single" w:sz="4" w:space="0" w:color="A6A6A6"/>
            </w:tcBorders>
            <w:vAlign w:val="center"/>
          </w:tcPr>
          <w:p w14:paraId="47E73F44" w14:textId="77777777" w:rsidR="0046336D" w:rsidRPr="00E9545C" w:rsidRDefault="0046336D" w:rsidP="0046336D">
            <w:pPr>
              <w:widowControl w:val="0"/>
              <w:autoSpaceDE w:val="0"/>
              <w:autoSpaceDN w:val="0"/>
              <w:spacing w:line="229" w:lineRule="exact"/>
              <w:jc w:val="right"/>
              <w:rPr>
                <w:rFonts w:ascii="Arial" w:eastAsia="Arial" w:hAnsi="Arial" w:cs="Arial"/>
                <w:sz w:val="18"/>
                <w:lang w:val="es-ES"/>
              </w:rPr>
            </w:pPr>
            <w:r>
              <w:rPr>
                <w:rFonts w:ascii="Arial" w:eastAsia="Arial" w:hAnsi="Arial" w:cs="Arial"/>
                <w:sz w:val="18"/>
                <w:lang w:val="es-ES"/>
              </w:rPr>
              <w:t>7,827,006</w:t>
            </w:r>
          </w:p>
        </w:tc>
        <w:tc>
          <w:tcPr>
            <w:tcW w:w="1985" w:type="dxa"/>
            <w:tcBorders>
              <w:top w:val="single" w:sz="4" w:space="0" w:color="A6A6A6"/>
              <w:left w:val="single" w:sz="4" w:space="0" w:color="A6A6A6"/>
              <w:bottom w:val="single" w:sz="4" w:space="0" w:color="A6A6A6"/>
              <w:right w:val="single" w:sz="4" w:space="0" w:color="A6A6A6"/>
            </w:tcBorders>
            <w:vAlign w:val="center"/>
          </w:tcPr>
          <w:p w14:paraId="0D72EFA5" w14:textId="77777777" w:rsidR="0046336D" w:rsidRPr="00E9545C" w:rsidRDefault="0046336D" w:rsidP="0046336D">
            <w:pPr>
              <w:widowControl w:val="0"/>
              <w:autoSpaceDE w:val="0"/>
              <w:autoSpaceDN w:val="0"/>
              <w:spacing w:line="229" w:lineRule="exact"/>
              <w:jc w:val="center"/>
              <w:rPr>
                <w:rFonts w:ascii="Arial" w:eastAsia="Arial" w:hAnsi="Arial" w:cs="Arial"/>
                <w:sz w:val="18"/>
                <w:lang w:val="es-ES"/>
              </w:rPr>
            </w:pPr>
            <w:r>
              <w:rPr>
                <w:rFonts w:ascii="Arial" w:eastAsia="Arial" w:hAnsi="Arial" w:cs="Arial"/>
                <w:sz w:val="18"/>
                <w:lang w:val="es-ES"/>
              </w:rPr>
              <w:t>22.6</w:t>
            </w:r>
            <w:r w:rsidRPr="00E9545C">
              <w:rPr>
                <w:rFonts w:ascii="Arial" w:eastAsia="Arial" w:hAnsi="Arial" w:cs="Arial"/>
                <w:sz w:val="18"/>
                <w:lang w:val="es-ES"/>
              </w:rPr>
              <w:t>%</w:t>
            </w:r>
          </w:p>
        </w:tc>
      </w:tr>
      <w:tr w:rsidR="0046336D" w:rsidRPr="00E37D56" w14:paraId="00892F26" w14:textId="77777777" w:rsidTr="0046336D">
        <w:trPr>
          <w:trHeight w:val="397"/>
        </w:trPr>
        <w:tc>
          <w:tcPr>
            <w:tcW w:w="2353" w:type="dxa"/>
            <w:tcBorders>
              <w:top w:val="single" w:sz="4" w:space="0" w:color="A6A6A6"/>
              <w:left w:val="single" w:sz="4" w:space="0" w:color="BFBFBF"/>
              <w:bottom w:val="single" w:sz="4" w:space="0" w:color="BFBFBF"/>
              <w:right w:val="single" w:sz="4" w:space="0" w:color="A6A6A6"/>
            </w:tcBorders>
            <w:vAlign w:val="center"/>
          </w:tcPr>
          <w:p w14:paraId="3FD942F3" w14:textId="77777777" w:rsidR="0046336D" w:rsidRPr="00E9545C" w:rsidRDefault="0046336D" w:rsidP="0046336D">
            <w:pPr>
              <w:widowControl w:val="0"/>
              <w:autoSpaceDE w:val="0"/>
              <w:autoSpaceDN w:val="0"/>
              <w:spacing w:before="3"/>
              <w:ind w:right="-93"/>
              <w:rPr>
                <w:rFonts w:ascii="Arial" w:eastAsia="Arial" w:hAnsi="Arial" w:cs="Arial"/>
                <w:b/>
                <w:sz w:val="18"/>
                <w:lang w:val="es-ES"/>
              </w:rPr>
            </w:pPr>
            <w:r w:rsidRPr="00E9545C">
              <w:rPr>
                <w:rFonts w:ascii="Arial" w:eastAsia="Arial" w:hAnsi="Arial" w:cs="Arial"/>
                <w:b/>
                <w:sz w:val="18"/>
                <w:lang w:val="es-ES"/>
              </w:rPr>
              <w:t>Pagado</w:t>
            </w:r>
          </w:p>
        </w:tc>
        <w:tc>
          <w:tcPr>
            <w:tcW w:w="1984" w:type="dxa"/>
            <w:tcBorders>
              <w:top w:val="single" w:sz="4" w:space="0" w:color="A6A6A6"/>
              <w:left w:val="single" w:sz="4" w:space="0" w:color="A6A6A6"/>
              <w:bottom w:val="single" w:sz="4" w:space="0" w:color="BFBFBF"/>
              <w:right w:val="single" w:sz="4" w:space="0" w:color="A6A6A6"/>
            </w:tcBorders>
            <w:vAlign w:val="center"/>
          </w:tcPr>
          <w:p w14:paraId="0CEA3CFF" w14:textId="77777777" w:rsidR="0046336D" w:rsidRPr="00E9545C" w:rsidRDefault="0046336D" w:rsidP="0046336D">
            <w:pPr>
              <w:widowControl w:val="0"/>
              <w:autoSpaceDE w:val="0"/>
              <w:autoSpaceDN w:val="0"/>
              <w:spacing w:before="3"/>
              <w:jc w:val="right"/>
              <w:rPr>
                <w:rFonts w:ascii="Arial" w:eastAsia="Arial" w:hAnsi="Arial" w:cs="Arial"/>
                <w:sz w:val="18"/>
                <w:lang w:val="es-ES"/>
              </w:rPr>
            </w:pPr>
            <w:r>
              <w:rPr>
                <w:rFonts w:ascii="Arial" w:eastAsia="Arial" w:hAnsi="Arial" w:cs="Arial"/>
                <w:sz w:val="18"/>
                <w:lang w:val="es-ES"/>
              </w:rPr>
              <w:t>40,444,715</w:t>
            </w:r>
          </w:p>
        </w:tc>
        <w:tc>
          <w:tcPr>
            <w:tcW w:w="2126" w:type="dxa"/>
            <w:tcBorders>
              <w:top w:val="single" w:sz="4" w:space="0" w:color="A6A6A6"/>
              <w:left w:val="single" w:sz="4" w:space="0" w:color="A6A6A6"/>
              <w:bottom w:val="single" w:sz="4" w:space="0" w:color="BFBFBF"/>
              <w:right w:val="single" w:sz="4" w:space="0" w:color="A6A6A6"/>
            </w:tcBorders>
            <w:vAlign w:val="center"/>
          </w:tcPr>
          <w:p w14:paraId="1132B883" w14:textId="77777777" w:rsidR="0046336D" w:rsidRPr="00E9545C" w:rsidRDefault="0046336D" w:rsidP="0046336D">
            <w:pPr>
              <w:widowControl w:val="0"/>
              <w:autoSpaceDE w:val="0"/>
              <w:autoSpaceDN w:val="0"/>
              <w:spacing w:before="3"/>
              <w:jc w:val="right"/>
              <w:rPr>
                <w:rFonts w:ascii="Arial" w:eastAsia="Arial" w:hAnsi="Arial" w:cs="Arial"/>
                <w:sz w:val="18"/>
                <w:lang w:val="es-ES"/>
              </w:rPr>
            </w:pPr>
            <w:r>
              <w:rPr>
                <w:rFonts w:ascii="Arial" w:eastAsia="Arial" w:hAnsi="Arial" w:cs="Arial"/>
                <w:sz w:val="18"/>
                <w:lang w:val="es-ES"/>
              </w:rPr>
              <w:t>5,833,504</w:t>
            </w:r>
          </w:p>
        </w:tc>
        <w:tc>
          <w:tcPr>
            <w:tcW w:w="1985" w:type="dxa"/>
            <w:tcBorders>
              <w:top w:val="single" w:sz="4" w:space="0" w:color="A6A6A6"/>
              <w:left w:val="single" w:sz="4" w:space="0" w:color="A6A6A6"/>
              <w:bottom w:val="single" w:sz="4" w:space="0" w:color="A6A6A6"/>
              <w:right w:val="single" w:sz="4" w:space="0" w:color="A6A6A6"/>
            </w:tcBorders>
            <w:vAlign w:val="center"/>
          </w:tcPr>
          <w:p w14:paraId="61DD4411" w14:textId="77777777" w:rsidR="0046336D" w:rsidRPr="00E9545C" w:rsidRDefault="0046336D" w:rsidP="0046336D">
            <w:pPr>
              <w:widowControl w:val="0"/>
              <w:autoSpaceDE w:val="0"/>
              <w:autoSpaceDN w:val="0"/>
              <w:spacing w:before="3"/>
              <w:jc w:val="center"/>
              <w:rPr>
                <w:rFonts w:ascii="Arial" w:eastAsia="Arial" w:hAnsi="Arial" w:cs="Arial"/>
                <w:sz w:val="18"/>
                <w:lang w:val="es-ES"/>
              </w:rPr>
            </w:pPr>
            <w:r>
              <w:rPr>
                <w:rFonts w:ascii="Arial" w:eastAsia="Arial" w:hAnsi="Arial" w:cs="Arial"/>
                <w:sz w:val="18"/>
                <w:lang w:val="es-ES"/>
              </w:rPr>
              <w:t>16.9</w:t>
            </w:r>
            <w:r w:rsidRPr="00E9545C">
              <w:rPr>
                <w:rFonts w:ascii="Arial" w:eastAsia="Arial" w:hAnsi="Arial" w:cs="Arial"/>
                <w:sz w:val="18"/>
                <w:lang w:val="es-ES"/>
              </w:rPr>
              <w:t>%</w:t>
            </w:r>
          </w:p>
        </w:tc>
      </w:tr>
      <w:tr w:rsidR="0046336D" w:rsidRPr="00E37D56" w14:paraId="2B20A235" w14:textId="77777777" w:rsidTr="0046336D">
        <w:trPr>
          <w:trHeight w:val="283"/>
        </w:trPr>
        <w:tc>
          <w:tcPr>
            <w:tcW w:w="8448" w:type="dxa"/>
            <w:gridSpan w:val="4"/>
            <w:tcBorders>
              <w:top w:val="single" w:sz="4" w:space="0" w:color="BFBFBF"/>
              <w:left w:val="nil"/>
              <w:bottom w:val="nil"/>
              <w:right w:val="nil"/>
            </w:tcBorders>
            <w:vAlign w:val="bottom"/>
          </w:tcPr>
          <w:p w14:paraId="29E278A8" w14:textId="77777777" w:rsidR="0046336D" w:rsidRPr="00E9545C" w:rsidRDefault="0046336D" w:rsidP="0046336D">
            <w:pPr>
              <w:ind w:right="-93"/>
              <w:rPr>
                <w:rFonts w:ascii="Arial" w:eastAsia="Trebuchet MS" w:hAnsi="Arial" w:cs="Arial"/>
                <w:b/>
                <w:color w:val="404040"/>
                <w:sz w:val="14"/>
                <w:szCs w:val="14"/>
              </w:rPr>
            </w:pPr>
          </w:p>
          <w:p w14:paraId="703B932E" w14:textId="77777777" w:rsidR="0046336D" w:rsidRPr="00E9545C" w:rsidRDefault="0046336D" w:rsidP="0046336D">
            <w:pPr>
              <w:ind w:right="-93"/>
              <w:rPr>
                <w:rFonts w:ascii="Arial" w:eastAsia="Trebuchet MS" w:hAnsi="Arial" w:cs="Arial"/>
                <w:color w:val="0D0D0D" w:themeColor="text1" w:themeTint="F2"/>
                <w:sz w:val="14"/>
                <w:szCs w:val="14"/>
              </w:rPr>
            </w:pPr>
            <w:r w:rsidRPr="00E9545C">
              <w:rPr>
                <w:rFonts w:ascii="Arial" w:eastAsia="Trebuchet MS" w:hAnsi="Arial" w:cs="Arial"/>
                <w:b/>
                <w:color w:val="0D0D0D" w:themeColor="text1" w:themeTint="F2"/>
                <w:sz w:val="14"/>
                <w:szCs w:val="14"/>
              </w:rPr>
              <w:t xml:space="preserve">Fuente: </w:t>
            </w:r>
            <w:r w:rsidRPr="00E9545C">
              <w:rPr>
                <w:rFonts w:ascii="Arial" w:eastAsia="Trebuchet MS" w:hAnsi="Arial" w:cs="Arial"/>
                <w:color w:val="0D0D0D" w:themeColor="text1" w:themeTint="F2"/>
                <w:sz w:val="14"/>
                <w:szCs w:val="14"/>
              </w:rPr>
              <w:t xml:space="preserve">Secretaría de Finanzas y Planeación del Estado, cuenta pública </w:t>
            </w:r>
            <w:r>
              <w:rPr>
                <w:rFonts w:ascii="Arial" w:eastAsia="Trebuchet MS" w:hAnsi="Arial" w:cs="Arial"/>
                <w:color w:val="0D0D0D" w:themeColor="text1" w:themeTint="F2"/>
                <w:sz w:val="14"/>
                <w:szCs w:val="14"/>
              </w:rPr>
              <w:t xml:space="preserve">Tomo I </w:t>
            </w:r>
            <w:r w:rsidRPr="00E9545C">
              <w:rPr>
                <w:rFonts w:ascii="Arial" w:eastAsia="Trebuchet MS" w:hAnsi="Arial" w:cs="Arial"/>
                <w:color w:val="0D0D0D" w:themeColor="text1" w:themeTint="F2"/>
                <w:sz w:val="14"/>
                <w:szCs w:val="14"/>
              </w:rPr>
              <w:t>ejercicio 202</w:t>
            </w:r>
            <w:r>
              <w:rPr>
                <w:rFonts w:ascii="Arial" w:eastAsia="Trebuchet MS" w:hAnsi="Arial" w:cs="Arial"/>
                <w:color w:val="0D0D0D" w:themeColor="text1" w:themeTint="F2"/>
                <w:sz w:val="14"/>
                <w:szCs w:val="14"/>
              </w:rPr>
              <w:t>2</w:t>
            </w:r>
            <w:r w:rsidRPr="00E9545C">
              <w:rPr>
                <w:rFonts w:ascii="Arial" w:eastAsia="Trebuchet MS" w:hAnsi="Arial" w:cs="Arial"/>
                <w:color w:val="0D0D0D" w:themeColor="text1" w:themeTint="F2"/>
                <w:sz w:val="14"/>
                <w:szCs w:val="14"/>
              </w:rPr>
              <w:t xml:space="preserve">. </w:t>
            </w:r>
          </w:p>
          <w:p w14:paraId="388A425C" w14:textId="77777777" w:rsidR="0046336D" w:rsidRPr="00E9545C" w:rsidRDefault="0046336D" w:rsidP="0046336D">
            <w:pPr>
              <w:ind w:right="-93"/>
              <w:rPr>
                <w:rFonts w:ascii="Arial" w:eastAsia="Trebuchet MS" w:hAnsi="Arial" w:cs="Arial"/>
                <w:color w:val="404040"/>
                <w:sz w:val="14"/>
                <w:szCs w:val="14"/>
              </w:rPr>
            </w:pPr>
            <w:r>
              <w:rPr>
                <w:rFonts w:ascii="Arial" w:eastAsia="Trebuchet MS" w:hAnsi="Arial" w:cs="Arial"/>
                <w:color w:val="0D0D0D" w:themeColor="text1" w:themeTint="F2"/>
                <w:sz w:val="14"/>
                <w:szCs w:val="14"/>
              </w:rPr>
              <w:t>Página 100</w:t>
            </w:r>
            <w:r w:rsidRPr="00E9545C">
              <w:rPr>
                <w:rFonts w:ascii="Arial" w:eastAsia="Trebuchet MS" w:hAnsi="Arial" w:cs="Arial"/>
                <w:color w:val="0D0D0D" w:themeColor="text1" w:themeTint="F2"/>
                <w:sz w:val="14"/>
                <w:szCs w:val="14"/>
              </w:rPr>
              <w:t xml:space="preserve"> </w:t>
            </w:r>
            <w:r w:rsidRPr="004A14D3">
              <w:rPr>
                <w:rFonts w:ascii="Arial" w:eastAsia="Trebuchet MS" w:hAnsi="Arial" w:cs="Arial"/>
                <w:color w:val="0D0D0D" w:themeColor="text1" w:themeTint="F2"/>
                <w:sz w:val="14"/>
                <w:szCs w:val="14"/>
              </w:rPr>
              <w:t>http://www.sefiplan.qroo.gob.mx/sistemas/Cpublica/archivos/TomoI-ResultadosGenerales2022.pdf</w:t>
            </w:r>
          </w:p>
        </w:tc>
      </w:tr>
    </w:tbl>
    <w:p w14:paraId="1DFB9C7B" w14:textId="1BCFD561" w:rsidR="0046336D" w:rsidRDefault="0046336D" w:rsidP="0046336D">
      <w:pPr>
        <w:widowControl w:val="0"/>
        <w:autoSpaceDE w:val="0"/>
        <w:autoSpaceDN w:val="0"/>
        <w:spacing w:after="0" w:line="240" w:lineRule="auto"/>
        <w:ind w:right="-93"/>
        <w:rPr>
          <w:rFonts w:ascii="Arial" w:eastAsia="Arial" w:hAnsi="Arial" w:cs="Arial"/>
          <w:sz w:val="26"/>
          <w:szCs w:val="24"/>
          <w:lang w:val="es-ES"/>
        </w:rPr>
      </w:pPr>
      <w:r>
        <w:rPr>
          <w:rFonts w:ascii="Arial" w:eastAsia="Arial" w:hAnsi="Arial" w:cs="Arial"/>
          <w:sz w:val="26"/>
          <w:szCs w:val="24"/>
          <w:lang w:val="es-ES"/>
        </w:rPr>
        <w:t xml:space="preserve"> </w:t>
      </w:r>
    </w:p>
    <w:p w14:paraId="0F39BB64" w14:textId="77777777" w:rsidR="00851809" w:rsidRPr="00E9545C" w:rsidRDefault="00851809" w:rsidP="0046336D">
      <w:pPr>
        <w:widowControl w:val="0"/>
        <w:autoSpaceDE w:val="0"/>
        <w:autoSpaceDN w:val="0"/>
        <w:spacing w:after="0" w:line="240" w:lineRule="auto"/>
        <w:ind w:right="-93"/>
        <w:rPr>
          <w:rFonts w:ascii="Arial" w:eastAsia="Arial" w:hAnsi="Arial" w:cs="Arial"/>
          <w:sz w:val="26"/>
          <w:szCs w:val="24"/>
          <w:lang w:val="es-ES"/>
        </w:rPr>
      </w:pPr>
    </w:p>
    <w:p w14:paraId="58AECA43" w14:textId="77777777" w:rsidR="0046336D" w:rsidRPr="00E37D56" w:rsidRDefault="0046336D" w:rsidP="0046336D">
      <w:pPr>
        <w:keepNext/>
        <w:keepLines/>
        <w:spacing w:before="40" w:after="0"/>
        <w:ind w:left="360"/>
        <w:outlineLvl w:val="2"/>
        <w:rPr>
          <w:rFonts w:ascii="Arial" w:eastAsia="Times New Roman" w:hAnsi="Arial" w:cs="Arial"/>
          <w:b/>
          <w:color w:val="262626"/>
          <w:sz w:val="24"/>
          <w:szCs w:val="24"/>
        </w:rPr>
      </w:pPr>
      <w:bookmarkStart w:id="87" w:name="_Toc95496695"/>
      <w:bookmarkStart w:id="88" w:name="_Toc158567506"/>
      <w:r w:rsidRPr="00E37D56">
        <w:rPr>
          <w:rFonts w:ascii="Arial" w:eastAsia="Times New Roman" w:hAnsi="Arial" w:cs="Arial"/>
          <w:b/>
          <w:color w:val="262626"/>
          <w:sz w:val="24"/>
          <w:szCs w:val="24"/>
        </w:rPr>
        <w:lastRenderedPageBreak/>
        <w:t>II. Gasto Programable y No Programable</w:t>
      </w:r>
      <w:bookmarkEnd w:id="87"/>
      <w:bookmarkEnd w:id="88"/>
    </w:p>
    <w:p w14:paraId="4492534B" w14:textId="77777777" w:rsidR="0046336D" w:rsidRPr="00E9545C" w:rsidRDefault="0046336D" w:rsidP="0046336D">
      <w:pPr>
        <w:widowControl w:val="0"/>
        <w:autoSpaceDE w:val="0"/>
        <w:autoSpaceDN w:val="0"/>
        <w:spacing w:after="0" w:line="276" w:lineRule="auto"/>
        <w:ind w:left="-284" w:right="142"/>
        <w:rPr>
          <w:rFonts w:ascii="Arial" w:eastAsia="Arial" w:hAnsi="Arial" w:cs="Arial"/>
          <w:b/>
          <w:sz w:val="20"/>
          <w:szCs w:val="24"/>
          <w:lang w:val="es-ES"/>
        </w:rPr>
      </w:pPr>
    </w:p>
    <w:p w14:paraId="3C922DC0" w14:textId="77777777" w:rsidR="0046336D" w:rsidRPr="00E37D56" w:rsidRDefault="0046336D" w:rsidP="0046336D">
      <w:pPr>
        <w:widowControl w:val="0"/>
        <w:autoSpaceDE w:val="0"/>
        <w:autoSpaceDN w:val="0"/>
        <w:spacing w:after="0" w:line="276" w:lineRule="auto"/>
        <w:ind w:left="360"/>
        <w:jc w:val="both"/>
        <w:rPr>
          <w:rFonts w:ascii="Arial" w:eastAsia="Arial" w:hAnsi="Arial" w:cs="Arial"/>
          <w:sz w:val="24"/>
          <w:szCs w:val="24"/>
          <w:lang w:val="es-ES"/>
        </w:rPr>
      </w:pPr>
      <w:r w:rsidRPr="00E37D56">
        <w:rPr>
          <w:rFonts w:ascii="Arial" w:eastAsia="Arial" w:hAnsi="Arial" w:cs="Arial"/>
          <w:sz w:val="24"/>
          <w:szCs w:val="24"/>
          <w:lang w:val="es-ES"/>
        </w:rPr>
        <w:t>A continuación, se presentan y analizan las cifras que integran los resultados generales del ejercicio presupuestal de la Administración Central del Gobierno del Estado de Quintana Roo en su distribución presupuestaria programable y no programable:</w:t>
      </w:r>
    </w:p>
    <w:p w14:paraId="4EF1FFDB" w14:textId="77777777" w:rsidR="0046336D" w:rsidRPr="00E9545C" w:rsidRDefault="0046336D" w:rsidP="0046336D">
      <w:pPr>
        <w:widowControl w:val="0"/>
        <w:autoSpaceDE w:val="0"/>
        <w:autoSpaceDN w:val="0"/>
        <w:spacing w:before="9" w:after="0" w:line="276" w:lineRule="auto"/>
        <w:rPr>
          <w:rFonts w:ascii="Arial" w:eastAsia="Arial" w:hAnsi="Arial" w:cs="Arial"/>
          <w:sz w:val="20"/>
          <w:szCs w:val="24"/>
          <w:lang w:val="es-ES"/>
        </w:rPr>
      </w:pPr>
    </w:p>
    <w:p w14:paraId="34F15DFC" w14:textId="77777777" w:rsidR="0046336D" w:rsidRPr="00E37D56" w:rsidRDefault="0046336D" w:rsidP="0046336D">
      <w:pPr>
        <w:widowControl w:val="0"/>
        <w:autoSpaceDE w:val="0"/>
        <w:autoSpaceDN w:val="0"/>
        <w:spacing w:before="1" w:after="0" w:line="276" w:lineRule="auto"/>
        <w:ind w:left="360"/>
        <w:jc w:val="both"/>
        <w:rPr>
          <w:rFonts w:ascii="Arial" w:eastAsia="Arial" w:hAnsi="Arial" w:cs="Arial"/>
          <w:sz w:val="24"/>
          <w:szCs w:val="24"/>
          <w:lang w:val="es-ES"/>
        </w:rPr>
      </w:pPr>
      <w:r w:rsidRPr="00E37D56">
        <w:rPr>
          <w:rFonts w:ascii="Arial" w:eastAsia="Arial" w:hAnsi="Arial" w:cs="Arial"/>
          <w:sz w:val="24"/>
          <w:szCs w:val="24"/>
          <w:lang w:val="es-ES"/>
        </w:rPr>
        <w:t>El Presupuesto de Egresos del Estado para el ejercicio fiscal 202</w:t>
      </w:r>
      <w:r>
        <w:rPr>
          <w:rFonts w:ascii="Arial" w:eastAsia="Arial" w:hAnsi="Arial" w:cs="Arial"/>
          <w:sz w:val="24"/>
          <w:szCs w:val="24"/>
          <w:lang w:val="es-ES"/>
        </w:rPr>
        <w:t>2</w:t>
      </w:r>
      <w:r w:rsidRPr="00E37D56">
        <w:rPr>
          <w:rFonts w:ascii="Arial" w:eastAsia="Arial" w:hAnsi="Arial" w:cs="Arial"/>
          <w:sz w:val="24"/>
          <w:szCs w:val="24"/>
          <w:lang w:val="es-ES"/>
        </w:rPr>
        <w:t>, autorizado por la XVI Legislatura</w:t>
      </w:r>
      <w:r w:rsidRPr="00E37D56">
        <w:rPr>
          <w:rFonts w:ascii="Arial" w:eastAsia="Arial" w:hAnsi="Arial" w:cs="Arial"/>
          <w:spacing w:val="-20"/>
          <w:sz w:val="24"/>
          <w:szCs w:val="24"/>
          <w:lang w:val="es-ES"/>
        </w:rPr>
        <w:t xml:space="preserve"> </w:t>
      </w:r>
      <w:r w:rsidRPr="00E37D56">
        <w:rPr>
          <w:rFonts w:ascii="Arial" w:eastAsia="Arial" w:hAnsi="Arial" w:cs="Arial"/>
          <w:sz w:val="24"/>
          <w:szCs w:val="24"/>
          <w:lang w:val="es-ES"/>
        </w:rPr>
        <w:t>del</w:t>
      </w:r>
      <w:r w:rsidRPr="00E37D56">
        <w:rPr>
          <w:rFonts w:ascii="Arial" w:eastAsia="Arial" w:hAnsi="Arial" w:cs="Arial"/>
          <w:spacing w:val="-20"/>
          <w:sz w:val="24"/>
          <w:szCs w:val="24"/>
          <w:lang w:val="es-ES"/>
        </w:rPr>
        <w:t xml:space="preserve"> </w:t>
      </w:r>
      <w:r w:rsidRPr="00E37D56">
        <w:rPr>
          <w:rFonts w:ascii="Arial" w:eastAsia="Arial" w:hAnsi="Arial" w:cs="Arial"/>
          <w:sz w:val="24"/>
          <w:szCs w:val="24"/>
          <w:lang w:val="es-ES"/>
        </w:rPr>
        <w:t xml:space="preserve">Estado, según el Decreto publicado en el Periódico Oficial del Estado el día </w:t>
      </w:r>
      <w:r>
        <w:rPr>
          <w:rFonts w:ascii="Arial" w:eastAsia="Arial" w:hAnsi="Arial" w:cs="Arial"/>
          <w:sz w:val="24"/>
          <w:szCs w:val="24"/>
          <w:lang w:val="es-ES"/>
        </w:rPr>
        <w:t>21</w:t>
      </w:r>
      <w:r w:rsidRPr="00E37D56">
        <w:rPr>
          <w:rFonts w:ascii="Arial" w:eastAsia="Arial" w:hAnsi="Arial" w:cs="Arial"/>
          <w:sz w:val="24"/>
          <w:szCs w:val="24"/>
          <w:lang w:val="es-ES"/>
        </w:rPr>
        <w:t xml:space="preserve"> de diciembre del año 202</w:t>
      </w:r>
      <w:r>
        <w:rPr>
          <w:rFonts w:ascii="Arial" w:eastAsia="Arial" w:hAnsi="Arial" w:cs="Arial"/>
          <w:sz w:val="24"/>
          <w:szCs w:val="24"/>
          <w:lang w:val="es-ES"/>
        </w:rPr>
        <w:t>1</w:t>
      </w:r>
      <w:r w:rsidRPr="00E37D56">
        <w:rPr>
          <w:rFonts w:ascii="Arial" w:eastAsia="Arial" w:hAnsi="Arial" w:cs="Arial"/>
          <w:sz w:val="24"/>
          <w:szCs w:val="24"/>
          <w:lang w:val="es-ES"/>
        </w:rPr>
        <w:t>,</w:t>
      </w:r>
      <w:r w:rsidRPr="00E37D56">
        <w:rPr>
          <w:rFonts w:ascii="Arial" w:eastAsia="Arial" w:hAnsi="Arial" w:cs="Arial"/>
          <w:spacing w:val="-20"/>
          <w:sz w:val="24"/>
          <w:szCs w:val="24"/>
          <w:lang w:val="es-ES"/>
        </w:rPr>
        <w:t xml:space="preserve"> </w:t>
      </w:r>
      <w:r w:rsidRPr="00E37D56">
        <w:rPr>
          <w:rFonts w:ascii="Arial" w:eastAsia="Arial" w:hAnsi="Arial" w:cs="Arial"/>
          <w:sz w:val="24"/>
          <w:szCs w:val="24"/>
          <w:lang w:val="es-ES"/>
        </w:rPr>
        <w:t>estableció</w:t>
      </w:r>
      <w:r w:rsidRPr="00E37D56">
        <w:rPr>
          <w:rFonts w:ascii="Arial" w:eastAsia="Arial" w:hAnsi="Arial" w:cs="Arial"/>
          <w:spacing w:val="-19"/>
          <w:sz w:val="24"/>
          <w:szCs w:val="24"/>
          <w:lang w:val="es-ES"/>
        </w:rPr>
        <w:t xml:space="preserve"> </w:t>
      </w:r>
      <w:r w:rsidRPr="00E37D56">
        <w:rPr>
          <w:rFonts w:ascii="Arial" w:eastAsia="Arial" w:hAnsi="Arial" w:cs="Arial"/>
          <w:sz w:val="24"/>
          <w:szCs w:val="24"/>
          <w:lang w:val="es-ES"/>
        </w:rPr>
        <w:t>un</w:t>
      </w:r>
      <w:r w:rsidRPr="00E37D56">
        <w:rPr>
          <w:rFonts w:ascii="Arial" w:eastAsia="Arial" w:hAnsi="Arial" w:cs="Arial"/>
          <w:spacing w:val="-20"/>
          <w:sz w:val="24"/>
          <w:szCs w:val="24"/>
          <w:lang w:val="es-ES"/>
        </w:rPr>
        <w:t xml:space="preserve"> </w:t>
      </w:r>
      <w:r w:rsidRPr="00E37D56">
        <w:rPr>
          <w:rFonts w:ascii="Arial" w:eastAsia="Arial" w:hAnsi="Arial" w:cs="Arial"/>
          <w:sz w:val="24"/>
          <w:szCs w:val="24"/>
          <w:lang w:val="es-ES"/>
        </w:rPr>
        <w:t>monto</w:t>
      </w:r>
      <w:r w:rsidRPr="00E37D56">
        <w:rPr>
          <w:rFonts w:ascii="Arial" w:eastAsia="Arial" w:hAnsi="Arial" w:cs="Arial"/>
          <w:spacing w:val="-20"/>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19"/>
          <w:sz w:val="24"/>
          <w:szCs w:val="24"/>
          <w:lang w:val="es-ES"/>
        </w:rPr>
        <w:t xml:space="preserve"> </w:t>
      </w:r>
      <w:r w:rsidRPr="00E37D56">
        <w:rPr>
          <w:rFonts w:ascii="Arial" w:eastAsia="Arial" w:hAnsi="Arial" w:cs="Arial"/>
          <w:sz w:val="24"/>
          <w:szCs w:val="24"/>
          <w:lang w:val="es-ES"/>
        </w:rPr>
        <w:t>gasto</w:t>
      </w:r>
      <w:r w:rsidRPr="00E37D56">
        <w:rPr>
          <w:rFonts w:ascii="Arial" w:eastAsia="Arial" w:hAnsi="Arial" w:cs="Arial"/>
          <w:spacing w:val="-20"/>
          <w:sz w:val="24"/>
          <w:szCs w:val="24"/>
          <w:lang w:val="es-ES"/>
        </w:rPr>
        <w:t xml:space="preserve"> </w:t>
      </w:r>
      <w:r w:rsidRPr="00E37D56">
        <w:rPr>
          <w:rFonts w:ascii="Arial" w:eastAsia="Arial" w:hAnsi="Arial" w:cs="Arial"/>
          <w:sz w:val="24"/>
          <w:szCs w:val="24"/>
          <w:lang w:val="es-ES"/>
        </w:rPr>
        <w:t>anual</w:t>
      </w:r>
      <w:r w:rsidRPr="00E37D56">
        <w:rPr>
          <w:rFonts w:ascii="Arial" w:eastAsia="Arial" w:hAnsi="Arial" w:cs="Arial"/>
          <w:spacing w:val="-20"/>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19"/>
          <w:sz w:val="24"/>
          <w:szCs w:val="24"/>
          <w:lang w:val="es-ES"/>
        </w:rPr>
        <w:t xml:space="preserve"> </w:t>
      </w:r>
      <w:r>
        <w:rPr>
          <w:rFonts w:ascii="Arial" w:eastAsia="Arial" w:hAnsi="Arial" w:cs="Arial"/>
          <w:sz w:val="24"/>
          <w:szCs w:val="24"/>
          <w:lang w:val="es-ES"/>
        </w:rPr>
        <w:t>34,611.2</w:t>
      </w:r>
      <w:r w:rsidRPr="00E37D56">
        <w:rPr>
          <w:rFonts w:ascii="Arial" w:eastAsia="Arial" w:hAnsi="Arial" w:cs="Arial"/>
          <w:sz w:val="24"/>
          <w:szCs w:val="24"/>
          <w:lang w:val="es-ES"/>
        </w:rPr>
        <w:t xml:space="preserve"> millones</w:t>
      </w:r>
      <w:r w:rsidRPr="00E37D56">
        <w:rPr>
          <w:rFonts w:ascii="Arial" w:eastAsia="Arial" w:hAnsi="Arial" w:cs="Arial"/>
          <w:spacing w:val="-18"/>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20"/>
          <w:sz w:val="24"/>
          <w:szCs w:val="24"/>
          <w:lang w:val="es-ES"/>
        </w:rPr>
        <w:t xml:space="preserve"> </w:t>
      </w:r>
      <w:r w:rsidRPr="00E37D56">
        <w:rPr>
          <w:rFonts w:ascii="Arial" w:eastAsia="Arial" w:hAnsi="Arial" w:cs="Arial"/>
          <w:sz w:val="24"/>
          <w:szCs w:val="24"/>
          <w:lang w:val="es-ES"/>
        </w:rPr>
        <w:t>pesos, en</w:t>
      </w:r>
      <w:r w:rsidRPr="00E37D56">
        <w:rPr>
          <w:rFonts w:ascii="Arial" w:eastAsia="Arial" w:hAnsi="Arial" w:cs="Arial"/>
          <w:spacing w:val="-17"/>
          <w:sz w:val="24"/>
          <w:szCs w:val="24"/>
          <w:lang w:val="es-ES"/>
        </w:rPr>
        <w:t xml:space="preserve"> </w:t>
      </w:r>
      <w:r w:rsidRPr="00E37D56">
        <w:rPr>
          <w:rFonts w:ascii="Arial" w:eastAsia="Arial" w:hAnsi="Arial" w:cs="Arial"/>
          <w:sz w:val="24"/>
          <w:szCs w:val="24"/>
          <w:lang w:val="es-ES"/>
        </w:rPr>
        <w:t>equilibrio</w:t>
      </w:r>
      <w:r w:rsidRPr="00E37D56">
        <w:rPr>
          <w:rFonts w:ascii="Arial" w:eastAsia="Arial" w:hAnsi="Arial" w:cs="Arial"/>
          <w:spacing w:val="-16"/>
          <w:sz w:val="24"/>
          <w:szCs w:val="24"/>
          <w:lang w:val="es-ES"/>
        </w:rPr>
        <w:t xml:space="preserve"> </w:t>
      </w:r>
      <w:r w:rsidRPr="00E37D56">
        <w:rPr>
          <w:rFonts w:ascii="Arial" w:eastAsia="Arial" w:hAnsi="Arial" w:cs="Arial"/>
          <w:sz w:val="24"/>
          <w:szCs w:val="24"/>
          <w:lang w:val="es-ES"/>
        </w:rPr>
        <w:t>con</w:t>
      </w:r>
      <w:r w:rsidRPr="00E37D56">
        <w:rPr>
          <w:rFonts w:ascii="Arial" w:eastAsia="Arial" w:hAnsi="Arial" w:cs="Arial"/>
          <w:spacing w:val="-16"/>
          <w:sz w:val="24"/>
          <w:szCs w:val="24"/>
          <w:lang w:val="es-ES"/>
        </w:rPr>
        <w:t xml:space="preserve"> </w:t>
      </w:r>
      <w:r w:rsidRPr="00E37D56">
        <w:rPr>
          <w:rFonts w:ascii="Arial" w:eastAsia="Arial" w:hAnsi="Arial" w:cs="Arial"/>
          <w:sz w:val="24"/>
          <w:szCs w:val="24"/>
          <w:lang w:val="es-ES"/>
        </w:rPr>
        <w:t>el</w:t>
      </w:r>
      <w:r w:rsidRPr="00E37D56">
        <w:rPr>
          <w:rFonts w:ascii="Arial" w:eastAsia="Arial" w:hAnsi="Arial" w:cs="Arial"/>
          <w:spacing w:val="-16"/>
          <w:sz w:val="24"/>
          <w:szCs w:val="24"/>
          <w:lang w:val="es-ES"/>
        </w:rPr>
        <w:t xml:space="preserve"> </w:t>
      </w:r>
      <w:r w:rsidRPr="00E37D56">
        <w:rPr>
          <w:rFonts w:ascii="Arial" w:eastAsia="Arial" w:hAnsi="Arial" w:cs="Arial"/>
          <w:sz w:val="24"/>
          <w:szCs w:val="24"/>
          <w:lang w:val="es-ES"/>
        </w:rPr>
        <w:t>monto</w:t>
      </w:r>
      <w:r w:rsidRPr="00E37D56">
        <w:rPr>
          <w:rFonts w:ascii="Arial" w:eastAsia="Arial" w:hAnsi="Arial" w:cs="Arial"/>
          <w:spacing w:val="-16"/>
          <w:sz w:val="24"/>
          <w:szCs w:val="24"/>
          <w:lang w:val="es-ES"/>
        </w:rPr>
        <w:t xml:space="preserve"> </w:t>
      </w:r>
      <w:r w:rsidRPr="00E37D56">
        <w:rPr>
          <w:rFonts w:ascii="Arial" w:eastAsia="Arial" w:hAnsi="Arial" w:cs="Arial"/>
          <w:sz w:val="24"/>
          <w:szCs w:val="24"/>
          <w:lang w:val="es-ES"/>
        </w:rPr>
        <w:t>y</w:t>
      </w:r>
      <w:r w:rsidRPr="00E37D56">
        <w:rPr>
          <w:rFonts w:ascii="Arial" w:eastAsia="Arial" w:hAnsi="Arial" w:cs="Arial"/>
          <w:spacing w:val="-15"/>
          <w:sz w:val="24"/>
          <w:szCs w:val="24"/>
          <w:lang w:val="es-ES"/>
        </w:rPr>
        <w:t xml:space="preserve"> </w:t>
      </w:r>
      <w:r w:rsidRPr="00E37D56">
        <w:rPr>
          <w:rFonts w:ascii="Arial" w:eastAsia="Arial" w:hAnsi="Arial" w:cs="Arial"/>
          <w:sz w:val="24"/>
          <w:szCs w:val="24"/>
          <w:lang w:val="es-ES"/>
        </w:rPr>
        <w:t>estructura</w:t>
      </w:r>
      <w:r w:rsidRPr="00E37D56">
        <w:rPr>
          <w:rFonts w:ascii="Arial" w:eastAsia="Arial" w:hAnsi="Arial" w:cs="Arial"/>
          <w:spacing w:val="-12"/>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16"/>
          <w:sz w:val="24"/>
          <w:szCs w:val="24"/>
          <w:lang w:val="es-ES"/>
        </w:rPr>
        <w:t xml:space="preserve"> </w:t>
      </w:r>
      <w:r w:rsidRPr="00E37D56">
        <w:rPr>
          <w:rFonts w:ascii="Arial" w:eastAsia="Arial" w:hAnsi="Arial" w:cs="Arial"/>
          <w:sz w:val="24"/>
          <w:szCs w:val="24"/>
          <w:lang w:val="es-ES"/>
        </w:rPr>
        <w:t>las</w:t>
      </w:r>
      <w:r w:rsidRPr="00E37D56">
        <w:rPr>
          <w:rFonts w:ascii="Arial" w:eastAsia="Arial" w:hAnsi="Arial" w:cs="Arial"/>
          <w:spacing w:val="-16"/>
          <w:sz w:val="24"/>
          <w:szCs w:val="24"/>
          <w:lang w:val="es-ES"/>
        </w:rPr>
        <w:t xml:space="preserve"> </w:t>
      </w:r>
      <w:r w:rsidRPr="00E37D56">
        <w:rPr>
          <w:rFonts w:ascii="Arial" w:eastAsia="Arial" w:hAnsi="Arial" w:cs="Arial"/>
          <w:sz w:val="24"/>
          <w:szCs w:val="24"/>
          <w:lang w:val="es-ES"/>
        </w:rPr>
        <w:t>estimaciones</w:t>
      </w:r>
      <w:r w:rsidRPr="00E37D56">
        <w:rPr>
          <w:rFonts w:ascii="Arial" w:eastAsia="Arial" w:hAnsi="Arial" w:cs="Arial"/>
          <w:spacing w:val="-15"/>
          <w:sz w:val="24"/>
          <w:szCs w:val="24"/>
          <w:lang w:val="es-ES"/>
        </w:rPr>
        <w:t xml:space="preserve"> </w:t>
      </w:r>
      <w:r w:rsidRPr="00E37D56">
        <w:rPr>
          <w:rFonts w:ascii="Arial" w:eastAsia="Arial" w:hAnsi="Arial" w:cs="Arial"/>
          <w:sz w:val="24"/>
          <w:szCs w:val="24"/>
          <w:lang w:val="es-ES"/>
        </w:rPr>
        <w:t>incluidas</w:t>
      </w:r>
      <w:r w:rsidRPr="00E37D56">
        <w:rPr>
          <w:rFonts w:ascii="Arial" w:eastAsia="Arial" w:hAnsi="Arial" w:cs="Arial"/>
          <w:spacing w:val="-15"/>
          <w:sz w:val="24"/>
          <w:szCs w:val="24"/>
          <w:lang w:val="es-ES"/>
        </w:rPr>
        <w:t xml:space="preserve"> </w:t>
      </w:r>
      <w:r w:rsidRPr="00E37D56">
        <w:rPr>
          <w:rFonts w:ascii="Arial" w:eastAsia="Arial" w:hAnsi="Arial" w:cs="Arial"/>
          <w:sz w:val="24"/>
          <w:szCs w:val="24"/>
          <w:lang w:val="es-ES"/>
        </w:rPr>
        <w:t>en</w:t>
      </w:r>
      <w:r w:rsidRPr="00E37D56">
        <w:rPr>
          <w:rFonts w:ascii="Arial" w:eastAsia="Arial" w:hAnsi="Arial" w:cs="Arial"/>
          <w:spacing w:val="-16"/>
          <w:sz w:val="24"/>
          <w:szCs w:val="24"/>
          <w:lang w:val="es-ES"/>
        </w:rPr>
        <w:t xml:space="preserve"> </w:t>
      </w:r>
      <w:r w:rsidRPr="00E37D56">
        <w:rPr>
          <w:rFonts w:ascii="Arial" w:eastAsia="Arial" w:hAnsi="Arial" w:cs="Arial"/>
          <w:sz w:val="24"/>
          <w:szCs w:val="24"/>
          <w:lang w:val="es-ES"/>
        </w:rPr>
        <w:t>la</w:t>
      </w:r>
      <w:r w:rsidRPr="00E37D56">
        <w:rPr>
          <w:rFonts w:ascii="Arial" w:eastAsia="Arial" w:hAnsi="Arial" w:cs="Arial"/>
          <w:spacing w:val="-16"/>
          <w:sz w:val="24"/>
          <w:szCs w:val="24"/>
          <w:lang w:val="es-ES"/>
        </w:rPr>
        <w:t xml:space="preserve"> </w:t>
      </w:r>
      <w:r w:rsidRPr="00E37D56">
        <w:rPr>
          <w:rFonts w:ascii="Arial" w:eastAsia="Arial" w:hAnsi="Arial" w:cs="Arial"/>
          <w:sz w:val="24"/>
          <w:szCs w:val="24"/>
          <w:lang w:val="es-ES"/>
        </w:rPr>
        <w:t>Ley</w:t>
      </w:r>
      <w:r w:rsidRPr="00E37D56">
        <w:rPr>
          <w:rFonts w:ascii="Arial" w:eastAsia="Arial" w:hAnsi="Arial" w:cs="Arial"/>
          <w:spacing w:val="-11"/>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16"/>
          <w:sz w:val="24"/>
          <w:szCs w:val="24"/>
          <w:lang w:val="es-ES"/>
        </w:rPr>
        <w:t xml:space="preserve"> </w:t>
      </w:r>
      <w:r w:rsidRPr="00E37D56">
        <w:rPr>
          <w:rFonts w:ascii="Arial" w:eastAsia="Arial" w:hAnsi="Arial" w:cs="Arial"/>
          <w:sz w:val="24"/>
          <w:szCs w:val="24"/>
          <w:lang w:val="es-ES"/>
        </w:rPr>
        <w:t>Ingresos para ese mismo año, como se describe en el apartado de Ingresos; reportándose un gasto</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devengado</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5"/>
          <w:sz w:val="24"/>
          <w:szCs w:val="24"/>
          <w:lang w:val="es-ES"/>
        </w:rPr>
        <w:t xml:space="preserve"> </w:t>
      </w:r>
      <w:r>
        <w:rPr>
          <w:rFonts w:ascii="Arial" w:eastAsia="Arial" w:hAnsi="Arial" w:cs="Arial"/>
          <w:spacing w:val="-5"/>
          <w:sz w:val="24"/>
          <w:szCs w:val="24"/>
          <w:lang w:val="es-ES"/>
        </w:rPr>
        <w:t>42,438.2</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millones</w:t>
      </w:r>
      <w:r w:rsidRPr="00E37D56">
        <w:rPr>
          <w:rFonts w:ascii="Arial" w:eastAsia="Arial" w:hAnsi="Arial" w:cs="Arial"/>
          <w:spacing w:val="-5"/>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pesos,</w:t>
      </w:r>
      <w:r w:rsidRPr="00E37D56">
        <w:rPr>
          <w:rFonts w:ascii="Arial" w:eastAsia="Arial" w:hAnsi="Arial" w:cs="Arial"/>
          <w:spacing w:val="-3"/>
          <w:sz w:val="24"/>
          <w:szCs w:val="24"/>
          <w:lang w:val="es-ES"/>
        </w:rPr>
        <w:t xml:space="preserve"> </w:t>
      </w:r>
      <w:r w:rsidRPr="00E37D56">
        <w:rPr>
          <w:rFonts w:ascii="Arial" w:eastAsia="Arial" w:hAnsi="Arial" w:cs="Arial"/>
          <w:sz w:val="24"/>
          <w:szCs w:val="24"/>
          <w:lang w:val="es-ES"/>
        </w:rPr>
        <w:t>(que</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en</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flujo</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efectivo</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corresponde</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 xml:space="preserve">a </w:t>
      </w:r>
      <w:r>
        <w:rPr>
          <w:rFonts w:ascii="Arial" w:eastAsia="Arial" w:hAnsi="Arial" w:cs="Arial"/>
          <w:sz w:val="24"/>
          <w:szCs w:val="24"/>
          <w:lang w:val="es-ES"/>
        </w:rPr>
        <w:t>40,444.7</w:t>
      </w:r>
      <w:r w:rsidRPr="00E37D56">
        <w:rPr>
          <w:rFonts w:ascii="Arial" w:eastAsia="Arial" w:hAnsi="Arial" w:cs="Arial"/>
          <w:sz w:val="24"/>
          <w:szCs w:val="24"/>
          <w:lang w:val="es-ES"/>
        </w:rPr>
        <w:t xml:space="preserve"> millones de pesos), que se integra por variaciones en los distintos ramos generales autorizados.</w:t>
      </w:r>
    </w:p>
    <w:p w14:paraId="2AAF55D4" w14:textId="77777777" w:rsidR="0046336D" w:rsidRPr="00E37D56" w:rsidRDefault="0046336D" w:rsidP="0046336D">
      <w:pPr>
        <w:widowControl w:val="0"/>
        <w:autoSpaceDE w:val="0"/>
        <w:autoSpaceDN w:val="0"/>
        <w:spacing w:before="40" w:after="0" w:line="276" w:lineRule="auto"/>
        <w:rPr>
          <w:rFonts w:ascii="Arial" w:eastAsia="Arial" w:hAnsi="Arial" w:cs="Arial"/>
          <w:sz w:val="12"/>
          <w:szCs w:val="24"/>
          <w:lang w:val="es-ES"/>
        </w:rPr>
      </w:pPr>
    </w:p>
    <w:p w14:paraId="237C7238" w14:textId="77777777" w:rsidR="0046336D" w:rsidRDefault="0046336D" w:rsidP="0046336D">
      <w:pPr>
        <w:widowControl w:val="0"/>
        <w:autoSpaceDE w:val="0"/>
        <w:autoSpaceDN w:val="0"/>
        <w:spacing w:before="93" w:after="0" w:line="276" w:lineRule="auto"/>
        <w:ind w:left="360"/>
        <w:jc w:val="both"/>
        <w:rPr>
          <w:rFonts w:ascii="Arial" w:eastAsia="Arial" w:hAnsi="Arial" w:cs="Arial"/>
          <w:sz w:val="24"/>
          <w:szCs w:val="24"/>
          <w:lang w:val="es-ES"/>
        </w:rPr>
      </w:pPr>
      <w:r w:rsidRPr="00E37D56">
        <w:rPr>
          <w:rFonts w:ascii="Arial" w:eastAsia="Arial" w:hAnsi="Arial" w:cs="Arial"/>
          <w:sz w:val="24"/>
          <w:szCs w:val="24"/>
          <w:lang w:val="es-ES"/>
        </w:rPr>
        <w:t xml:space="preserve">Del monto total de recursos autorizados en el Decreto </w:t>
      </w:r>
      <w:r w:rsidRPr="00E37D56">
        <w:rPr>
          <w:rFonts w:ascii="Arial" w:eastAsia="Arial" w:hAnsi="Arial" w:cs="Arial"/>
          <w:spacing w:val="2"/>
          <w:sz w:val="24"/>
          <w:szCs w:val="24"/>
          <w:lang w:val="es-ES"/>
        </w:rPr>
        <w:t xml:space="preserve">del </w:t>
      </w:r>
      <w:r w:rsidRPr="00E37D56">
        <w:rPr>
          <w:rFonts w:ascii="Arial" w:eastAsia="Arial" w:hAnsi="Arial" w:cs="Arial"/>
          <w:sz w:val="24"/>
          <w:szCs w:val="24"/>
          <w:lang w:val="es-ES"/>
        </w:rPr>
        <w:t>Presupuesto de Egresos del año 202</w:t>
      </w:r>
      <w:r>
        <w:rPr>
          <w:rFonts w:ascii="Arial" w:eastAsia="Arial" w:hAnsi="Arial" w:cs="Arial"/>
          <w:sz w:val="24"/>
          <w:szCs w:val="24"/>
          <w:lang w:val="es-ES"/>
        </w:rPr>
        <w:t>2</w:t>
      </w:r>
      <w:r w:rsidRPr="00E37D56">
        <w:rPr>
          <w:rFonts w:ascii="Arial" w:eastAsia="Arial" w:hAnsi="Arial" w:cs="Arial"/>
          <w:sz w:val="24"/>
          <w:szCs w:val="24"/>
          <w:lang w:val="es-ES"/>
        </w:rPr>
        <w:t>, una vez disminuidos los importes destinados al pago de Participaciones a Municipios, el pago del Servicio de la Deuda Pública, los Adeudos de Ejercicios</w:t>
      </w:r>
      <w:r w:rsidRPr="00E37D56">
        <w:rPr>
          <w:rFonts w:ascii="Arial" w:eastAsia="Arial" w:hAnsi="Arial" w:cs="Arial"/>
          <w:spacing w:val="-32"/>
          <w:sz w:val="24"/>
          <w:szCs w:val="24"/>
          <w:lang w:val="es-ES"/>
        </w:rPr>
        <w:t xml:space="preserve"> </w:t>
      </w:r>
      <w:r w:rsidRPr="00E37D56">
        <w:rPr>
          <w:rFonts w:ascii="Arial" w:eastAsia="Arial" w:hAnsi="Arial" w:cs="Arial"/>
          <w:sz w:val="24"/>
          <w:szCs w:val="24"/>
          <w:lang w:val="es-ES"/>
        </w:rPr>
        <w:t xml:space="preserve">Fiscales Anteriores (ADEFAS) se determinó el monto de recursos aplicables a la ejecución de programas denominado Gasto Programable. Las sumas del gasto programable y no programable, autorizadas y </w:t>
      </w:r>
      <w:r>
        <w:rPr>
          <w:rFonts w:ascii="Arial" w:eastAsia="Arial" w:hAnsi="Arial" w:cs="Arial"/>
          <w:sz w:val="24"/>
          <w:szCs w:val="24"/>
          <w:lang w:val="es-ES"/>
        </w:rPr>
        <w:t>devengados</w:t>
      </w:r>
      <w:r w:rsidRPr="00E37D56">
        <w:rPr>
          <w:rFonts w:ascii="Arial" w:eastAsia="Arial" w:hAnsi="Arial" w:cs="Arial"/>
          <w:sz w:val="24"/>
          <w:szCs w:val="24"/>
          <w:lang w:val="es-ES"/>
        </w:rPr>
        <w:t xml:space="preserve"> del año 202</w:t>
      </w:r>
      <w:r>
        <w:rPr>
          <w:rFonts w:ascii="Arial" w:eastAsia="Arial" w:hAnsi="Arial" w:cs="Arial"/>
          <w:sz w:val="24"/>
          <w:szCs w:val="24"/>
          <w:lang w:val="es-ES"/>
        </w:rPr>
        <w:t>2</w:t>
      </w:r>
      <w:r w:rsidRPr="00E37D56">
        <w:rPr>
          <w:rFonts w:ascii="Arial" w:eastAsia="Arial" w:hAnsi="Arial" w:cs="Arial"/>
          <w:sz w:val="24"/>
          <w:szCs w:val="24"/>
          <w:lang w:val="es-ES"/>
        </w:rPr>
        <w:t>, son las que se señalan en el cuadro siguiente;</w:t>
      </w:r>
      <w:r w:rsidRPr="00E37D56">
        <w:rPr>
          <w:rFonts w:ascii="Arial" w:eastAsia="Arial" w:hAnsi="Arial" w:cs="Arial"/>
          <w:spacing w:val="-5"/>
          <w:sz w:val="24"/>
          <w:szCs w:val="24"/>
          <w:lang w:val="es-ES"/>
        </w:rPr>
        <w:t xml:space="preserve"> </w:t>
      </w:r>
      <w:r w:rsidRPr="00E37D56">
        <w:rPr>
          <w:rFonts w:ascii="Arial" w:eastAsia="Arial" w:hAnsi="Arial" w:cs="Arial"/>
          <w:sz w:val="24"/>
          <w:szCs w:val="24"/>
          <w:lang w:val="es-ES"/>
        </w:rPr>
        <w:t>donde</w:t>
      </w:r>
      <w:r w:rsidRPr="00E37D56">
        <w:rPr>
          <w:rFonts w:ascii="Arial" w:eastAsia="Arial" w:hAnsi="Arial" w:cs="Arial"/>
          <w:spacing w:val="-7"/>
          <w:sz w:val="24"/>
          <w:szCs w:val="24"/>
          <w:lang w:val="es-ES"/>
        </w:rPr>
        <w:t xml:space="preserve"> </w:t>
      </w:r>
      <w:r w:rsidRPr="00E37D56">
        <w:rPr>
          <w:rFonts w:ascii="Arial" w:eastAsia="Arial" w:hAnsi="Arial" w:cs="Arial"/>
          <w:sz w:val="24"/>
          <w:szCs w:val="24"/>
          <w:lang w:val="es-ES"/>
        </w:rPr>
        <w:t>se</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puede</w:t>
      </w:r>
      <w:r w:rsidRPr="00E37D56">
        <w:rPr>
          <w:rFonts w:ascii="Arial" w:eastAsia="Arial" w:hAnsi="Arial" w:cs="Arial"/>
          <w:spacing w:val="-7"/>
          <w:sz w:val="24"/>
          <w:szCs w:val="24"/>
          <w:lang w:val="es-ES"/>
        </w:rPr>
        <w:t xml:space="preserve"> </w:t>
      </w:r>
      <w:r w:rsidRPr="00E37D56">
        <w:rPr>
          <w:rFonts w:ascii="Arial" w:eastAsia="Arial" w:hAnsi="Arial" w:cs="Arial"/>
          <w:sz w:val="24"/>
          <w:szCs w:val="24"/>
          <w:lang w:val="es-ES"/>
        </w:rPr>
        <w:t>observar</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un</w:t>
      </w:r>
      <w:r w:rsidRPr="00E37D56">
        <w:rPr>
          <w:rFonts w:ascii="Arial" w:eastAsia="Arial" w:hAnsi="Arial" w:cs="Arial"/>
          <w:spacing w:val="-7"/>
          <w:sz w:val="24"/>
          <w:szCs w:val="24"/>
          <w:lang w:val="es-ES"/>
        </w:rPr>
        <w:t xml:space="preserve"> </w:t>
      </w:r>
      <w:r w:rsidRPr="00E37D56">
        <w:rPr>
          <w:rFonts w:ascii="Arial" w:eastAsia="Arial" w:hAnsi="Arial" w:cs="Arial"/>
          <w:sz w:val="24"/>
          <w:szCs w:val="24"/>
          <w:lang w:val="es-ES"/>
        </w:rPr>
        <w:t>nivel</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de</w:t>
      </w:r>
      <w:r w:rsidRPr="00E37D56">
        <w:rPr>
          <w:rFonts w:ascii="Arial" w:eastAsia="Arial" w:hAnsi="Arial" w:cs="Arial"/>
          <w:spacing w:val="-7"/>
          <w:sz w:val="24"/>
          <w:szCs w:val="24"/>
          <w:lang w:val="es-ES"/>
        </w:rPr>
        <w:t xml:space="preserve"> </w:t>
      </w:r>
      <w:r w:rsidRPr="00E37D56">
        <w:rPr>
          <w:rFonts w:ascii="Arial" w:eastAsia="Arial" w:hAnsi="Arial" w:cs="Arial"/>
          <w:sz w:val="24"/>
          <w:szCs w:val="24"/>
          <w:lang w:val="es-ES"/>
        </w:rPr>
        <w:t>ejercicio</w:t>
      </w:r>
      <w:r w:rsidRPr="00E37D56">
        <w:rPr>
          <w:rFonts w:ascii="Arial" w:eastAsia="Arial" w:hAnsi="Arial" w:cs="Arial"/>
          <w:spacing w:val="-7"/>
          <w:sz w:val="24"/>
          <w:szCs w:val="24"/>
          <w:lang w:val="es-ES"/>
        </w:rPr>
        <w:t xml:space="preserve"> </w:t>
      </w:r>
      <w:r w:rsidRPr="00E37D56">
        <w:rPr>
          <w:rFonts w:ascii="Arial" w:eastAsia="Arial" w:hAnsi="Arial" w:cs="Arial"/>
          <w:sz w:val="24"/>
          <w:szCs w:val="24"/>
          <w:lang w:val="es-ES"/>
        </w:rPr>
        <w:t>superior</w:t>
      </w:r>
      <w:r w:rsidRPr="00E37D56">
        <w:rPr>
          <w:rFonts w:ascii="Arial" w:eastAsia="Arial" w:hAnsi="Arial" w:cs="Arial"/>
          <w:spacing w:val="-6"/>
          <w:sz w:val="24"/>
          <w:szCs w:val="24"/>
          <w:lang w:val="es-ES"/>
        </w:rPr>
        <w:t xml:space="preserve"> </w:t>
      </w:r>
      <w:r w:rsidRPr="00E37D56">
        <w:rPr>
          <w:rFonts w:ascii="Arial" w:eastAsia="Arial" w:hAnsi="Arial" w:cs="Arial"/>
          <w:sz w:val="24"/>
          <w:szCs w:val="24"/>
          <w:lang w:val="es-ES"/>
        </w:rPr>
        <w:t>del</w:t>
      </w:r>
      <w:r w:rsidRPr="00E37D56">
        <w:rPr>
          <w:rFonts w:ascii="Arial" w:eastAsia="Arial" w:hAnsi="Arial" w:cs="Arial"/>
          <w:spacing w:val="-3"/>
          <w:sz w:val="24"/>
          <w:szCs w:val="24"/>
          <w:lang w:val="es-ES"/>
        </w:rPr>
        <w:t xml:space="preserve"> </w:t>
      </w:r>
      <w:r w:rsidRPr="00E37D56">
        <w:rPr>
          <w:rFonts w:ascii="Arial" w:eastAsia="Arial" w:hAnsi="Arial" w:cs="Arial"/>
          <w:sz w:val="24"/>
          <w:szCs w:val="24"/>
          <w:lang w:val="es-ES"/>
        </w:rPr>
        <w:t>gasto</w:t>
      </w:r>
      <w:r w:rsidRPr="00E37D56">
        <w:rPr>
          <w:rFonts w:ascii="Arial" w:eastAsia="Arial" w:hAnsi="Arial" w:cs="Arial"/>
          <w:spacing w:val="-4"/>
          <w:sz w:val="24"/>
          <w:szCs w:val="24"/>
          <w:lang w:val="es-ES"/>
        </w:rPr>
        <w:t xml:space="preserve"> </w:t>
      </w:r>
      <w:r w:rsidRPr="00E37D56">
        <w:rPr>
          <w:rFonts w:ascii="Arial" w:eastAsia="Arial" w:hAnsi="Arial" w:cs="Arial"/>
          <w:sz w:val="24"/>
          <w:szCs w:val="24"/>
          <w:lang w:val="es-ES"/>
        </w:rPr>
        <w:t>programable, en beneficio del logro de los objetivos y eventualmente superar las metas establecidas en el ámbito de las funciones del Gobierno del</w:t>
      </w:r>
      <w:r w:rsidRPr="00E37D56">
        <w:rPr>
          <w:rFonts w:ascii="Arial" w:eastAsia="Arial" w:hAnsi="Arial" w:cs="Arial"/>
          <w:spacing w:val="-8"/>
          <w:sz w:val="24"/>
          <w:szCs w:val="24"/>
          <w:lang w:val="es-ES"/>
        </w:rPr>
        <w:t xml:space="preserve"> </w:t>
      </w:r>
      <w:r w:rsidRPr="00E37D56">
        <w:rPr>
          <w:rFonts w:ascii="Arial" w:eastAsia="Arial" w:hAnsi="Arial" w:cs="Arial"/>
          <w:sz w:val="24"/>
          <w:szCs w:val="24"/>
          <w:lang w:val="es-ES"/>
        </w:rPr>
        <w:t>Estado.</w:t>
      </w:r>
    </w:p>
    <w:p w14:paraId="78369DC4" w14:textId="77777777" w:rsidR="00C520AA" w:rsidRDefault="00C520AA" w:rsidP="0046336D">
      <w:pPr>
        <w:widowControl w:val="0"/>
        <w:autoSpaceDE w:val="0"/>
        <w:autoSpaceDN w:val="0"/>
        <w:spacing w:before="93" w:after="0" w:line="276" w:lineRule="auto"/>
        <w:ind w:left="360"/>
        <w:jc w:val="both"/>
        <w:rPr>
          <w:rFonts w:ascii="Arial" w:eastAsia="Arial" w:hAnsi="Arial" w:cs="Arial"/>
          <w:sz w:val="24"/>
          <w:szCs w:val="24"/>
          <w:lang w:val="es-ES"/>
        </w:rPr>
      </w:pPr>
    </w:p>
    <w:tbl>
      <w:tblPr>
        <w:tblStyle w:val="TableNormal1"/>
        <w:tblW w:w="505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1177"/>
        <w:gridCol w:w="1070"/>
        <w:gridCol w:w="1202"/>
        <w:gridCol w:w="1070"/>
        <w:gridCol w:w="1081"/>
        <w:gridCol w:w="1068"/>
      </w:tblGrid>
      <w:tr w:rsidR="0046336D" w:rsidRPr="00E37D56" w14:paraId="589A069B" w14:textId="77777777" w:rsidTr="00C520AA">
        <w:trPr>
          <w:trHeight w:val="887"/>
          <w:tblHeader/>
          <w:jc w:val="center"/>
        </w:trPr>
        <w:tc>
          <w:tcPr>
            <w:tcW w:w="5000" w:type="pct"/>
            <w:gridSpan w:val="7"/>
            <w:tcBorders>
              <w:top w:val="single" w:sz="4" w:space="0" w:color="BFBFBF"/>
              <w:left w:val="single" w:sz="4" w:space="0" w:color="BFBFBF"/>
              <w:bottom w:val="single" w:sz="4" w:space="0" w:color="BFBFBF"/>
              <w:right w:val="single" w:sz="4" w:space="0" w:color="BFBFBF"/>
            </w:tcBorders>
            <w:shd w:val="clear" w:color="auto" w:fill="auto"/>
            <w:vAlign w:val="center"/>
          </w:tcPr>
          <w:p w14:paraId="624F56B8" w14:textId="77777777" w:rsidR="0046336D" w:rsidRPr="00E9545C" w:rsidRDefault="0046336D" w:rsidP="0046336D">
            <w:pPr>
              <w:spacing w:line="276" w:lineRule="auto"/>
              <w:ind w:right="-93"/>
              <w:jc w:val="center"/>
              <w:rPr>
                <w:rFonts w:ascii="Arial" w:eastAsia="Arial" w:hAnsi="Arial" w:cs="Arial"/>
                <w:b/>
                <w:color w:val="262626"/>
                <w:sz w:val="20"/>
                <w:lang w:val="es-ES"/>
              </w:rPr>
            </w:pPr>
            <w:r w:rsidRPr="00E9545C">
              <w:rPr>
                <w:rFonts w:ascii="Arial" w:eastAsia="Arial" w:hAnsi="Arial" w:cs="Arial"/>
                <w:b/>
                <w:color w:val="262626"/>
                <w:sz w:val="20"/>
                <w:lang w:val="es-ES"/>
              </w:rPr>
              <w:t xml:space="preserve">Administración Pública Central del Estado de Quintana Roo </w:t>
            </w:r>
          </w:p>
          <w:p w14:paraId="18BECE0D" w14:textId="77777777" w:rsidR="0046336D" w:rsidRPr="00E9545C" w:rsidRDefault="0046336D" w:rsidP="0046336D">
            <w:pPr>
              <w:spacing w:line="276" w:lineRule="auto"/>
              <w:ind w:right="-93"/>
              <w:jc w:val="center"/>
              <w:rPr>
                <w:rFonts w:ascii="Arial" w:eastAsia="Arial" w:hAnsi="Arial" w:cs="Arial"/>
                <w:b/>
                <w:color w:val="262626"/>
                <w:sz w:val="20"/>
                <w:lang w:val="es-ES"/>
              </w:rPr>
            </w:pPr>
            <w:r w:rsidRPr="00E9545C">
              <w:rPr>
                <w:rFonts w:ascii="Arial" w:eastAsia="Arial" w:hAnsi="Arial" w:cs="Arial"/>
                <w:b/>
                <w:color w:val="262626"/>
                <w:sz w:val="20"/>
                <w:lang w:val="es-ES"/>
              </w:rPr>
              <w:t xml:space="preserve">Gasto Programable y No Programable </w:t>
            </w:r>
          </w:p>
          <w:p w14:paraId="6AF39034" w14:textId="77777777" w:rsidR="0046336D" w:rsidRPr="00E9545C" w:rsidRDefault="0046336D" w:rsidP="0046336D">
            <w:pPr>
              <w:spacing w:line="276" w:lineRule="auto"/>
              <w:ind w:right="-93"/>
              <w:jc w:val="center"/>
              <w:rPr>
                <w:rFonts w:ascii="Arial" w:eastAsia="Arial" w:hAnsi="Arial" w:cs="Arial"/>
                <w:b/>
                <w:color w:val="262626"/>
                <w:sz w:val="20"/>
                <w:lang w:val="es-ES"/>
              </w:rPr>
            </w:pPr>
            <w:r w:rsidRPr="00E9545C">
              <w:rPr>
                <w:rFonts w:ascii="Arial" w:eastAsia="Arial" w:hAnsi="Arial" w:cs="Arial"/>
                <w:b/>
                <w:color w:val="262626"/>
                <w:sz w:val="20"/>
                <w:lang w:val="es-ES"/>
              </w:rPr>
              <w:t xml:space="preserve">Con Base en Devengado </w:t>
            </w:r>
          </w:p>
          <w:p w14:paraId="1CEFFFAC" w14:textId="77777777" w:rsidR="0046336D" w:rsidRPr="00E9545C" w:rsidRDefault="0046336D" w:rsidP="0046336D">
            <w:pPr>
              <w:spacing w:line="276" w:lineRule="auto"/>
              <w:ind w:right="-93"/>
              <w:jc w:val="center"/>
              <w:rPr>
                <w:rFonts w:ascii="Arial" w:eastAsia="Arial" w:hAnsi="Arial" w:cs="Arial"/>
                <w:b/>
                <w:color w:val="262626"/>
                <w:sz w:val="20"/>
                <w:lang w:val="es-ES"/>
              </w:rPr>
            </w:pPr>
            <w:r w:rsidRPr="00E9545C">
              <w:rPr>
                <w:rFonts w:ascii="Arial" w:eastAsia="Arial" w:hAnsi="Arial" w:cs="Arial"/>
                <w:b/>
                <w:color w:val="262626"/>
                <w:sz w:val="20"/>
                <w:lang w:val="es-ES"/>
              </w:rPr>
              <w:t>Ejercicio 202</w:t>
            </w:r>
            <w:r>
              <w:rPr>
                <w:rFonts w:ascii="Arial" w:eastAsia="Arial" w:hAnsi="Arial" w:cs="Arial"/>
                <w:b/>
                <w:color w:val="262626"/>
                <w:sz w:val="20"/>
                <w:lang w:val="es-ES"/>
              </w:rPr>
              <w:t>2</w:t>
            </w:r>
            <w:r w:rsidRPr="00E9545C">
              <w:rPr>
                <w:rFonts w:ascii="Arial" w:eastAsia="Arial" w:hAnsi="Arial" w:cs="Arial"/>
                <w:b/>
                <w:color w:val="262626"/>
                <w:sz w:val="20"/>
                <w:lang w:val="es-ES"/>
              </w:rPr>
              <w:t xml:space="preserve"> comparativo con 202</w:t>
            </w:r>
            <w:r>
              <w:rPr>
                <w:rFonts w:ascii="Arial" w:eastAsia="Arial" w:hAnsi="Arial" w:cs="Arial"/>
                <w:b/>
                <w:color w:val="262626"/>
                <w:sz w:val="20"/>
                <w:lang w:val="es-ES"/>
              </w:rPr>
              <w:t>1</w:t>
            </w:r>
          </w:p>
          <w:p w14:paraId="3E3028CD" w14:textId="77777777" w:rsidR="0046336D" w:rsidRPr="00E37D56" w:rsidRDefault="0046336D" w:rsidP="0046336D">
            <w:pPr>
              <w:spacing w:line="252" w:lineRule="exact"/>
              <w:ind w:left="419" w:right="-93"/>
              <w:jc w:val="center"/>
              <w:rPr>
                <w:rFonts w:ascii="Arial" w:eastAsia="Trebuchet MS" w:hAnsi="Arial" w:cs="Arial"/>
                <w:sz w:val="16"/>
              </w:rPr>
            </w:pPr>
            <w:r w:rsidRPr="00E9545C">
              <w:rPr>
                <w:rFonts w:ascii="Arial" w:eastAsia="Trebuchet MS" w:hAnsi="Arial" w:cs="Arial"/>
                <w:b/>
                <w:color w:val="262626"/>
                <w:sz w:val="20"/>
              </w:rPr>
              <w:t>(Miles de pesos)</w:t>
            </w:r>
          </w:p>
        </w:tc>
      </w:tr>
      <w:tr w:rsidR="0046336D" w:rsidRPr="00E37D56" w14:paraId="0B0AD77E" w14:textId="77777777" w:rsidTr="00C520AA">
        <w:trPr>
          <w:trHeight w:val="887"/>
          <w:tblHeader/>
          <w:jc w:val="center"/>
        </w:trPr>
        <w:tc>
          <w:tcPr>
            <w:tcW w:w="1267" w:type="pct"/>
            <w:vMerge w:val="restart"/>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27FC42C0" w14:textId="77777777" w:rsidR="0046336D" w:rsidRPr="00E37D56" w:rsidRDefault="0046336D" w:rsidP="0046336D">
            <w:pPr>
              <w:spacing w:before="124"/>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Concepto</w:t>
            </w:r>
          </w:p>
        </w:tc>
        <w:tc>
          <w:tcPr>
            <w:tcW w:w="659" w:type="pct"/>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13997C72" w14:textId="77777777" w:rsidR="0046336D" w:rsidRPr="00E37D56" w:rsidRDefault="0046336D" w:rsidP="0046336D">
            <w:pPr>
              <w:spacing w:before="124"/>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202</w:t>
            </w:r>
            <w:r>
              <w:rPr>
                <w:rFonts w:ascii="Arial" w:eastAsia="Arial" w:hAnsi="Arial" w:cs="Arial"/>
                <w:b/>
                <w:color w:val="FFFFFF"/>
                <w:sz w:val="14"/>
                <w:szCs w:val="16"/>
                <w:lang w:val="es-ES"/>
              </w:rPr>
              <w:t>1</w:t>
            </w:r>
          </w:p>
        </w:tc>
        <w:tc>
          <w:tcPr>
            <w:tcW w:w="1272" w:type="pct"/>
            <w:gridSpan w:val="2"/>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0247D9D7" w14:textId="77777777" w:rsidR="0046336D" w:rsidRPr="00E37D56" w:rsidRDefault="0046336D" w:rsidP="0046336D">
            <w:pPr>
              <w:spacing w:before="124"/>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202</w:t>
            </w:r>
            <w:r>
              <w:rPr>
                <w:rFonts w:ascii="Arial" w:eastAsia="Arial" w:hAnsi="Arial" w:cs="Arial"/>
                <w:b/>
                <w:color w:val="FFFFFF"/>
                <w:sz w:val="14"/>
                <w:szCs w:val="16"/>
                <w:lang w:val="es-ES"/>
              </w:rPr>
              <w:t>2</w:t>
            </w:r>
          </w:p>
        </w:tc>
        <w:tc>
          <w:tcPr>
            <w:tcW w:w="1204" w:type="pct"/>
            <w:gridSpan w:val="2"/>
            <w:tcBorders>
              <w:top w:val="single" w:sz="4" w:space="0" w:color="BFBFBF"/>
              <w:left w:val="single" w:sz="4" w:space="0" w:color="BFBFBF"/>
              <w:bottom w:val="single" w:sz="4" w:space="0" w:color="BFBFBF"/>
              <w:right w:val="single" w:sz="4" w:space="0" w:color="BFBFBF"/>
            </w:tcBorders>
            <w:shd w:val="clear" w:color="auto" w:fill="A5A5A5" w:themeFill="accent3"/>
            <w:vAlign w:val="center"/>
            <w:hideMark/>
          </w:tcPr>
          <w:p w14:paraId="197CB7F8" w14:textId="77777777" w:rsidR="0046336D" w:rsidRPr="00E37D56" w:rsidRDefault="0046336D" w:rsidP="0046336D">
            <w:pPr>
              <w:spacing w:line="276" w:lineRule="auto"/>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Variaciones respecto a: Presupuesto</w:t>
            </w:r>
          </w:p>
          <w:p w14:paraId="60AA54AD" w14:textId="77777777" w:rsidR="0046336D" w:rsidRPr="00E37D56" w:rsidRDefault="0046336D" w:rsidP="0046336D">
            <w:pPr>
              <w:spacing w:before="31"/>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Aprobado 202</w:t>
            </w:r>
            <w:r>
              <w:rPr>
                <w:rFonts w:ascii="Arial" w:eastAsia="Arial" w:hAnsi="Arial" w:cs="Arial"/>
                <w:b/>
                <w:color w:val="FFFFFF"/>
                <w:sz w:val="14"/>
                <w:szCs w:val="16"/>
                <w:lang w:val="es-ES"/>
              </w:rPr>
              <w:t>2</w:t>
            </w:r>
          </w:p>
        </w:tc>
        <w:tc>
          <w:tcPr>
            <w:tcW w:w="598" w:type="pct"/>
            <w:tcBorders>
              <w:top w:val="single" w:sz="4" w:space="0" w:color="BFBFBF"/>
              <w:left w:val="single" w:sz="4" w:space="0" w:color="BFBFBF"/>
              <w:bottom w:val="single" w:sz="4" w:space="0" w:color="BFBFBF"/>
              <w:right w:val="single" w:sz="4" w:space="0" w:color="BFBFBF"/>
            </w:tcBorders>
            <w:shd w:val="clear" w:color="auto" w:fill="A5A5A5" w:themeFill="accent3"/>
            <w:vAlign w:val="center"/>
            <w:hideMark/>
          </w:tcPr>
          <w:p w14:paraId="017F4871" w14:textId="77777777" w:rsidR="0046336D" w:rsidRPr="00E37D56" w:rsidRDefault="0046336D" w:rsidP="0046336D">
            <w:pPr>
              <w:spacing w:line="276" w:lineRule="auto"/>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Variación Real*</w:t>
            </w:r>
          </w:p>
        </w:tc>
      </w:tr>
      <w:tr w:rsidR="0046336D" w:rsidRPr="00E37D56" w14:paraId="5F76BCCF" w14:textId="77777777" w:rsidTr="00C520AA">
        <w:trPr>
          <w:trHeight w:val="222"/>
          <w:tblHeader/>
          <w:jc w:val="center"/>
        </w:trPr>
        <w:tc>
          <w:tcPr>
            <w:tcW w:w="1267" w:type="pct"/>
            <w:vMerge/>
            <w:tcBorders>
              <w:top w:val="single" w:sz="4" w:space="0" w:color="BFBFBF"/>
              <w:left w:val="single" w:sz="4" w:space="0" w:color="BFBFBF"/>
              <w:bottom w:val="single" w:sz="4" w:space="0" w:color="BFBFBF"/>
              <w:right w:val="single" w:sz="4" w:space="0" w:color="BFBFBF"/>
            </w:tcBorders>
            <w:shd w:val="clear" w:color="auto" w:fill="A5A5A5" w:themeFill="accent3"/>
            <w:vAlign w:val="center"/>
          </w:tcPr>
          <w:p w14:paraId="39F9B858" w14:textId="77777777" w:rsidR="0046336D" w:rsidRPr="00E37D56" w:rsidRDefault="0046336D" w:rsidP="0046336D">
            <w:pPr>
              <w:spacing w:before="2"/>
              <w:jc w:val="center"/>
              <w:rPr>
                <w:rFonts w:ascii="Arial" w:eastAsia="Arial" w:hAnsi="Arial" w:cs="Arial"/>
                <w:b/>
                <w:color w:val="FFFFFF"/>
                <w:sz w:val="14"/>
                <w:szCs w:val="16"/>
                <w:lang w:val="es-ES"/>
              </w:rPr>
            </w:pPr>
          </w:p>
        </w:tc>
        <w:tc>
          <w:tcPr>
            <w:tcW w:w="659" w:type="pct"/>
            <w:tcBorders>
              <w:top w:val="single" w:sz="4" w:space="0" w:color="BFBFBF"/>
              <w:left w:val="single" w:sz="4" w:space="0" w:color="BFBFBF"/>
              <w:bottom w:val="single" w:sz="4" w:space="0" w:color="BFBFBF"/>
              <w:right w:val="single" w:sz="4" w:space="0" w:color="BFBFBF"/>
            </w:tcBorders>
            <w:shd w:val="clear" w:color="auto" w:fill="A5A5A5" w:themeFill="accent3"/>
            <w:vAlign w:val="center"/>
            <w:hideMark/>
          </w:tcPr>
          <w:p w14:paraId="3C21D675" w14:textId="77777777" w:rsidR="0046336D" w:rsidRPr="00E37D56" w:rsidRDefault="0046336D" w:rsidP="0046336D">
            <w:pPr>
              <w:spacing w:before="2"/>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Devengado</w:t>
            </w:r>
          </w:p>
        </w:tc>
        <w:tc>
          <w:tcPr>
            <w:tcW w:w="599" w:type="pct"/>
            <w:tcBorders>
              <w:top w:val="single" w:sz="4" w:space="0" w:color="BFBFBF"/>
              <w:left w:val="single" w:sz="4" w:space="0" w:color="BFBFBF"/>
              <w:bottom w:val="single" w:sz="4" w:space="0" w:color="BFBFBF"/>
              <w:right w:val="single" w:sz="4" w:space="0" w:color="BFBFBF"/>
            </w:tcBorders>
            <w:shd w:val="clear" w:color="auto" w:fill="A5A5A5" w:themeFill="accent3"/>
            <w:vAlign w:val="center"/>
            <w:hideMark/>
          </w:tcPr>
          <w:p w14:paraId="792D176C" w14:textId="77777777" w:rsidR="0046336D" w:rsidRPr="00E37D56" w:rsidRDefault="0046336D" w:rsidP="0046336D">
            <w:pPr>
              <w:spacing w:before="2"/>
              <w:ind w:left="191"/>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Aprobado</w:t>
            </w:r>
          </w:p>
        </w:tc>
        <w:tc>
          <w:tcPr>
            <w:tcW w:w="673" w:type="pct"/>
            <w:tcBorders>
              <w:top w:val="single" w:sz="4" w:space="0" w:color="BFBFBF"/>
              <w:left w:val="single" w:sz="4" w:space="0" w:color="BFBFBF"/>
              <w:bottom w:val="single" w:sz="4" w:space="0" w:color="BFBFBF"/>
              <w:right w:val="single" w:sz="4" w:space="0" w:color="BFBFBF"/>
            </w:tcBorders>
            <w:shd w:val="clear" w:color="auto" w:fill="A5A5A5" w:themeFill="accent3"/>
            <w:vAlign w:val="center"/>
            <w:hideMark/>
          </w:tcPr>
          <w:p w14:paraId="51E89108" w14:textId="77777777" w:rsidR="0046336D" w:rsidRPr="00E37D56" w:rsidRDefault="0046336D" w:rsidP="0046336D">
            <w:pPr>
              <w:spacing w:before="2"/>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Devengado</w:t>
            </w:r>
          </w:p>
        </w:tc>
        <w:tc>
          <w:tcPr>
            <w:tcW w:w="599" w:type="pct"/>
            <w:tcBorders>
              <w:top w:val="single" w:sz="4" w:space="0" w:color="BFBFBF"/>
              <w:left w:val="single" w:sz="4" w:space="0" w:color="BFBFBF"/>
              <w:bottom w:val="single" w:sz="4" w:space="0" w:color="BFBFBF"/>
              <w:right w:val="single" w:sz="4" w:space="0" w:color="BFBFBF"/>
            </w:tcBorders>
            <w:shd w:val="clear" w:color="auto" w:fill="A5A5A5" w:themeFill="accent3"/>
            <w:vAlign w:val="center"/>
            <w:hideMark/>
          </w:tcPr>
          <w:p w14:paraId="6210B10D" w14:textId="77777777" w:rsidR="0046336D" w:rsidRPr="00E37D56" w:rsidRDefault="0046336D" w:rsidP="0046336D">
            <w:pPr>
              <w:spacing w:before="2"/>
              <w:ind w:left="229"/>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Importe</w:t>
            </w:r>
          </w:p>
        </w:tc>
        <w:tc>
          <w:tcPr>
            <w:tcW w:w="605" w:type="pct"/>
            <w:tcBorders>
              <w:top w:val="single" w:sz="4" w:space="0" w:color="BFBFBF"/>
              <w:left w:val="single" w:sz="4" w:space="0" w:color="BFBFBF"/>
              <w:bottom w:val="single" w:sz="4" w:space="0" w:color="BFBFBF"/>
              <w:right w:val="single" w:sz="4" w:space="0" w:color="BFBFBF"/>
            </w:tcBorders>
            <w:shd w:val="clear" w:color="auto" w:fill="A5A5A5" w:themeFill="accent3"/>
            <w:vAlign w:val="center"/>
            <w:hideMark/>
          </w:tcPr>
          <w:p w14:paraId="35653510" w14:textId="77777777" w:rsidR="0046336D" w:rsidRPr="00E37D56" w:rsidRDefault="0046336D" w:rsidP="0046336D">
            <w:pPr>
              <w:spacing w:before="2"/>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w:t>
            </w:r>
          </w:p>
        </w:tc>
        <w:tc>
          <w:tcPr>
            <w:tcW w:w="598" w:type="pct"/>
            <w:tcBorders>
              <w:top w:val="single" w:sz="4" w:space="0" w:color="BFBFBF"/>
              <w:left w:val="single" w:sz="4" w:space="0" w:color="BFBFBF"/>
              <w:bottom w:val="single" w:sz="4" w:space="0" w:color="BFBFBF"/>
              <w:right w:val="single" w:sz="4" w:space="0" w:color="BFBFBF"/>
            </w:tcBorders>
            <w:shd w:val="clear" w:color="auto" w:fill="A5A5A5" w:themeFill="accent3"/>
            <w:vAlign w:val="center"/>
            <w:hideMark/>
          </w:tcPr>
          <w:p w14:paraId="06B16B87" w14:textId="77777777" w:rsidR="0046336D" w:rsidRPr="00E37D56" w:rsidRDefault="0046336D" w:rsidP="0046336D">
            <w:pPr>
              <w:spacing w:before="2"/>
              <w:jc w:val="center"/>
              <w:rPr>
                <w:rFonts w:ascii="Arial" w:eastAsia="Arial" w:hAnsi="Arial" w:cs="Arial"/>
                <w:b/>
                <w:color w:val="FFFFFF"/>
                <w:sz w:val="14"/>
                <w:szCs w:val="16"/>
                <w:lang w:val="es-ES"/>
              </w:rPr>
            </w:pPr>
            <w:r w:rsidRPr="00E37D56">
              <w:rPr>
                <w:rFonts w:ascii="Arial" w:eastAsia="Arial" w:hAnsi="Arial" w:cs="Arial"/>
                <w:b/>
                <w:color w:val="FFFFFF"/>
                <w:sz w:val="14"/>
                <w:szCs w:val="16"/>
                <w:lang w:val="es-ES"/>
              </w:rPr>
              <w:t>%</w:t>
            </w:r>
          </w:p>
        </w:tc>
      </w:tr>
      <w:tr w:rsidR="0046336D" w:rsidRPr="00E37D56" w14:paraId="0DED8874" w14:textId="77777777" w:rsidTr="0046336D">
        <w:trPr>
          <w:trHeight w:val="264"/>
          <w:jc w:val="center"/>
        </w:trPr>
        <w:tc>
          <w:tcPr>
            <w:tcW w:w="1267" w:type="pct"/>
            <w:tcBorders>
              <w:top w:val="single" w:sz="4" w:space="0" w:color="BFBFBF"/>
              <w:left w:val="single" w:sz="4" w:space="0" w:color="A6A6A6"/>
              <w:bottom w:val="single" w:sz="4" w:space="0" w:color="A6A6A6"/>
              <w:right w:val="single" w:sz="4" w:space="0" w:color="A6A6A6"/>
            </w:tcBorders>
            <w:vAlign w:val="center"/>
          </w:tcPr>
          <w:p w14:paraId="693635D3" w14:textId="77777777" w:rsidR="0046336D" w:rsidRPr="00E37D56" w:rsidRDefault="0046336D" w:rsidP="0046336D">
            <w:pPr>
              <w:spacing w:before="5" w:line="271" w:lineRule="auto"/>
              <w:rPr>
                <w:rFonts w:ascii="Arial" w:eastAsia="Arial" w:hAnsi="Arial" w:cs="Arial"/>
                <w:b/>
                <w:sz w:val="14"/>
                <w:szCs w:val="16"/>
                <w:lang w:val="es-ES"/>
              </w:rPr>
            </w:pPr>
            <w:r w:rsidRPr="00E37D56">
              <w:rPr>
                <w:rFonts w:ascii="Arial" w:eastAsia="Arial" w:hAnsi="Arial" w:cs="Arial"/>
                <w:b/>
                <w:sz w:val="14"/>
                <w:szCs w:val="16"/>
                <w:lang w:val="es-ES"/>
              </w:rPr>
              <w:t xml:space="preserve">Total </w:t>
            </w:r>
            <w:r w:rsidRPr="003310EE">
              <w:rPr>
                <w:rFonts w:ascii="Arial" w:eastAsia="Arial" w:hAnsi="Arial" w:cs="Arial"/>
                <w:b/>
                <w:sz w:val="14"/>
                <w:szCs w:val="16"/>
                <w:lang w:val="es-ES"/>
              </w:rPr>
              <w:t>Gasto</w:t>
            </w:r>
            <w:r w:rsidRPr="00E37D56">
              <w:rPr>
                <w:rFonts w:ascii="Arial" w:eastAsia="Arial" w:hAnsi="Arial" w:cs="Arial"/>
                <w:b/>
                <w:sz w:val="14"/>
                <w:szCs w:val="16"/>
                <w:lang w:val="es-ES"/>
              </w:rPr>
              <w:t xml:space="preserve"> </w:t>
            </w:r>
          </w:p>
        </w:tc>
        <w:tc>
          <w:tcPr>
            <w:tcW w:w="659" w:type="pct"/>
            <w:tcBorders>
              <w:top w:val="single" w:sz="4" w:space="0" w:color="BFBFBF"/>
              <w:left w:val="single" w:sz="4" w:space="0" w:color="A6A6A6"/>
              <w:bottom w:val="single" w:sz="4" w:space="0" w:color="A6A6A6"/>
              <w:right w:val="single" w:sz="4" w:space="0" w:color="A6A6A6"/>
            </w:tcBorders>
            <w:vAlign w:val="center"/>
            <w:hideMark/>
          </w:tcPr>
          <w:p w14:paraId="5FBBDDAE" w14:textId="77777777" w:rsidR="0046336D" w:rsidRPr="00E37D56" w:rsidRDefault="0046336D" w:rsidP="0046336D">
            <w:pPr>
              <w:spacing w:before="5" w:line="179" w:lineRule="exact"/>
              <w:ind w:right="57"/>
              <w:jc w:val="right"/>
              <w:rPr>
                <w:rFonts w:ascii="Arial" w:eastAsia="Arial" w:hAnsi="Arial" w:cs="Arial"/>
                <w:b/>
                <w:sz w:val="14"/>
                <w:szCs w:val="16"/>
                <w:lang w:val="es-ES"/>
              </w:rPr>
            </w:pPr>
            <w:r w:rsidRPr="00E37D56">
              <w:rPr>
                <w:rFonts w:ascii="Arial" w:eastAsia="Arial" w:hAnsi="Arial" w:cs="Arial"/>
                <w:b/>
                <w:sz w:val="14"/>
                <w:szCs w:val="16"/>
                <w:lang w:val="es-ES"/>
              </w:rPr>
              <w:t>37,041,796</w:t>
            </w:r>
          </w:p>
        </w:tc>
        <w:tc>
          <w:tcPr>
            <w:tcW w:w="599" w:type="pct"/>
            <w:tcBorders>
              <w:top w:val="single" w:sz="4" w:space="0" w:color="BFBFBF"/>
              <w:left w:val="single" w:sz="4" w:space="0" w:color="A6A6A6"/>
              <w:bottom w:val="single" w:sz="4" w:space="0" w:color="A6A6A6"/>
              <w:right w:val="single" w:sz="4" w:space="0" w:color="A6A6A6"/>
            </w:tcBorders>
            <w:vAlign w:val="center"/>
          </w:tcPr>
          <w:p w14:paraId="453449FB" w14:textId="77777777" w:rsidR="0046336D" w:rsidRPr="00E37D56" w:rsidRDefault="0046336D" w:rsidP="0046336D">
            <w:pPr>
              <w:spacing w:before="5" w:line="179" w:lineRule="exact"/>
              <w:ind w:right="57"/>
              <w:jc w:val="right"/>
              <w:rPr>
                <w:rFonts w:ascii="Arial" w:eastAsia="Arial" w:hAnsi="Arial" w:cs="Arial"/>
                <w:b/>
                <w:sz w:val="14"/>
                <w:szCs w:val="16"/>
                <w:lang w:val="es-ES"/>
              </w:rPr>
            </w:pPr>
            <w:r>
              <w:rPr>
                <w:rFonts w:ascii="Arial" w:eastAsia="Arial" w:hAnsi="Arial" w:cs="Arial"/>
                <w:b/>
                <w:sz w:val="14"/>
                <w:szCs w:val="16"/>
                <w:lang w:val="es-ES"/>
              </w:rPr>
              <w:t>34,611,212</w:t>
            </w:r>
          </w:p>
        </w:tc>
        <w:tc>
          <w:tcPr>
            <w:tcW w:w="673" w:type="pct"/>
            <w:tcBorders>
              <w:top w:val="single" w:sz="4" w:space="0" w:color="BFBFBF"/>
              <w:left w:val="single" w:sz="4" w:space="0" w:color="A6A6A6"/>
              <w:bottom w:val="single" w:sz="4" w:space="0" w:color="A6A6A6"/>
              <w:right w:val="single" w:sz="4" w:space="0" w:color="A6A6A6"/>
            </w:tcBorders>
            <w:vAlign w:val="center"/>
          </w:tcPr>
          <w:p w14:paraId="0206FFFF" w14:textId="77777777" w:rsidR="0046336D" w:rsidRPr="00E37D56" w:rsidRDefault="0046336D" w:rsidP="0046336D">
            <w:pPr>
              <w:spacing w:before="5" w:line="179" w:lineRule="exact"/>
              <w:ind w:right="57"/>
              <w:jc w:val="right"/>
              <w:rPr>
                <w:rFonts w:ascii="Arial" w:eastAsia="Arial" w:hAnsi="Arial" w:cs="Arial"/>
                <w:b/>
                <w:sz w:val="14"/>
                <w:szCs w:val="16"/>
                <w:lang w:val="es-ES"/>
              </w:rPr>
            </w:pPr>
            <w:r>
              <w:rPr>
                <w:rFonts w:ascii="Arial" w:eastAsia="Arial" w:hAnsi="Arial" w:cs="Arial"/>
                <w:b/>
                <w:sz w:val="14"/>
                <w:szCs w:val="16"/>
                <w:lang w:val="es-ES"/>
              </w:rPr>
              <w:t>42,438,218</w:t>
            </w:r>
          </w:p>
        </w:tc>
        <w:tc>
          <w:tcPr>
            <w:tcW w:w="599" w:type="pct"/>
            <w:tcBorders>
              <w:top w:val="single" w:sz="4" w:space="0" w:color="BFBFBF"/>
              <w:left w:val="single" w:sz="4" w:space="0" w:color="A6A6A6"/>
              <w:bottom w:val="single" w:sz="4" w:space="0" w:color="A6A6A6"/>
              <w:right w:val="single" w:sz="4" w:space="0" w:color="A6A6A6"/>
            </w:tcBorders>
            <w:vAlign w:val="center"/>
          </w:tcPr>
          <w:p w14:paraId="61979CFF" w14:textId="77777777" w:rsidR="0046336D" w:rsidRPr="00E37D56" w:rsidRDefault="0046336D" w:rsidP="0046336D">
            <w:pPr>
              <w:spacing w:before="5" w:line="179" w:lineRule="exact"/>
              <w:ind w:right="57"/>
              <w:jc w:val="right"/>
              <w:rPr>
                <w:rFonts w:ascii="Arial" w:eastAsia="Arial" w:hAnsi="Arial" w:cs="Arial"/>
                <w:b/>
                <w:sz w:val="14"/>
                <w:szCs w:val="16"/>
                <w:lang w:val="es-ES"/>
              </w:rPr>
            </w:pPr>
            <w:r>
              <w:rPr>
                <w:rFonts w:ascii="Arial" w:eastAsia="Arial" w:hAnsi="Arial" w:cs="Arial"/>
                <w:b/>
                <w:sz w:val="14"/>
                <w:szCs w:val="16"/>
                <w:lang w:val="es-ES"/>
              </w:rPr>
              <w:t>7,827,006</w:t>
            </w:r>
          </w:p>
        </w:tc>
        <w:tc>
          <w:tcPr>
            <w:tcW w:w="605" w:type="pct"/>
            <w:tcBorders>
              <w:top w:val="single" w:sz="4" w:space="0" w:color="BFBFBF"/>
              <w:left w:val="single" w:sz="4" w:space="0" w:color="A6A6A6"/>
              <w:bottom w:val="single" w:sz="4" w:space="0" w:color="A6A6A6"/>
              <w:right w:val="single" w:sz="4" w:space="0" w:color="A6A6A6"/>
            </w:tcBorders>
            <w:vAlign w:val="center"/>
            <w:hideMark/>
          </w:tcPr>
          <w:p w14:paraId="106EC7CC" w14:textId="77777777" w:rsidR="0046336D" w:rsidRPr="00E37D56" w:rsidRDefault="0046336D" w:rsidP="0046336D">
            <w:pPr>
              <w:spacing w:before="5" w:line="179" w:lineRule="exact"/>
              <w:jc w:val="right"/>
              <w:rPr>
                <w:rFonts w:ascii="Arial" w:eastAsia="Arial" w:hAnsi="Arial" w:cs="Arial"/>
                <w:b/>
                <w:sz w:val="14"/>
                <w:szCs w:val="16"/>
                <w:lang w:val="es-ES"/>
              </w:rPr>
            </w:pPr>
            <w:r>
              <w:rPr>
                <w:rFonts w:ascii="Arial" w:eastAsia="Arial" w:hAnsi="Arial" w:cs="Arial"/>
                <w:b/>
                <w:sz w:val="14"/>
                <w:szCs w:val="16"/>
                <w:lang w:val="es-ES"/>
              </w:rPr>
              <w:t>22.6</w:t>
            </w:r>
            <w:r w:rsidRPr="00E37D56">
              <w:rPr>
                <w:rFonts w:ascii="Arial" w:eastAsia="Arial" w:hAnsi="Arial" w:cs="Arial"/>
                <w:b/>
                <w:sz w:val="14"/>
                <w:szCs w:val="16"/>
                <w:lang w:val="es-ES"/>
              </w:rPr>
              <w:t>%</w:t>
            </w:r>
          </w:p>
        </w:tc>
        <w:tc>
          <w:tcPr>
            <w:tcW w:w="598" w:type="pct"/>
            <w:tcBorders>
              <w:top w:val="single" w:sz="4" w:space="0" w:color="BFBFBF"/>
              <w:left w:val="single" w:sz="4" w:space="0" w:color="A6A6A6"/>
              <w:bottom w:val="single" w:sz="4" w:space="0" w:color="A6A6A6"/>
              <w:right w:val="single" w:sz="4" w:space="0" w:color="A6A6A6"/>
            </w:tcBorders>
            <w:vAlign w:val="center"/>
            <w:hideMark/>
          </w:tcPr>
          <w:p w14:paraId="04F38979" w14:textId="77777777" w:rsidR="0046336D" w:rsidRPr="00E37D56" w:rsidRDefault="0046336D" w:rsidP="0046336D">
            <w:pPr>
              <w:spacing w:before="5" w:line="179" w:lineRule="exact"/>
              <w:jc w:val="right"/>
              <w:rPr>
                <w:rFonts w:ascii="Arial" w:eastAsia="Arial" w:hAnsi="Arial" w:cs="Arial"/>
                <w:b/>
                <w:sz w:val="14"/>
                <w:szCs w:val="16"/>
                <w:lang w:val="es-ES"/>
              </w:rPr>
            </w:pPr>
            <w:r>
              <w:rPr>
                <w:rFonts w:ascii="Arial" w:eastAsia="Arial" w:hAnsi="Arial" w:cs="Arial"/>
                <w:b/>
                <w:sz w:val="14"/>
                <w:szCs w:val="16"/>
                <w:lang w:val="es-ES"/>
              </w:rPr>
              <w:t>6.2</w:t>
            </w:r>
            <w:r w:rsidRPr="00E37D56">
              <w:rPr>
                <w:rFonts w:ascii="Arial" w:eastAsia="Arial" w:hAnsi="Arial" w:cs="Arial"/>
                <w:b/>
                <w:sz w:val="14"/>
                <w:szCs w:val="16"/>
                <w:lang w:val="es-ES"/>
              </w:rPr>
              <w:t>%</w:t>
            </w:r>
          </w:p>
        </w:tc>
      </w:tr>
      <w:tr w:rsidR="0046336D" w:rsidRPr="00E37D56" w14:paraId="3DB21F67" w14:textId="77777777" w:rsidTr="0046336D">
        <w:trPr>
          <w:trHeight w:val="264"/>
          <w:jc w:val="center"/>
        </w:trPr>
        <w:tc>
          <w:tcPr>
            <w:tcW w:w="1267" w:type="pct"/>
            <w:tcBorders>
              <w:top w:val="single" w:sz="4" w:space="0" w:color="A6A6A6"/>
              <w:left w:val="single" w:sz="4" w:space="0" w:color="A6A6A6"/>
              <w:bottom w:val="single" w:sz="4" w:space="0" w:color="A6A6A6"/>
              <w:right w:val="single" w:sz="4" w:space="0" w:color="A6A6A6"/>
            </w:tcBorders>
            <w:vAlign w:val="center"/>
          </w:tcPr>
          <w:p w14:paraId="6C988508" w14:textId="77777777" w:rsidR="0046336D" w:rsidRPr="00E37D56" w:rsidRDefault="0046336D" w:rsidP="0046336D">
            <w:pPr>
              <w:spacing w:before="5" w:line="271" w:lineRule="auto"/>
              <w:rPr>
                <w:rFonts w:ascii="Arial" w:eastAsia="Arial" w:hAnsi="Arial" w:cs="Arial"/>
                <w:b/>
                <w:sz w:val="14"/>
                <w:szCs w:val="16"/>
                <w:lang w:val="es-ES"/>
              </w:rPr>
            </w:pPr>
            <w:r w:rsidRPr="00875887">
              <w:rPr>
                <w:rFonts w:ascii="Arial" w:eastAsia="Arial" w:hAnsi="Arial" w:cs="Arial"/>
                <w:b/>
                <w:sz w:val="14"/>
                <w:szCs w:val="16"/>
                <w:lang w:val="es-ES"/>
              </w:rPr>
              <w:t>Gasto Programable</w:t>
            </w:r>
            <w:r w:rsidRPr="00E37D56">
              <w:rPr>
                <w:rFonts w:ascii="Arial" w:eastAsia="Arial" w:hAnsi="Arial" w:cs="Arial"/>
                <w:b/>
                <w:sz w:val="14"/>
                <w:szCs w:val="16"/>
                <w:lang w:val="es-ES"/>
              </w:rPr>
              <w:t xml:space="preserve"> </w:t>
            </w:r>
            <w:r w:rsidRPr="00E37D56">
              <w:rPr>
                <w:rFonts w:ascii="Arial" w:eastAsia="Arial" w:hAnsi="Arial" w:cs="Arial"/>
                <w:b/>
                <w:sz w:val="14"/>
                <w:szCs w:val="16"/>
                <w:vertAlign w:val="superscript"/>
                <w:lang w:val="es-ES"/>
              </w:rPr>
              <w:t>1/</w:t>
            </w:r>
          </w:p>
        </w:tc>
        <w:tc>
          <w:tcPr>
            <w:tcW w:w="659" w:type="pct"/>
            <w:tcBorders>
              <w:top w:val="single" w:sz="4" w:space="0" w:color="A6A6A6"/>
              <w:left w:val="single" w:sz="4" w:space="0" w:color="A6A6A6"/>
              <w:bottom w:val="single" w:sz="4" w:space="0" w:color="A6A6A6"/>
              <w:right w:val="single" w:sz="4" w:space="0" w:color="A6A6A6"/>
            </w:tcBorders>
            <w:vAlign w:val="center"/>
            <w:hideMark/>
          </w:tcPr>
          <w:p w14:paraId="32347B45" w14:textId="77777777" w:rsidR="0046336D" w:rsidRPr="00E37D56" w:rsidRDefault="0046336D" w:rsidP="0046336D">
            <w:pPr>
              <w:spacing w:before="9" w:line="181" w:lineRule="exact"/>
              <w:ind w:right="57"/>
              <w:jc w:val="right"/>
              <w:rPr>
                <w:rFonts w:ascii="Arial" w:eastAsia="Arial" w:hAnsi="Arial" w:cs="Arial"/>
                <w:b/>
                <w:sz w:val="14"/>
                <w:szCs w:val="16"/>
                <w:lang w:val="es-ES"/>
              </w:rPr>
            </w:pPr>
            <w:r w:rsidRPr="00E37D56">
              <w:rPr>
                <w:rFonts w:ascii="Arial" w:eastAsia="Arial" w:hAnsi="Arial" w:cs="Arial"/>
                <w:b/>
                <w:sz w:val="14"/>
                <w:szCs w:val="16"/>
                <w:lang w:val="es-ES"/>
              </w:rPr>
              <w:t>27,510,830</w:t>
            </w:r>
          </w:p>
        </w:tc>
        <w:tc>
          <w:tcPr>
            <w:tcW w:w="599" w:type="pct"/>
            <w:tcBorders>
              <w:top w:val="single" w:sz="4" w:space="0" w:color="A6A6A6"/>
              <w:left w:val="single" w:sz="4" w:space="0" w:color="A6A6A6"/>
              <w:bottom w:val="single" w:sz="4" w:space="0" w:color="A6A6A6"/>
              <w:right w:val="single" w:sz="4" w:space="0" w:color="A6A6A6"/>
            </w:tcBorders>
            <w:vAlign w:val="center"/>
          </w:tcPr>
          <w:p w14:paraId="2269C72E" w14:textId="77777777" w:rsidR="0046336D" w:rsidRPr="00E37D56" w:rsidRDefault="0046336D" w:rsidP="0046336D">
            <w:pPr>
              <w:spacing w:before="9" w:line="181" w:lineRule="exact"/>
              <w:ind w:right="57"/>
              <w:jc w:val="right"/>
              <w:rPr>
                <w:rFonts w:ascii="Arial" w:eastAsia="Arial" w:hAnsi="Arial" w:cs="Arial"/>
                <w:b/>
                <w:sz w:val="14"/>
                <w:szCs w:val="16"/>
                <w:lang w:val="es-ES"/>
              </w:rPr>
            </w:pPr>
            <w:r>
              <w:rPr>
                <w:rFonts w:ascii="Arial" w:eastAsia="Arial" w:hAnsi="Arial" w:cs="Arial"/>
                <w:b/>
                <w:sz w:val="14"/>
                <w:szCs w:val="16"/>
                <w:lang w:val="es-ES"/>
              </w:rPr>
              <w:t>26,177,180</w:t>
            </w:r>
          </w:p>
        </w:tc>
        <w:tc>
          <w:tcPr>
            <w:tcW w:w="673" w:type="pct"/>
            <w:tcBorders>
              <w:top w:val="single" w:sz="4" w:space="0" w:color="A6A6A6"/>
              <w:left w:val="single" w:sz="4" w:space="0" w:color="A6A6A6"/>
              <w:bottom w:val="single" w:sz="4" w:space="0" w:color="A6A6A6"/>
              <w:right w:val="single" w:sz="4" w:space="0" w:color="A6A6A6"/>
            </w:tcBorders>
            <w:vAlign w:val="center"/>
          </w:tcPr>
          <w:p w14:paraId="4F0B03A1" w14:textId="77777777" w:rsidR="0046336D" w:rsidRPr="00E37D56" w:rsidRDefault="0046336D" w:rsidP="0046336D">
            <w:pPr>
              <w:spacing w:before="9" w:line="181" w:lineRule="exact"/>
              <w:ind w:right="57"/>
              <w:jc w:val="right"/>
              <w:rPr>
                <w:rFonts w:ascii="Arial" w:eastAsia="Arial" w:hAnsi="Arial" w:cs="Arial"/>
                <w:b/>
                <w:sz w:val="14"/>
                <w:szCs w:val="16"/>
                <w:lang w:val="es-ES"/>
              </w:rPr>
            </w:pPr>
            <w:r>
              <w:rPr>
                <w:rFonts w:ascii="Arial" w:eastAsia="Arial" w:hAnsi="Arial" w:cs="Arial"/>
                <w:b/>
                <w:sz w:val="14"/>
                <w:szCs w:val="16"/>
                <w:lang w:val="es-ES"/>
              </w:rPr>
              <w:t>30,877,861</w:t>
            </w:r>
          </w:p>
        </w:tc>
        <w:tc>
          <w:tcPr>
            <w:tcW w:w="599" w:type="pct"/>
            <w:tcBorders>
              <w:top w:val="single" w:sz="4" w:space="0" w:color="A6A6A6"/>
              <w:left w:val="single" w:sz="4" w:space="0" w:color="A6A6A6"/>
              <w:bottom w:val="single" w:sz="4" w:space="0" w:color="A6A6A6"/>
              <w:right w:val="single" w:sz="4" w:space="0" w:color="A6A6A6"/>
            </w:tcBorders>
            <w:vAlign w:val="center"/>
          </w:tcPr>
          <w:p w14:paraId="7497221C" w14:textId="77777777" w:rsidR="0046336D" w:rsidRPr="00E37D56" w:rsidRDefault="0046336D" w:rsidP="0046336D">
            <w:pPr>
              <w:spacing w:before="9" w:line="181" w:lineRule="exact"/>
              <w:ind w:right="57"/>
              <w:jc w:val="right"/>
              <w:rPr>
                <w:rFonts w:ascii="Arial" w:eastAsia="Arial" w:hAnsi="Arial" w:cs="Arial"/>
                <w:b/>
                <w:sz w:val="14"/>
                <w:szCs w:val="16"/>
                <w:lang w:val="es-ES"/>
              </w:rPr>
            </w:pPr>
            <w:r>
              <w:rPr>
                <w:rFonts w:ascii="Arial" w:eastAsia="Arial" w:hAnsi="Arial" w:cs="Arial"/>
                <w:b/>
                <w:sz w:val="14"/>
                <w:szCs w:val="16"/>
                <w:lang w:val="es-ES"/>
              </w:rPr>
              <w:t>4,700,682</w:t>
            </w:r>
          </w:p>
        </w:tc>
        <w:tc>
          <w:tcPr>
            <w:tcW w:w="605" w:type="pct"/>
            <w:tcBorders>
              <w:top w:val="single" w:sz="4" w:space="0" w:color="A6A6A6"/>
              <w:left w:val="single" w:sz="4" w:space="0" w:color="A6A6A6"/>
              <w:bottom w:val="single" w:sz="4" w:space="0" w:color="A6A6A6"/>
              <w:right w:val="single" w:sz="4" w:space="0" w:color="A6A6A6"/>
            </w:tcBorders>
            <w:vAlign w:val="center"/>
            <w:hideMark/>
          </w:tcPr>
          <w:p w14:paraId="65047837" w14:textId="77777777" w:rsidR="0046336D" w:rsidRPr="00E37D56" w:rsidRDefault="0046336D" w:rsidP="0046336D">
            <w:pPr>
              <w:spacing w:before="9" w:line="181" w:lineRule="exact"/>
              <w:jc w:val="right"/>
              <w:rPr>
                <w:rFonts w:ascii="Arial" w:eastAsia="Arial" w:hAnsi="Arial" w:cs="Arial"/>
                <w:b/>
                <w:sz w:val="14"/>
                <w:szCs w:val="16"/>
                <w:lang w:val="es-ES"/>
              </w:rPr>
            </w:pPr>
            <w:r>
              <w:rPr>
                <w:rFonts w:ascii="Arial" w:eastAsia="Arial" w:hAnsi="Arial" w:cs="Arial"/>
                <w:b/>
                <w:sz w:val="14"/>
                <w:szCs w:val="16"/>
                <w:lang w:val="es-ES"/>
              </w:rPr>
              <w:t>18.0</w:t>
            </w:r>
            <w:r w:rsidRPr="00E37D56">
              <w:rPr>
                <w:rFonts w:ascii="Arial" w:eastAsia="Arial" w:hAnsi="Arial" w:cs="Arial"/>
                <w:b/>
                <w:sz w:val="14"/>
                <w:szCs w:val="16"/>
                <w:lang w:val="es-ES"/>
              </w:rPr>
              <w:t>%</w:t>
            </w:r>
          </w:p>
        </w:tc>
        <w:tc>
          <w:tcPr>
            <w:tcW w:w="598" w:type="pct"/>
            <w:tcBorders>
              <w:top w:val="single" w:sz="4" w:space="0" w:color="A6A6A6"/>
              <w:left w:val="single" w:sz="4" w:space="0" w:color="A6A6A6"/>
              <w:bottom w:val="single" w:sz="4" w:space="0" w:color="A6A6A6"/>
              <w:right w:val="single" w:sz="4" w:space="0" w:color="A6A6A6"/>
            </w:tcBorders>
            <w:vAlign w:val="center"/>
            <w:hideMark/>
          </w:tcPr>
          <w:p w14:paraId="7784D37B" w14:textId="77777777" w:rsidR="0046336D" w:rsidRPr="00E37D56" w:rsidRDefault="0046336D" w:rsidP="0046336D">
            <w:pPr>
              <w:spacing w:before="9" w:line="181" w:lineRule="exact"/>
              <w:jc w:val="right"/>
              <w:rPr>
                <w:rFonts w:ascii="Arial" w:eastAsia="Arial" w:hAnsi="Arial" w:cs="Arial"/>
                <w:b/>
                <w:sz w:val="14"/>
                <w:szCs w:val="16"/>
                <w:lang w:val="es-ES"/>
              </w:rPr>
            </w:pPr>
            <w:r>
              <w:rPr>
                <w:rFonts w:ascii="Arial" w:eastAsia="Arial" w:hAnsi="Arial" w:cs="Arial"/>
                <w:b/>
                <w:sz w:val="14"/>
                <w:szCs w:val="16"/>
                <w:lang w:val="es-ES"/>
              </w:rPr>
              <w:t>4.0</w:t>
            </w:r>
            <w:r w:rsidRPr="00E37D56">
              <w:rPr>
                <w:rFonts w:ascii="Arial" w:eastAsia="Arial" w:hAnsi="Arial" w:cs="Arial"/>
                <w:b/>
                <w:sz w:val="14"/>
                <w:szCs w:val="16"/>
                <w:lang w:val="es-ES"/>
              </w:rPr>
              <w:t>%</w:t>
            </w:r>
          </w:p>
        </w:tc>
      </w:tr>
      <w:tr w:rsidR="0046336D" w:rsidRPr="00E37D56" w14:paraId="41B55A0F" w14:textId="77777777" w:rsidTr="0046336D">
        <w:trPr>
          <w:trHeight w:val="264"/>
          <w:jc w:val="center"/>
        </w:trPr>
        <w:tc>
          <w:tcPr>
            <w:tcW w:w="1267" w:type="pct"/>
            <w:tcBorders>
              <w:top w:val="single" w:sz="4" w:space="0" w:color="A6A6A6"/>
              <w:left w:val="single" w:sz="4" w:space="0" w:color="A6A6A6"/>
              <w:bottom w:val="single" w:sz="4" w:space="0" w:color="A6A6A6"/>
              <w:right w:val="single" w:sz="4" w:space="0" w:color="A6A6A6"/>
            </w:tcBorders>
            <w:vAlign w:val="center"/>
          </w:tcPr>
          <w:p w14:paraId="756B86DC" w14:textId="77777777" w:rsidR="0046336D" w:rsidRPr="00E37D56" w:rsidRDefault="0046336D" w:rsidP="0046336D">
            <w:pPr>
              <w:spacing w:before="5" w:line="271" w:lineRule="auto"/>
              <w:rPr>
                <w:rFonts w:ascii="Arial" w:eastAsia="Arial" w:hAnsi="Arial" w:cs="Arial"/>
                <w:b/>
                <w:sz w:val="14"/>
                <w:szCs w:val="16"/>
                <w:lang w:val="es-ES"/>
              </w:rPr>
            </w:pPr>
            <w:r w:rsidRPr="00E37D56">
              <w:rPr>
                <w:rFonts w:ascii="Arial" w:eastAsia="Arial" w:hAnsi="Arial" w:cs="Arial"/>
                <w:b/>
                <w:sz w:val="14"/>
                <w:szCs w:val="16"/>
                <w:lang w:val="es-ES"/>
              </w:rPr>
              <w:t>Gasto No Programable</w:t>
            </w:r>
          </w:p>
        </w:tc>
        <w:tc>
          <w:tcPr>
            <w:tcW w:w="659" w:type="pct"/>
            <w:tcBorders>
              <w:top w:val="single" w:sz="4" w:space="0" w:color="A6A6A6"/>
              <w:left w:val="single" w:sz="4" w:space="0" w:color="A6A6A6"/>
              <w:bottom w:val="single" w:sz="4" w:space="0" w:color="A6A6A6"/>
              <w:right w:val="single" w:sz="4" w:space="0" w:color="A6A6A6"/>
            </w:tcBorders>
            <w:vAlign w:val="center"/>
            <w:hideMark/>
          </w:tcPr>
          <w:p w14:paraId="39219AF6" w14:textId="77777777" w:rsidR="0046336D" w:rsidRPr="00E37D56" w:rsidRDefault="0046336D" w:rsidP="0046336D">
            <w:pPr>
              <w:spacing w:before="11" w:line="181" w:lineRule="exact"/>
              <w:ind w:right="57"/>
              <w:jc w:val="right"/>
              <w:rPr>
                <w:rFonts w:ascii="Arial" w:eastAsia="Arial" w:hAnsi="Arial" w:cs="Arial"/>
                <w:b/>
                <w:sz w:val="14"/>
                <w:szCs w:val="16"/>
                <w:lang w:val="es-ES"/>
              </w:rPr>
            </w:pPr>
            <w:r w:rsidRPr="00E37D56">
              <w:rPr>
                <w:rFonts w:ascii="Arial" w:eastAsia="Arial" w:hAnsi="Arial" w:cs="Arial"/>
                <w:b/>
                <w:sz w:val="14"/>
                <w:szCs w:val="16"/>
                <w:lang w:val="es-ES"/>
              </w:rPr>
              <w:t>9,530,966</w:t>
            </w:r>
          </w:p>
        </w:tc>
        <w:tc>
          <w:tcPr>
            <w:tcW w:w="599" w:type="pct"/>
            <w:tcBorders>
              <w:top w:val="single" w:sz="4" w:space="0" w:color="A6A6A6"/>
              <w:left w:val="single" w:sz="4" w:space="0" w:color="A6A6A6"/>
              <w:bottom w:val="single" w:sz="4" w:space="0" w:color="A6A6A6"/>
              <w:right w:val="single" w:sz="4" w:space="0" w:color="A6A6A6"/>
            </w:tcBorders>
            <w:vAlign w:val="center"/>
          </w:tcPr>
          <w:p w14:paraId="59429EB7" w14:textId="77777777" w:rsidR="0046336D" w:rsidRPr="00E37D56" w:rsidRDefault="0046336D" w:rsidP="0046336D">
            <w:pPr>
              <w:spacing w:before="11" w:line="181" w:lineRule="exact"/>
              <w:ind w:right="57"/>
              <w:jc w:val="right"/>
              <w:rPr>
                <w:rFonts w:ascii="Arial" w:eastAsia="Arial" w:hAnsi="Arial" w:cs="Arial"/>
                <w:b/>
                <w:sz w:val="14"/>
                <w:szCs w:val="16"/>
                <w:lang w:val="es-ES"/>
              </w:rPr>
            </w:pPr>
            <w:r>
              <w:rPr>
                <w:rFonts w:ascii="Arial" w:eastAsia="Arial" w:hAnsi="Arial" w:cs="Arial"/>
                <w:b/>
                <w:sz w:val="14"/>
                <w:szCs w:val="16"/>
                <w:lang w:val="es-ES"/>
              </w:rPr>
              <w:t>8,434,032</w:t>
            </w:r>
          </w:p>
        </w:tc>
        <w:tc>
          <w:tcPr>
            <w:tcW w:w="673" w:type="pct"/>
            <w:tcBorders>
              <w:top w:val="single" w:sz="4" w:space="0" w:color="A6A6A6"/>
              <w:left w:val="single" w:sz="4" w:space="0" w:color="A6A6A6"/>
              <w:bottom w:val="single" w:sz="4" w:space="0" w:color="A6A6A6"/>
              <w:right w:val="single" w:sz="4" w:space="0" w:color="A6A6A6"/>
            </w:tcBorders>
            <w:vAlign w:val="center"/>
          </w:tcPr>
          <w:p w14:paraId="6BCFBA07" w14:textId="77777777" w:rsidR="0046336D" w:rsidRPr="00E37D56" w:rsidRDefault="0046336D" w:rsidP="0046336D">
            <w:pPr>
              <w:spacing w:before="11" w:line="181" w:lineRule="exact"/>
              <w:ind w:right="57"/>
              <w:jc w:val="right"/>
              <w:rPr>
                <w:rFonts w:ascii="Arial" w:eastAsia="Arial" w:hAnsi="Arial" w:cs="Arial"/>
                <w:b/>
                <w:sz w:val="14"/>
                <w:szCs w:val="16"/>
                <w:lang w:val="es-ES"/>
              </w:rPr>
            </w:pPr>
            <w:r>
              <w:rPr>
                <w:rFonts w:ascii="Arial" w:eastAsia="Arial" w:hAnsi="Arial" w:cs="Arial"/>
                <w:b/>
                <w:sz w:val="14"/>
                <w:szCs w:val="16"/>
                <w:lang w:val="es-ES"/>
              </w:rPr>
              <w:t>11,560,356</w:t>
            </w:r>
          </w:p>
        </w:tc>
        <w:tc>
          <w:tcPr>
            <w:tcW w:w="599" w:type="pct"/>
            <w:tcBorders>
              <w:top w:val="single" w:sz="4" w:space="0" w:color="A6A6A6"/>
              <w:left w:val="single" w:sz="4" w:space="0" w:color="A6A6A6"/>
              <w:bottom w:val="single" w:sz="4" w:space="0" w:color="A6A6A6"/>
              <w:right w:val="single" w:sz="4" w:space="0" w:color="A6A6A6"/>
            </w:tcBorders>
            <w:vAlign w:val="center"/>
          </w:tcPr>
          <w:p w14:paraId="1B209FCC" w14:textId="77777777" w:rsidR="0046336D" w:rsidRPr="00E37D56" w:rsidRDefault="0046336D" w:rsidP="0046336D">
            <w:pPr>
              <w:spacing w:before="11" w:line="181" w:lineRule="exact"/>
              <w:ind w:right="57"/>
              <w:jc w:val="right"/>
              <w:rPr>
                <w:rFonts w:ascii="Arial" w:eastAsia="Arial" w:hAnsi="Arial" w:cs="Arial"/>
                <w:b/>
                <w:sz w:val="14"/>
                <w:szCs w:val="16"/>
                <w:lang w:val="es-ES"/>
              </w:rPr>
            </w:pPr>
            <w:r>
              <w:rPr>
                <w:rFonts w:ascii="Arial" w:eastAsia="Arial" w:hAnsi="Arial" w:cs="Arial"/>
                <w:b/>
                <w:sz w:val="14"/>
                <w:szCs w:val="16"/>
                <w:lang w:val="es-ES"/>
              </w:rPr>
              <w:t>3,126,325</w:t>
            </w:r>
          </w:p>
        </w:tc>
        <w:tc>
          <w:tcPr>
            <w:tcW w:w="605" w:type="pct"/>
            <w:tcBorders>
              <w:top w:val="single" w:sz="4" w:space="0" w:color="A6A6A6"/>
              <w:left w:val="single" w:sz="4" w:space="0" w:color="A6A6A6"/>
              <w:bottom w:val="single" w:sz="4" w:space="0" w:color="A6A6A6"/>
              <w:right w:val="single" w:sz="4" w:space="0" w:color="A6A6A6"/>
            </w:tcBorders>
            <w:vAlign w:val="center"/>
            <w:hideMark/>
          </w:tcPr>
          <w:p w14:paraId="4D9F1553" w14:textId="77777777" w:rsidR="0046336D" w:rsidRPr="00E37D56" w:rsidRDefault="0046336D" w:rsidP="0046336D">
            <w:pPr>
              <w:spacing w:before="11" w:line="181" w:lineRule="exact"/>
              <w:jc w:val="right"/>
              <w:rPr>
                <w:rFonts w:ascii="Arial" w:eastAsia="Arial" w:hAnsi="Arial" w:cs="Arial"/>
                <w:b/>
                <w:sz w:val="14"/>
                <w:szCs w:val="16"/>
                <w:lang w:val="es-ES"/>
              </w:rPr>
            </w:pPr>
            <w:r>
              <w:rPr>
                <w:rFonts w:ascii="Arial" w:eastAsia="Arial" w:hAnsi="Arial" w:cs="Arial"/>
                <w:b/>
                <w:sz w:val="14"/>
                <w:szCs w:val="16"/>
                <w:lang w:val="es-ES"/>
              </w:rPr>
              <w:t>37.1</w:t>
            </w:r>
            <w:r w:rsidRPr="00E37D56">
              <w:rPr>
                <w:rFonts w:ascii="Arial" w:eastAsia="Arial" w:hAnsi="Arial" w:cs="Arial"/>
                <w:b/>
                <w:sz w:val="14"/>
                <w:szCs w:val="16"/>
                <w:lang w:val="es-ES"/>
              </w:rPr>
              <w:t>%</w:t>
            </w:r>
          </w:p>
        </w:tc>
        <w:tc>
          <w:tcPr>
            <w:tcW w:w="598" w:type="pct"/>
            <w:tcBorders>
              <w:top w:val="single" w:sz="4" w:space="0" w:color="A6A6A6"/>
              <w:left w:val="single" w:sz="4" w:space="0" w:color="A6A6A6"/>
              <w:bottom w:val="single" w:sz="4" w:space="0" w:color="A6A6A6"/>
              <w:right w:val="single" w:sz="4" w:space="0" w:color="A6A6A6"/>
            </w:tcBorders>
            <w:vAlign w:val="center"/>
            <w:hideMark/>
          </w:tcPr>
          <w:p w14:paraId="6B01DE2D" w14:textId="77777777" w:rsidR="0046336D" w:rsidRPr="00E37D56" w:rsidRDefault="0046336D" w:rsidP="0046336D">
            <w:pPr>
              <w:spacing w:before="11" w:line="181" w:lineRule="exact"/>
              <w:jc w:val="right"/>
              <w:rPr>
                <w:rFonts w:ascii="Arial" w:eastAsia="Arial" w:hAnsi="Arial" w:cs="Arial"/>
                <w:b/>
                <w:sz w:val="14"/>
                <w:szCs w:val="16"/>
                <w:lang w:val="es-ES"/>
              </w:rPr>
            </w:pPr>
            <w:r>
              <w:rPr>
                <w:rFonts w:ascii="Arial" w:eastAsia="Arial" w:hAnsi="Arial" w:cs="Arial"/>
                <w:b/>
                <w:sz w:val="14"/>
                <w:szCs w:val="16"/>
                <w:lang w:val="es-ES"/>
              </w:rPr>
              <w:t>12.4</w:t>
            </w:r>
            <w:r w:rsidRPr="00E37D56">
              <w:rPr>
                <w:rFonts w:ascii="Arial" w:eastAsia="Arial" w:hAnsi="Arial" w:cs="Arial"/>
                <w:b/>
                <w:sz w:val="14"/>
                <w:szCs w:val="16"/>
                <w:lang w:val="es-ES"/>
              </w:rPr>
              <w:t>%</w:t>
            </w:r>
          </w:p>
        </w:tc>
      </w:tr>
      <w:tr w:rsidR="0046336D" w:rsidRPr="00E37D56" w14:paraId="4E42BA11" w14:textId="77777777" w:rsidTr="0046336D">
        <w:trPr>
          <w:trHeight w:val="264"/>
          <w:jc w:val="center"/>
        </w:trPr>
        <w:tc>
          <w:tcPr>
            <w:tcW w:w="1267" w:type="pct"/>
            <w:tcBorders>
              <w:top w:val="single" w:sz="4" w:space="0" w:color="A6A6A6"/>
              <w:left w:val="single" w:sz="4" w:space="0" w:color="A6A6A6"/>
              <w:bottom w:val="single" w:sz="4" w:space="0" w:color="A6A6A6"/>
              <w:right w:val="single" w:sz="4" w:space="0" w:color="A6A6A6"/>
            </w:tcBorders>
            <w:vAlign w:val="center"/>
          </w:tcPr>
          <w:p w14:paraId="654CD913" w14:textId="77777777" w:rsidR="0046336D" w:rsidRPr="004502F2" w:rsidRDefault="0046336D" w:rsidP="0046336D">
            <w:pPr>
              <w:spacing w:before="11"/>
              <w:rPr>
                <w:rFonts w:ascii="Arial" w:eastAsia="Arial" w:hAnsi="Arial" w:cs="Arial"/>
                <w:b/>
                <w:sz w:val="14"/>
                <w:szCs w:val="16"/>
                <w:lang w:val="es-ES"/>
              </w:rPr>
            </w:pPr>
            <w:r w:rsidRPr="004502F2">
              <w:rPr>
                <w:rFonts w:ascii="Arial" w:eastAsia="Arial" w:hAnsi="Arial" w:cs="Arial"/>
                <w:b/>
                <w:sz w:val="14"/>
                <w:szCs w:val="16"/>
                <w:lang w:val="es-ES"/>
              </w:rPr>
              <w:t>Participaciones a los Municipios</w:t>
            </w:r>
          </w:p>
        </w:tc>
        <w:tc>
          <w:tcPr>
            <w:tcW w:w="659" w:type="pct"/>
            <w:tcBorders>
              <w:top w:val="single" w:sz="4" w:space="0" w:color="A6A6A6"/>
              <w:left w:val="single" w:sz="4" w:space="0" w:color="A6A6A6"/>
              <w:bottom w:val="single" w:sz="4" w:space="0" w:color="A6A6A6"/>
              <w:right w:val="single" w:sz="4" w:space="0" w:color="A6A6A6"/>
            </w:tcBorders>
            <w:vAlign w:val="center"/>
            <w:hideMark/>
          </w:tcPr>
          <w:p w14:paraId="50308FC2" w14:textId="77777777" w:rsidR="0046336D" w:rsidRPr="004502F2" w:rsidRDefault="0046336D" w:rsidP="0046336D">
            <w:pPr>
              <w:spacing w:before="11"/>
              <w:ind w:right="57"/>
              <w:jc w:val="right"/>
              <w:rPr>
                <w:rFonts w:ascii="Arial" w:eastAsia="Arial" w:hAnsi="Arial" w:cs="Arial"/>
                <w:b/>
                <w:sz w:val="14"/>
                <w:szCs w:val="16"/>
                <w:lang w:val="es-ES"/>
              </w:rPr>
            </w:pPr>
            <w:r w:rsidRPr="004502F2">
              <w:rPr>
                <w:rFonts w:ascii="Arial" w:eastAsia="Arial" w:hAnsi="Arial" w:cs="Arial"/>
                <w:b/>
                <w:sz w:val="14"/>
                <w:szCs w:val="16"/>
                <w:lang w:val="es-ES"/>
              </w:rPr>
              <w:t>5,239,616</w:t>
            </w:r>
          </w:p>
        </w:tc>
        <w:tc>
          <w:tcPr>
            <w:tcW w:w="599" w:type="pct"/>
            <w:tcBorders>
              <w:top w:val="single" w:sz="4" w:space="0" w:color="A6A6A6"/>
              <w:left w:val="single" w:sz="4" w:space="0" w:color="A6A6A6"/>
              <w:bottom w:val="single" w:sz="4" w:space="0" w:color="A6A6A6"/>
              <w:right w:val="single" w:sz="4" w:space="0" w:color="A6A6A6"/>
            </w:tcBorders>
            <w:vAlign w:val="center"/>
          </w:tcPr>
          <w:p w14:paraId="7207E7DB" w14:textId="77777777" w:rsidR="0046336D" w:rsidRPr="004502F2" w:rsidRDefault="0046336D" w:rsidP="0046336D">
            <w:pPr>
              <w:spacing w:before="11"/>
              <w:ind w:right="57"/>
              <w:jc w:val="right"/>
              <w:rPr>
                <w:rFonts w:ascii="Arial" w:eastAsia="Arial" w:hAnsi="Arial" w:cs="Arial"/>
                <w:b/>
                <w:sz w:val="14"/>
                <w:szCs w:val="16"/>
                <w:lang w:val="es-ES"/>
              </w:rPr>
            </w:pPr>
            <w:r>
              <w:rPr>
                <w:rFonts w:ascii="Arial" w:eastAsia="Arial" w:hAnsi="Arial" w:cs="Arial"/>
                <w:b/>
                <w:sz w:val="14"/>
                <w:szCs w:val="16"/>
                <w:lang w:val="es-ES"/>
              </w:rPr>
              <w:t>5,792,867</w:t>
            </w:r>
          </w:p>
        </w:tc>
        <w:tc>
          <w:tcPr>
            <w:tcW w:w="673" w:type="pct"/>
            <w:tcBorders>
              <w:top w:val="single" w:sz="4" w:space="0" w:color="A6A6A6"/>
              <w:left w:val="single" w:sz="4" w:space="0" w:color="A6A6A6"/>
              <w:bottom w:val="single" w:sz="4" w:space="0" w:color="A6A6A6"/>
              <w:right w:val="single" w:sz="4" w:space="0" w:color="A6A6A6"/>
            </w:tcBorders>
            <w:vAlign w:val="center"/>
          </w:tcPr>
          <w:p w14:paraId="3456A95B" w14:textId="77777777" w:rsidR="0046336D" w:rsidRPr="004502F2" w:rsidRDefault="0046336D" w:rsidP="0046336D">
            <w:pPr>
              <w:spacing w:before="11"/>
              <w:ind w:right="57"/>
              <w:jc w:val="right"/>
              <w:rPr>
                <w:rFonts w:ascii="Arial" w:eastAsia="Arial" w:hAnsi="Arial" w:cs="Arial"/>
                <w:b/>
                <w:sz w:val="14"/>
                <w:szCs w:val="16"/>
                <w:lang w:val="es-ES"/>
              </w:rPr>
            </w:pPr>
            <w:r>
              <w:rPr>
                <w:rFonts w:ascii="Arial" w:eastAsia="Arial" w:hAnsi="Arial" w:cs="Arial"/>
                <w:b/>
                <w:sz w:val="14"/>
                <w:szCs w:val="16"/>
                <w:lang w:val="es-ES"/>
              </w:rPr>
              <w:t>6,284,900</w:t>
            </w:r>
          </w:p>
        </w:tc>
        <w:tc>
          <w:tcPr>
            <w:tcW w:w="599" w:type="pct"/>
            <w:tcBorders>
              <w:top w:val="single" w:sz="4" w:space="0" w:color="A6A6A6"/>
              <w:left w:val="single" w:sz="4" w:space="0" w:color="A6A6A6"/>
              <w:bottom w:val="single" w:sz="4" w:space="0" w:color="A6A6A6"/>
              <w:right w:val="single" w:sz="4" w:space="0" w:color="A6A6A6"/>
            </w:tcBorders>
            <w:vAlign w:val="center"/>
          </w:tcPr>
          <w:p w14:paraId="7BABD801" w14:textId="77777777" w:rsidR="0046336D" w:rsidRPr="004502F2" w:rsidRDefault="0046336D" w:rsidP="0046336D">
            <w:pPr>
              <w:spacing w:before="11"/>
              <w:ind w:right="57"/>
              <w:jc w:val="right"/>
              <w:rPr>
                <w:rFonts w:ascii="Arial" w:eastAsia="Arial" w:hAnsi="Arial" w:cs="Arial"/>
                <w:b/>
                <w:sz w:val="14"/>
                <w:szCs w:val="16"/>
                <w:lang w:val="es-ES"/>
              </w:rPr>
            </w:pPr>
            <w:r>
              <w:rPr>
                <w:rFonts w:ascii="Arial" w:eastAsia="Arial" w:hAnsi="Arial" w:cs="Arial"/>
                <w:b/>
                <w:sz w:val="14"/>
                <w:szCs w:val="16"/>
                <w:lang w:val="es-ES"/>
              </w:rPr>
              <w:t>492,033</w:t>
            </w:r>
          </w:p>
        </w:tc>
        <w:tc>
          <w:tcPr>
            <w:tcW w:w="605" w:type="pct"/>
            <w:tcBorders>
              <w:top w:val="single" w:sz="4" w:space="0" w:color="A6A6A6"/>
              <w:left w:val="single" w:sz="4" w:space="0" w:color="A6A6A6"/>
              <w:bottom w:val="single" w:sz="4" w:space="0" w:color="A6A6A6"/>
              <w:right w:val="single" w:sz="4" w:space="0" w:color="A6A6A6"/>
            </w:tcBorders>
            <w:vAlign w:val="center"/>
            <w:hideMark/>
          </w:tcPr>
          <w:p w14:paraId="0A8A974D" w14:textId="77777777" w:rsidR="0046336D" w:rsidRPr="004502F2" w:rsidRDefault="0046336D" w:rsidP="0046336D">
            <w:pPr>
              <w:spacing w:before="11"/>
              <w:jc w:val="right"/>
              <w:rPr>
                <w:rFonts w:ascii="Arial" w:eastAsia="Arial" w:hAnsi="Arial" w:cs="Arial"/>
                <w:b/>
                <w:sz w:val="14"/>
                <w:szCs w:val="16"/>
                <w:lang w:val="es-ES"/>
              </w:rPr>
            </w:pPr>
            <w:r>
              <w:rPr>
                <w:rFonts w:ascii="Arial" w:eastAsia="Arial" w:hAnsi="Arial" w:cs="Arial"/>
                <w:b/>
                <w:sz w:val="14"/>
                <w:szCs w:val="16"/>
                <w:lang w:val="es-ES"/>
              </w:rPr>
              <w:t>8.5</w:t>
            </w:r>
            <w:r w:rsidRPr="004502F2">
              <w:rPr>
                <w:rFonts w:ascii="Arial" w:eastAsia="Arial" w:hAnsi="Arial" w:cs="Arial"/>
                <w:b/>
                <w:sz w:val="14"/>
                <w:szCs w:val="16"/>
                <w:lang w:val="es-ES"/>
              </w:rPr>
              <w:t>%</w:t>
            </w:r>
          </w:p>
        </w:tc>
        <w:tc>
          <w:tcPr>
            <w:tcW w:w="598" w:type="pct"/>
            <w:tcBorders>
              <w:top w:val="single" w:sz="4" w:space="0" w:color="A6A6A6"/>
              <w:left w:val="single" w:sz="4" w:space="0" w:color="A6A6A6"/>
              <w:bottom w:val="single" w:sz="4" w:space="0" w:color="A6A6A6"/>
              <w:right w:val="single" w:sz="4" w:space="0" w:color="A6A6A6"/>
            </w:tcBorders>
            <w:vAlign w:val="center"/>
            <w:hideMark/>
          </w:tcPr>
          <w:p w14:paraId="01DB1F0C" w14:textId="77777777" w:rsidR="0046336D" w:rsidRPr="004502F2" w:rsidRDefault="0046336D" w:rsidP="0046336D">
            <w:pPr>
              <w:spacing w:before="11"/>
              <w:jc w:val="right"/>
              <w:rPr>
                <w:rFonts w:ascii="Arial" w:eastAsia="Arial" w:hAnsi="Arial" w:cs="Arial"/>
                <w:b/>
                <w:sz w:val="14"/>
                <w:szCs w:val="16"/>
                <w:lang w:val="es-ES"/>
              </w:rPr>
            </w:pPr>
            <w:r>
              <w:rPr>
                <w:rFonts w:ascii="Arial" w:eastAsia="Arial" w:hAnsi="Arial" w:cs="Arial"/>
                <w:b/>
                <w:sz w:val="14"/>
                <w:szCs w:val="16"/>
                <w:lang w:val="es-ES"/>
              </w:rPr>
              <w:t>11.2</w:t>
            </w:r>
            <w:r w:rsidRPr="004502F2">
              <w:rPr>
                <w:rFonts w:ascii="Arial" w:eastAsia="Arial" w:hAnsi="Arial" w:cs="Arial"/>
                <w:b/>
                <w:sz w:val="14"/>
                <w:szCs w:val="16"/>
                <w:lang w:val="es-ES"/>
              </w:rPr>
              <w:t>%</w:t>
            </w:r>
          </w:p>
        </w:tc>
      </w:tr>
      <w:tr w:rsidR="0046336D" w:rsidRPr="00E37D56" w14:paraId="4EEBF2E1" w14:textId="77777777" w:rsidTr="0046336D">
        <w:trPr>
          <w:trHeight w:val="264"/>
          <w:jc w:val="center"/>
        </w:trPr>
        <w:tc>
          <w:tcPr>
            <w:tcW w:w="1267" w:type="pct"/>
            <w:tcBorders>
              <w:top w:val="single" w:sz="4" w:space="0" w:color="A6A6A6"/>
              <w:left w:val="single" w:sz="4" w:space="0" w:color="A6A6A6"/>
              <w:bottom w:val="single" w:sz="4" w:space="0" w:color="A6A6A6"/>
              <w:right w:val="single" w:sz="4" w:space="0" w:color="A6A6A6"/>
            </w:tcBorders>
            <w:vAlign w:val="center"/>
          </w:tcPr>
          <w:p w14:paraId="70E90C8B" w14:textId="77777777" w:rsidR="0046336D" w:rsidRPr="00C43D32" w:rsidRDefault="001376C7" w:rsidP="0046336D">
            <w:pPr>
              <w:spacing w:before="11"/>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 xml:space="preserve">   </w:t>
            </w:r>
            <w:r w:rsidR="0046336D" w:rsidRPr="00C43D32">
              <w:rPr>
                <w:rFonts w:ascii="Arial" w:eastAsia="Arial" w:hAnsi="Arial" w:cs="Arial"/>
                <w:color w:val="808080" w:themeColor="background1" w:themeShade="80"/>
                <w:sz w:val="14"/>
                <w:szCs w:val="16"/>
                <w:lang w:val="es-ES"/>
              </w:rPr>
              <w:t>Servicios Generales</w:t>
            </w:r>
          </w:p>
        </w:tc>
        <w:tc>
          <w:tcPr>
            <w:tcW w:w="659" w:type="pct"/>
            <w:tcBorders>
              <w:top w:val="single" w:sz="4" w:space="0" w:color="A6A6A6"/>
              <w:left w:val="single" w:sz="4" w:space="0" w:color="A6A6A6"/>
              <w:bottom w:val="single" w:sz="4" w:space="0" w:color="A6A6A6"/>
              <w:right w:val="single" w:sz="4" w:space="0" w:color="A6A6A6"/>
            </w:tcBorders>
            <w:vAlign w:val="center"/>
          </w:tcPr>
          <w:p w14:paraId="379336B2" w14:textId="77777777" w:rsidR="0046336D" w:rsidRPr="00C43D32" w:rsidRDefault="0046336D" w:rsidP="0046336D">
            <w:pPr>
              <w:spacing w:before="11"/>
              <w:ind w:right="57"/>
              <w:jc w:val="right"/>
              <w:rPr>
                <w:rFonts w:ascii="Arial" w:eastAsia="Arial" w:hAnsi="Arial" w:cs="Arial"/>
                <w:color w:val="808080" w:themeColor="background1" w:themeShade="80"/>
                <w:sz w:val="14"/>
                <w:szCs w:val="16"/>
                <w:lang w:val="es-ES"/>
              </w:rPr>
            </w:pPr>
            <w:r w:rsidRPr="00C43D32">
              <w:rPr>
                <w:rFonts w:ascii="Arial" w:eastAsia="Arial" w:hAnsi="Arial" w:cs="Arial"/>
                <w:color w:val="808080" w:themeColor="background1" w:themeShade="80"/>
                <w:sz w:val="14"/>
                <w:szCs w:val="16"/>
                <w:lang w:val="es-ES"/>
              </w:rPr>
              <w:t>0</w:t>
            </w:r>
          </w:p>
        </w:tc>
        <w:tc>
          <w:tcPr>
            <w:tcW w:w="599" w:type="pct"/>
            <w:tcBorders>
              <w:top w:val="single" w:sz="4" w:space="0" w:color="A6A6A6"/>
              <w:left w:val="single" w:sz="4" w:space="0" w:color="A6A6A6"/>
              <w:bottom w:val="single" w:sz="4" w:space="0" w:color="A6A6A6"/>
              <w:right w:val="single" w:sz="4" w:space="0" w:color="A6A6A6"/>
            </w:tcBorders>
            <w:vAlign w:val="center"/>
          </w:tcPr>
          <w:p w14:paraId="25A60A6E" w14:textId="77777777" w:rsidR="0046336D" w:rsidRPr="00C43D32" w:rsidRDefault="0046336D" w:rsidP="0046336D">
            <w:pPr>
              <w:spacing w:before="11"/>
              <w:ind w:right="57"/>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0</w:t>
            </w:r>
          </w:p>
        </w:tc>
        <w:tc>
          <w:tcPr>
            <w:tcW w:w="673" w:type="pct"/>
            <w:tcBorders>
              <w:top w:val="single" w:sz="4" w:space="0" w:color="A6A6A6"/>
              <w:left w:val="single" w:sz="4" w:space="0" w:color="A6A6A6"/>
              <w:bottom w:val="single" w:sz="4" w:space="0" w:color="A6A6A6"/>
              <w:right w:val="single" w:sz="4" w:space="0" w:color="A6A6A6"/>
            </w:tcBorders>
            <w:vAlign w:val="center"/>
          </w:tcPr>
          <w:p w14:paraId="6DEAE78A" w14:textId="77777777" w:rsidR="0046336D" w:rsidRPr="00C43D32" w:rsidRDefault="0046336D" w:rsidP="0046336D">
            <w:pPr>
              <w:spacing w:before="11"/>
              <w:ind w:right="57"/>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5</w:t>
            </w:r>
          </w:p>
        </w:tc>
        <w:tc>
          <w:tcPr>
            <w:tcW w:w="599" w:type="pct"/>
            <w:tcBorders>
              <w:top w:val="single" w:sz="4" w:space="0" w:color="A6A6A6"/>
              <w:left w:val="single" w:sz="4" w:space="0" w:color="A6A6A6"/>
              <w:bottom w:val="single" w:sz="4" w:space="0" w:color="A6A6A6"/>
              <w:right w:val="single" w:sz="4" w:space="0" w:color="A6A6A6"/>
            </w:tcBorders>
            <w:vAlign w:val="center"/>
          </w:tcPr>
          <w:p w14:paraId="67C18135" w14:textId="77777777" w:rsidR="0046336D" w:rsidRPr="00C43D32" w:rsidRDefault="0046336D" w:rsidP="0046336D">
            <w:pPr>
              <w:spacing w:before="11"/>
              <w:ind w:right="57"/>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5</w:t>
            </w:r>
          </w:p>
        </w:tc>
        <w:tc>
          <w:tcPr>
            <w:tcW w:w="605" w:type="pct"/>
            <w:tcBorders>
              <w:top w:val="single" w:sz="4" w:space="0" w:color="A6A6A6"/>
              <w:left w:val="single" w:sz="4" w:space="0" w:color="A6A6A6"/>
              <w:bottom w:val="single" w:sz="4" w:space="0" w:color="A6A6A6"/>
              <w:right w:val="single" w:sz="4" w:space="0" w:color="A6A6A6"/>
            </w:tcBorders>
            <w:vAlign w:val="center"/>
          </w:tcPr>
          <w:p w14:paraId="0586B3A3" w14:textId="77777777" w:rsidR="0046336D" w:rsidRPr="00C43D32" w:rsidRDefault="0046336D" w:rsidP="0046336D">
            <w:pPr>
              <w:spacing w:before="11"/>
              <w:jc w:val="right"/>
              <w:rPr>
                <w:rFonts w:ascii="Arial" w:eastAsia="Arial" w:hAnsi="Arial" w:cs="Arial"/>
                <w:color w:val="808080" w:themeColor="background1" w:themeShade="80"/>
                <w:sz w:val="14"/>
                <w:szCs w:val="16"/>
                <w:lang w:val="es-ES"/>
              </w:rPr>
            </w:pPr>
          </w:p>
        </w:tc>
        <w:tc>
          <w:tcPr>
            <w:tcW w:w="598" w:type="pct"/>
            <w:tcBorders>
              <w:top w:val="single" w:sz="4" w:space="0" w:color="A6A6A6"/>
              <w:left w:val="single" w:sz="4" w:space="0" w:color="A6A6A6"/>
              <w:bottom w:val="single" w:sz="4" w:space="0" w:color="A6A6A6"/>
              <w:right w:val="single" w:sz="4" w:space="0" w:color="A6A6A6"/>
            </w:tcBorders>
            <w:vAlign w:val="center"/>
          </w:tcPr>
          <w:p w14:paraId="1BA61E7A" w14:textId="77777777" w:rsidR="0046336D" w:rsidRPr="00C43D32" w:rsidRDefault="0046336D" w:rsidP="0046336D">
            <w:pPr>
              <w:spacing w:before="11"/>
              <w:jc w:val="right"/>
              <w:rPr>
                <w:rFonts w:ascii="Arial" w:eastAsia="Arial" w:hAnsi="Arial" w:cs="Arial"/>
                <w:color w:val="808080" w:themeColor="background1" w:themeShade="80"/>
                <w:sz w:val="14"/>
                <w:szCs w:val="16"/>
                <w:lang w:val="es-ES"/>
              </w:rPr>
            </w:pPr>
          </w:p>
        </w:tc>
      </w:tr>
      <w:tr w:rsidR="0046336D" w:rsidRPr="00E37D56" w14:paraId="7D908F9F" w14:textId="77777777" w:rsidTr="0046336D">
        <w:trPr>
          <w:trHeight w:val="264"/>
          <w:jc w:val="center"/>
        </w:trPr>
        <w:tc>
          <w:tcPr>
            <w:tcW w:w="1267" w:type="pct"/>
            <w:tcBorders>
              <w:top w:val="single" w:sz="4" w:space="0" w:color="A6A6A6"/>
              <w:left w:val="single" w:sz="4" w:space="0" w:color="A6A6A6"/>
              <w:bottom w:val="single" w:sz="4" w:space="0" w:color="A6A6A6"/>
              <w:right w:val="single" w:sz="4" w:space="0" w:color="A6A6A6"/>
            </w:tcBorders>
            <w:vAlign w:val="center"/>
          </w:tcPr>
          <w:p w14:paraId="4CD1834B" w14:textId="77777777" w:rsidR="0046336D" w:rsidRPr="00C43D32" w:rsidRDefault="0046336D" w:rsidP="0046336D">
            <w:pPr>
              <w:spacing w:before="1" w:line="276" w:lineRule="auto"/>
              <w:jc w:val="right"/>
              <w:rPr>
                <w:rFonts w:ascii="Arial" w:eastAsia="Arial" w:hAnsi="Arial" w:cs="Arial"/>
                <w:i/>
                <w:color w:val="808080" w:themeColor="background1" w:themeShade="80"/>
                <w:sz w:val="14"/>
                <w:szCs w:val="16"/>
                <w:lang w:val="es-ES"/>
              </w:rPr>
            </w:pPr>
            <w:r w:rsidRPr="00C43D32">
              <w:rPr>
                <w:rFonts w:ascii="Arial" w:eastAsia="Arial" w:hAnsi="Arial" w:cs="Arial"/>
                <w:i/>
                <w:color w:val="808080" w:themeColor="background1" w:themeShade="80"/>
                <w:sz w:val="14"/>
                <w:szCs w:val="16"/>
                <w:lang w:val="es-ES"/>
              </w:rPr>
              <w:lastRenderedPageBreak/>
              <w:t>Transferencias, Asignaciones subsidios y Otras Ayudas.</w:t>
            </w:r>
          </w:p>
        </w:tc>
        <w:tc>
          <w:tcPr>
            <w:tcW w:w="659" w:type="pct"/>
            <w:tcBorders>
              <w:top w:val="single" w:sz="4" w:space="0" w:color="A6A6A6"/>
              <w:left w:val="single" w:sz="4" w:space="0" w:color="A6A6A6"/>
              <w:bottom w:val="single" w:sz="4" w:space="0" w:color="A6A6A6"/>
              <w:right w:val="single" w:sz="4" w:space="0" w:color="A6A6A6"/>
            </w:tcBorders>
            <w:vAlign w:val="center"/>
            <w:hideMark/>
          </w:tcPr>
          <w:p w14:paraId="1CA6C11F" w14:textId="77777777" w:rsidR="0046336D" w:rsidRPr="00C43D32" w:rsidRDefault="0046336D" w:rsidP="0046336D">
            <w:pPr>
              <w:spacing w:before="117"/>
              <w:ind w:right="57"/>
              <w:jc w:val="right"/>
              <w:rPr>
                <w:rFonts w:ascii="Arial" w:eastAsia="Arial" w:hAnsi="Arial" w:cs="Arial"/>
                <w:color w:val="808080" w:themeColor="background1" w:themeShade="80"/>
                <w:sz w:val="14"/>
                <w:szCs w:val="16"/>
                <w:lang w:val="es-ES"/>
              </w:rPr>
            </w:pPr>
            <w:r w:rsidRPr="00C43D32">
              <w:rPr>
                <w:rFonts w:ascii="Arial" w:eastAsia="Arial" w:hAnsi="Arial" w:cs="Arial"/>
                <w:color w:val="808080" w:themeColor="background1" w:themeShade="80"/>
                <w:sz w:val="14"/>
                <w:szCs w:val="16"/>
                <w:lang w:val="es-ES"/>
              </w:rPr>
              <w:t>21,712</w:t>
            </w:r>
          </w:p>
        </w:tc>
        <w:tc>
          <w:tcPr>
            <w:tcW w:w="599" w:type="pct"/>
            <w:tcBorders>
              <w:top w:val="single" w:sz="4" w:space="0" w:color="A6A6A6"/>
              <w:left w:val="single" w:sz="4" w:space="0" w:color="A6A6A6"/>
              <w:bottom w:val="single" w:sz="4" w:space="0" w:color="A6A6A6"/>
              <w:right w:val="single" w:sz="4" w:space="0" w:color="A6A6A6"/>
            </w:tcBorders>
            <w:vAlign w:val="center"/>
          </w:tcPr>
          <w:p w14:paraId="444B72D1" w14:textId="77777777" w:rsidR="0046336D" w:rsidRPr="00C43D32" w:rsidRDefault="0046336D" w:rsidP="0046336D">
            <w:pPr>
              <w:spacing w:before="117"/>
              <w:ind w:right="57"/>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0</w:t>
            </w:r>
          </w:p>
        </w:tc>
        <w:tc>
          <w:tcPr>
            <w:tcW w:w="673" w:type="pct"/>
            <w:tcBorders>
              <w:top w:val="single" w:sz="4" w:space="0" w:color="A6A6A6"/>
              <w:left w:val="single" w:sz="4" w:space="0" w:color="A6A6A6"/>
              <w:bottom w:val="single" w:sz="4" w:space="0" w:color="A6A6A6"/>
              <w:right w:val="single" w:sz="4" w:space="0" w:color="A6A6A6"/>
            </w:tcBorders>
            <w:vAlign w:val="center"/>
          </w:tcPr>
          <w:p w14:paraId="1D808A61" w14:textId="77777777" w:rsidR="0046336D" w:rsidRPr="00C43D32" w:rsidRDefault="0046336D" w:rsidP="0046336D">
            <w:pPr>
              <w:spacing w:before="117"/>
              <w:ind w:right="57"/>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192,764</w:t>
            </w:r>
          </w:p>
        </w:tc>
        <w:tc>
          <w:tcPr>
            <w:tcW w:w="599" w:type="pct"/>
            <w:tcBorders>
              <w:top w:val="single" w:sz="4" w:space="0" w:color="A6A6A6"/>
              <w:left w:val="single" w:sz="4" w:space="0" w:color="A6A6A6"/>
              <w:bottom w:val="single" w:sz="4" w:space="0" w:color="A6A6A6"/>
              <w:right w:val="single" w:sz="4" w:space="0" w:color="A6A6A6"/>
            </w:tcBorders>
            <w:vAlign w:val="center"/>
          </w:tcPr>
          <w:p w14:paraId="67496588" w14:textId="77777777" w:rsidR="0046336D" w:rsidRPr="00C43D32" w:rsidRDefault="0046336D" w:rsidP="0046336D">
            <w:pPr>
              <w:spacing w:before="117"/>
              <w:ind w:right="57"/>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192,764</w:t>
            </w:r>
          </w:p>
        </w:tc>
        <w:tc>
          <w:tcPr>
            <w:tcW w:w="605" w:type="pct"/>
            <w:tcBorders>
              <w:top w:val="single" w:sz="4" w:space="0" w:color="A6A6A6"/>
              <w:left w:val="single" w:sz="4" w:space="0" w:color="A6A6A6"/>
              <w:bottom w:val="single" w:sz="4" w:space="0" w:color="A6A6A6"/>
              <w:right w:val="single" w:sz="4" w:space="0" w:color="A6A6A6"/>
            </w:tcBorders>
            <w:vAlign w:val="center"/>
          </w:tcPr>
          <w:p w14:paraId="05C8F863" w14:textId="77777777" w:rsidR="0046336D" w:rsidRPr="00C43D32" w:rsidRDefault="0046336D" w:rsidP="0046336D">
            <w:pPr>
              <w:spacing w:before="117"/>
              <w:jc w:val="right"/>
              <w:rPr>
                <w:rFonts w:ascii="Arial" w:eastAsia="Arial" w:hAnsi="Arial" w:cs="Arial"/>
                <w:color w:val="808080" w:themeColor="background1" w:themeShade="80"/>
                <w:sz w:val="14"/>
                <w:szCs w:val="16"/>
                <w:lang w:val="es-ES"/>
              </w:rPr>
            </w:pPr>
          </w:p>
        </w:tc>
        <w:tc>
          <w:tcPr>
            <w:tcW w:w="598" w:type="pct"/>
            <w:tcBorders>
              <w:top w:val="single" w:sz="4" w:space="0" w:color="A6A6A6"/>
              <w:left w:val="single" w:sz="4" w:space="0" w:color="A6A6A6"/>
              <w:bottom w:val="single" w:sz="4" w:space="0" w:color="A6A6A6"/>
              <w:right w:val="single" w:sz="4" w:space="0" w:color="A6A6A6"/>
            </w:tcBorders>
            <w:vAlign w:val="center"/>
            <w:hideMark/>
          </w:tcPr>
          <w:p w14:paraId="09EDA99D" w14:textId="77777777" w:rsidR="0046336D" w:rsidRPr="00C43D32" w:rsidRDefault="0046336D" w:rsidP="0046336D">
            <w:pPr>
              <w:spacing w:before="117"/>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722.8</w:t>
            </w:r>
            <w:r w:rsidRPr="00C43D32">
              <w:rPr>
                <w:rFonts w:ascii="Arial" w:eastAsia="Arial" w:hAnsi="Arial" w:cs="Arial"/>
                <w:color w:val="808080" w:themeColor="background1" w:themeShade="80"/>
                <w:sz w:val="14"/>
                <w:szCs w:val="16"/>
                <w:lang w:val="es-ES"/>
              </w:rPr>
              <w:t>%</w:t>
            </w:r>
          </w:p>
        </w:tc>
      </w:tr>
      <w:tr w:rsidR="0046336D" w:rsidRPr="00E37D56" w14:paraId="149D7FB9" w14:textId="77777777" w:rsidTr="0046336D">
        <w:trPr>
          <w:trHeight w:val="264"/>
          <w:jc w:val="center"/>
        </w:trPr>
        <w:tc>
          <w:tcPr>
            <w:tcW w:w="1267" w:type="pct"/>
            <w:tcBorders>
              <w:top w:val="single" w:sz="4" w:space="0" w:color="A6A6A6"/>
              <w:left w:val="single" w:sz="4" w:space="0" w:color="A6A6A6"/>
              <w:bottom w:val="single" w:sz="4" w:space="0" w:color="A6A6A6"/>
              <w:right w:val="single" w:sz="4" w:space="0" w:color="A6A6A6"/>
            </w:tcBorders>
            <w:vAlign w:val="center"/>
          </w:tcPr>
          <w:p w14:paraId="2DE2D1AE" w14:textId="77777777" w:rsidR="0046336D" w:rsidRPr="00C43D32" w:rsidRDefault="0046336D" w:rsidP="0046336D">
            <w:pPr>
              <w:spacing w:before="1" w:line="276" w:lineRule="auto"/>
              <w:jc w:val="right"/>
              <w:rPr>
                <w:rFonts w:ascii="Arial" w:eastAsia="Arial" w:hAnsi="Arial" w:cs="Arial"/>
                <w:i/>
                <w:color w:val="808080" w:themeColor="background1" w:themeShade="80"/>
                <w:sz w:val="14"/>
                <w:szCs w:val="16"/>
                <w:lang w:val="es-ES"/>
              </w:rPr>
            </w:pPr>
            <w:r w:rsidRPr="00C43D32">
              <w:rPr>
                <w:rFonts w:ascii="Arial" w:eastAsia="Arial" w:hAnsi="Arial" w:cs="Arial"/>
                <w:i/>
                <w:color w:val="808080" w:themeColor="background1" w:themeShade="80"/>
                <w:sz w:val="14"/>
                <w:szCs w:val="16"/>
                <w:lang w:val="es-ES"/>
              </w:rPr>
              <w:t>Participaciones y Aportaciones</w:t>
            </w:r>
          </w:p>
        </w:tc>
        <w:tc>
          <w:tcPr>
            <w:tcW w:w="659" w:type="pct"/>
            <w:tcBorders>
              <w:top w:val="single" w:sz="4" w:space="0" w:color="A6A6A6"/>
              <w:left w:val="single" w:sz="4" w:space="0" w:color="A6A6A6"/>
              <w:bottom w:val="single" w:sz="4" w:space="0" w:color="A6A6A6"/>
              <w:right w:val="single" w:sz="4" w:space="0" w:color="A6A6A6"/>
            </w:tcBorders>
            <w:vAlign w:val="center"/>
            <w:hideMark/>
          </w:tcPr>
          <w:p w14:paraId="7192D10E" w14:textId="77777777" w:rsidR="0046336D" w:rsidRPr="00C43D32" w:rsidRDefault="0046336D" w:rsidP="0046336D">
            <w:pPr>
              <w:spacing w:before="117" w:line="181" w:lineRule="exact"/>
              <w:ind w:right="57"/>
              <w:jc w:val="right"/>
              <w:rPr>
                <w:rFonts w:ascii="Arial" w:eastAsia="Arial" w:hAnsi="Arial" w:cs="Arial"/>
                <w:color w:val="808080" w:themeColor="background1" w:themeShade="80"/>
                <w:sz w:val="14"/>
                <w:szCs w:val="16"/>
                <w:lang w:val="es-ES"/>
              </w:rPr>
            </w:pPr>
            <w:r w:rsidRPr="00C43D32">
              <w:rPr>
                <w:rFonts w:ascii="Arial" w:eastAsia="Arial" w:hAnsi="Arial" w:cs="Arial"/>
                <w:color w:val="808080" w:themeColor="background1" w:themeShade="80"/>
                <w:sz w:val="14"/>
                <w:szCs w:val="16"/>
                <w:lang w:val="es-ES"/>
              </w:rPr>
              <w:t>5,217,905</w:t>
            </w:r>
          </w:p>
        </w:tc>
        <w:tc>
          <w:tcPr>
            <w:tcW w:w="599" w:type="pct"/>
            <w:tcBorders>
              <w:top w:val="single" w:sz="4" w:space="0" w:color="A6A6A6"/>
              <w:left w:val="single" w:sz="4" w:space="0" w:color="A6A6A6"/>
              <w:bottom w:val="single" w:sz="4" w:space="0" w:color="A6A6A6"/>
              <w:right w:val="single" w:sz="4" w:space="0" w:color="A6A6A6"/>
            </w:tcBorders>
            <w:vAlign w:val="center"/>
          </w:tcPr>
          <w:p w14:paraId="286B05EA" w14:textId="77777777" w:rsidR="0046336D" w:rsidRPr="00C43D32" w:rsidRDefault="0046336D" w:rsidP="0046336D">
            <w:pPr>
              <w:spacing w:before="117" w:line="181" w:lineRule="exact"/>
              <w:ind w:right="57"/>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5,792,867</w:t>
            </w:r>
          </w:p>
        </w:tc>
        <w:tc>
          <w:tcPr>
            <w:tcW w:w="673" w:type="pct"/>
            <w:tcBorders>
              <w:top w:val="single" w:sz="4" w:space="0" w:color="A6A6A6"/>
              <w:left w:val="single" w:sz="4" w:space="0" w:color="A6A6A6"/>
              <w:bottom w:val="single" w:sz="4" w:space="0" w:color="A6A6A6"/>
              <w:right w:val="single" w:sz="4" w:space="0" w:color="A6A6A6"/>
            </w:tcBorders>
            <w:vAlign w:val="center"/>
          </w:tcPr>
          <w:p w14:paraId="2CCEB75A" w14:textId="77777777" w:rsidR="0046336D" w:rsidRPr="00C43D32" w:rsidRDefault="0046336D" w:rsidP="0046336D">
            <w:pPr>
              <w:spacing w:before="117" w:line="181" w:lineRule="exact"/>
              <w:ind w:right="57"/>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6,092,131</w:t>
            </w:r>
          </w:p>
        </w:tc>
        <w:tc>
          <w:tcPr>
            <w:tcW w:w="599" w:type="pct"/>
            <w:tcBorders>
              <w:top w:val="single" w:sz="4" w:space="0" w:color="A6A6A6"/>
              <w:left w:val="single" w:sz="4" w:space="0" w:color="A6A6A6"/>
              <w:bottom w:val="single" w:sz="4" w:space="0" w:color="A6A6A6"/>
              <w:right w:val="single" w:sz="4" w:space="0" w:color="A6A6A6"/>
            </w:tcBorders>
            <w:vAlign w:val="center"/>
          </w:tcPr>
          <w:p w14:paraId="115CCD44" w14:textId="77777777" w:rsidR="0046336D" w:rsidRPr="00C43D32" w:rsidRDefault="0046336D" w:rsidP="0046336D">
            <w:pPr>
              <w:spacing w:before="117" w:line="181" w:lineRule="exact"/>
              <w:ind w:right="57"/>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299,264</w:t>
            </w:r>
          </w:p>
        </w:tc>
        <w:tc>
          <w:tcPr>
            <w:tcW w:w="605" w:type="pct"/>
            <w:tcBorders>
              <w:top w:val="single" w:sz="4" w:space="0" w:color="A6A6A6"/>
              <w:left w:val="single" w:sz="4" w:space="0" w:color="A6A6A6"/>
              <w:bottom w:val="single" w:sz="4" w:space="0" w:color="A6A6A6"/>
              <w:right w:val="single" w:sz="4" w:space="0" w:color="A6A6A6"/>
            </w:tcBorders>
            <w:vAlign w:val="center"/>
            <w:hideMark/>
          </w:tcPr>
          <w:p w14:paraId="303B6DD0" w14:textId="77777777" w:rsidR="0046336D" w:rsidRPr="00C43D32" w:rsidRDefault="0046336D" w:rsidP="0046336D">
            <w:pPr>
              <w:spacing w:before="117" w:line="181" w:lineRule="exact"/>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5.2</w:t>
            </w:r>
            <w:r w:rsidRPr="00C43D32">
              <w:rPr>
                <w:rFonts w:ascii="Arial" w:eastAsia="Arial" w:hAnsi="Arial" w:cs="Arial"/>
                <w:color w:val="808080" w:themeColor="background1" w:themeShade="80"/>
                <w:sz w:val="14"/>
                <w:szCs w:val="16"/>
                <w:lang w:val="es-ES"/>
              </w:rPr>
              <w:t>%</w:t>
            </w:r>
          </w:p>
        </w:tc>
        <w:tc>
          <w:tcPr>
            <w:tcW w:w="598" w:type="pct"/>
            <w:tcBorders>
              <w:top w:val="single" w:sz="4" w:space="0" w:color="A6A6A6"/>
              <w:left w:val="single" w:sz="4" w:space="0" w:color="A6A6A6"/>
              <w:bottom w:val="single" w:sz="4" w:space="0" w:color="A6A6A6"/>
              <w:right w:val="single" w:sz="4" w:space="0" w:color="A6A6A6"/>
            </w:tcBorders>
            <w:vAlign w:val="center"/>
            <w:hideMark/>
          </w:tcPr>
          <w:p w14:paraId="72F0A2AB" w14:textId="77777777" w:rsidR="0046336D" w:rsidRPr="00C43D32" w:rsidRDefault="0046336D" w:rsidP="0046336D">
            <w:pPr>
              <w:spacing w:before="117" w:line="181" w:lineRule="exact"/>
              <w:jc w:val="right"/>
              <w:rPr>
                <w:rFonts w:ascii="Arial" w:eastAsia="Arial" w:hAnsi="Arial" w:cs="Arial"/>
                <w:color w:val="808080" w:themeColor="background1" w:themeShade="80"/>
                <w:sz w:val="14"/>
                <w:szCs w:val="16"/>
                <w:lang w:val="es-ES"/>
              </w:rPr>
            </w:pPr>
            <w:r>
              <w:rPr>
                <w:rFonts w:ascii="Arial" w:eastAsia="Arial" w:hAnsi="Arial" w:cs="Arial"/>
                <w:color w:val="808080" w:themeColor="background1" w:themeShade="80"/>
                <w:sz w:val="14"/>
                <w:szCs w:val="16"/>
                <w:lang w:val="es-ES"/>
              </w:rPr>
              <w:t>8.2</w:t>
            </w:r>
            <w:r w:rsidRPr="00C43D32">
              <w:rPr>
                <w:rFonts w:ascii="Arial" w:eastAsia="Arial" w:hAnsi="Arial" w:cs="Arial"/>
                <w:color w:val="808080" w:themeColor="background1" w:themeShade="80"/>
                <w:sz w:val="14"/>
                <w:szCs w:val="16"/>
                <w:lang w:val="es-ES"/>
              </w:rPr>
              <w:t>%</w:t>
            </w:r>
          </w:p>
        </w:tc>
      </w:tr>
      <w:tr w:rsidR="0046336D" w:rsidRPr="00E37D56" w14:paraId="62198FBE" w14:textId="77777777" w:rsidTr="0046336D">
        <w:trPr>
          <w:trHeight w:val="264"/>
          <w:jc w:val="center"/>
        </w:trPr>
        <w:tc>
          <w:tcPr>
            <w:tcW w:w="1267" w:type="pct"/>
            <w:tcBorders>
              <w:top w:val="single" w:sz="4" w:space="0" w:color="A6A6A6"/>
              <w:left w:val="single" w:sz="4" w:space="0" w:color="A6A6A6"/>
              <w:bottom w:val="single" w:sz="4" w:space="0" w:color="A6A6A6"/>
              <w:right w:val="single" w:sz="4" w:space="0" w:color="A6A6A6"/>
            </w:tcBorders>
            <w:vAlign w:val="center"/>
          </w:tcPr>
          <w:p w14:paraId="79398A96" w14:textId="77777777" w:rsidR="0046336D" w:rsidRPr="00E37D56" w:rsidRDefault="0046336D" w:rsidP="0046336D">
            <w:pPr>
              <w:spacing w:before="1" w:line="276" w:lineRule="auto"/>
              <w:rPr>
                <w:rFonts w:ascii="Arial" w:eastAsia="Arial" w:hAnsi="Arial" w:cs="Arial"/>
                <w:sz w:val="14"/>
                <w:szCs w:val="16"/>
                <w:lang w:val="es-ES"/>
              </w:rPr>
            </w:pPr>
            <w:r w:rsidRPr="00E37D56">
              <w:rPr>
                <w:rFonts w:ascii="Arial" w:eastAsia="Arial" w:hAnsi="Arial" w:cs="Arial"/>
                <w:sz w:val="14"/>
                <w:szCs w:val="16"/>
                <w:lang w:val="es-ES"/>
              </w:rPr>
              <w:t>Amortización de la Deuda Pública</w:t>
            </w:r>
          </w:p>
        </w:tc>
        <w:tc>
          <w:tcPr>
            <w:tcW w:w="659" w:type="pct"/>
            <w:tcBorders>
              <w:top w:val="single" w:sz="4" w:space="0" w:color="A6A6A6"/>
              <w:left w:val="single" w:sz="4" w:space="0" w:color="A6A6A6"/>
              <w:bottom w:val="single" w:sz="4" w:space="0" w:color="A6A6A6"/>
              <w:right w:val="single" w:sz="4" w:space="0" w:color="A6A6A6"/>
            </w:tcBorders>
            <w:vAlign w:val="center"/>
          </w:tcPr>
          <w:p w14:paraId="2F86870B" w14:textId="77777777" w:rsidR="0046336D" w:rsidRPr="00E37D56" w:rsidRDefault="0046336D" w:rsidP="0046336D">
            <w:pPr>
              <w:spacing w:before="11"/>
              <w:ind w:right="57"/>
              <w:jc w:val="right"/>
              <w:rPr>
                <w:rFonts w:ascii="Arial" w:eastAsia="Arial" w:hAnsi="Arial" w:cs="Arial"/>
                <w:sz w:val="14"/>
                <w:szCs w:val="16"/>
                <w:lang w:val="es-ES"/>
              </w:rPr>
            </w:pPr>
          </w:p>
          <w:p w14:paraId="56F76FDC" w14:textId="77777777" w:rsidR="0046336D" w:rsidRPr="00E37D56" w:rsidRDefault="0046336D" w:rsidP="0046336D">
            <w:pPr>
              <w:spacing w:before="11"/>
              <w:ind w:right="57"/>
              <w:jc w:val="right"/>
              <w:rPr>
                <w:rFonts w:ascii="Arial" w:eastAsia="Arial" w:hAnsi="Arial" w:cs="Arial"/>
                <w:sz w:val="14"/>
                <w:szCs w:val="16"/>
                <w:lang w:val="es-ES"/>
              </w:rPr>
            </w:pPr>
            <w:r w:rsidRPr="00E37D56">
              <w:rPr>
                <w:rFonts w:ascii="Arial" w:eastAsia="Arial" w:hAnsi="Arial" w:cs="Arial"/>
                <w:sz w:val="14"/>
                <w:szCs w:val="16"/>
                <w:lang w:val="es-ES"/>
              </w:rPr>
              <w:t>2,389,414</w:t>
            </w:r>
          </w:p>
        </w:tc>
        <w:tc>
          <w:tcPr>
            <w:tcW w:w="599" w:type="pct"/>
            <w:tcBorders>
              <w:top w:val="single" w:sz="4" w:space="0" w:color="A6A6A6"/>
              <w:left w:val="single" w:sz="4" w:space="0" w:color="A6A6A6"/>
              <w:bottom w:val="single" w:sz="4" w:space="0" w:color="A6A6A6"/>
              <w:right w:val="single" w:sz="4" w:space="0" w:color="A6A6A6"/>
            </w:tcBorders>
            <w:vAlign w:val="center"/>
          </w:tcPr>
          <w:p w14:paraId="6D8B33F8" w14:textId="77777777" w:rsidR="0046336D" w:rsidRPr="00E37D56" w:rsidRDefault="0046336D" w:rsidP="0046336D">
            <w:pPr>
              <w:spacing w:before="11"/>
              <w:ind w:right="57"/>
              <w:jc w:val="right"/>
              <w:rPr>
                <w:rFonts w:ascii="Arial" w:eastAsia="Arial" w:hAnsi="Arial" w:cs="Arial"/>
                <w:sz w:val="14"/>
                <w:szCs w:val="16"/>
                <w:lang w:val="es-ES"/>
              </w:rPr>
            </w:pPr>
            <w:r>
              <w:rPr>
                <w:rFonts w:ascii="Arial" w:eastAsia="Arial" w:hAnsi="Arial" w:cs="Arial"/>
                <w:sz w:val="14"/>
                <w:szCs w:val="16"/>
                <w:lang w:val="es-ES"/>
              </w:rPr>
              <w:t>574,639</w:t>
            </w:r>
          </w:p>
        </w:tc>
        <w:tc>
          <w:tcPr>
            <w:tcW w:w="673" w:type="pct"/>
            <w:tcBorders>
              <w:top w:val="single" w:sz="4" w:space="0" w:color="A6A6A6"/>
              <w:left w:val="single" w:sz="4" w:space="0" w:color="A6A6A6"/>
              <w:bottom w:val="single" w:sz="4" w:space="0" w:color="A6A6A6"/>
              <w:right w:val="single" w:sz="4" w:space="0" w:color="A6A6A6"/>
            </w:tcBorders>
            <w:vAlign w:val="center"/>
          </w:tcPr>
          <w:p w14:paraId="1055A443" w14:textId="77777777" w:rsidR="0046336D" w:rsidRPr="00E37D56" w:rsidRDefault="0046336D" w:rsidP="0046336D">
            <w:pPr>
              <w:spacing w:before="11"/>
              <w:ind w:right="57"/>
              <w:jc w:val="right"/>
              <w:rPr>
                <w:rFonts w:ascii="Arial" w:eastAsia="Arial" w:hAnsi="Arial" w:cs="Arial"/>
                <w:sz w:val="14"/>
                <w:szCs w:val="16"/>
                <w:lang w:val="es-ES"/>
              </w:rPr>
            </w:pPr>
            <w:r>
              <w:rPr>
                <w:rFonts w:ascii="Arial" w:eastAsia="Arial" w:hAnsi="Arial" w:cs="Arial"/>
                <w:sz w:val="14"/>
                <w:szCs w:val="16"/>
                <w:lang w:val="es-ES"/>
              </w:rPr>
              <w:t>2,174,298</w:t>
            </w:r>
          </w:p>
        </w:tc>
        <w:tc>
          <w:tcPr>
            <w:tcW w:w="599" w:type="pct"/>
            <w:tcBorders>
              <w:top w:val="single" w:sz="4" w:space="0" w:color="A6A6A6"/>
              <w:left w:val="single" w:sz="4" w:space="0" w:color="A6A6A6"/>
              <w:bottom w:val="single" w:sz="4" w:space="0" w:color="A6A6A6"/>
              <w:right w:val="single" w:sz="4" w:space="0" w:color="A6A6A6"/>
            </w:tcBorders>
            <w:vAlign w:val="center"/>
          </w:tcPr>
          <w:p w14:paraId="408B58DC" w14:textId="77777777" w:rsidR="0046336D" w:rsidRPr="00E37D56" w:rsidRDefault="0046336D" w:rsidP="0046336D">
            <w:pPr>
              <w:spacing w:before="11"/>
              <w:ind w:right="57"/>
              <w:jc w:val="right"/>
              <w:rPr>
                <w:rFonts w:ascii="Arial" w:eastAsia="Arial" w:hAnsi="Arial" w:cs="Arial"/>
                <w:sz w:val="14"/>
                <w:szCs w:val="16"/>
                <w:lang w:val="es-ES"/>
              </w:rPr>
            </w:pPr>
            <w:r>
              <w:rPr>
                <w:rFonts w:ascii="Arial" w:eastAsia="Arial" w:hAnsi="Arial" w:cs="Arial"/>
                <w:sz w:val="14"/>
                <w:szCs w:val="16"/>
                <w:lang w:val="es-ES"/>
              </w:rPr>
              <w:t>1,599,659</w:t>
            </w:r>
          </w:p>
        </w:tc>
        <w:tc>
          <w:tcPr>
            <w:tcW w:w="605" w:type="pct"/>
            <w:tcBorders>
              <w:top w:val="single" w:sz="4" w:space="0" w:color="A6A6A6"/>
              <w:left w:val="single" w:sz="4" w:space="0" w:color="A6A6A6"/>
              <w:bottom w:val="single" w:sz="4" w:space="0" w:color="A6A6A6"/>
              <w:right w:val="single" w:sz="4" w:space="0" w:color="A6A6A6"/>
            </w:tcBorders>
            <w:vAlign w:val="center"/>
          </w:tcPr>
          <w:p w14:paraId="3CDCC471" w14:textId="77777777" w:rsidR="0046336D" w:rsidRPr="00E37D56" w:rsidRDefault="0046336D" w:rsidP="0046336D">
            <w:pPr>
              <w:spacing w:before="11"/>
              <w:jc w:val="right"/>
              <w:rPr>
                <w:rFonts w:ascii="Arial" w:eastAsia="Arial" w:hAnsi="Arial" w:cs="Arial"/>
                <w:sz w:val="14"/>
                <w:szCs w:val="16"/>
                <w:lang w:val="es-ES"/>
              </w:rPr>
            </w:pPr>
            <w:r>
              <w:rPr>
                <w:rFonts w:ascii="Arial" w:eastAsia="Arial" w:hAnsi="Arial" w:cs="Arial"/>
                <w:sz w:val="14"/>
                <w:szCs w:val="16"/>
                <w:lang w:val="es-ES"/>
              </w:rPr>
              <w:t>278.4</w:t>
            </w:r>
            <w:r w:rsidRPr="00E37D56">
              <w:rPr>
                <w:rFonts w:ascii="Arial" w:eastAsia="Arial" w:hAnsi="Arial" w:cs="Arial"/>
                <w:sz w:val="14"/>
                <w:szCs w:val="16"/>
                <w:lang w:val="es-ES"/>
              </w:rPr>
              <w:t>%</w:t>
            </w:r>
          </w:p>
        </w:tc>
        <w:tc>
          <w:tcPr>
            <w:tcW w:w="598" w:type="pct"/>
            <w:tcBorders>
              <w:top w:val="single" w:sz="4" w:space="0" w:color="A6A6A6"/>
              <w:left w:val="single" w:sz="4" w:space="0" w:color="A6A6A6"/>
              <w:bottom w:val="single" w:sz="4" w:space="0" w:color="A6A6A6"/>
              <w:right w:val="single" w:sz="4" w:space="0" w:color="A6A6A6"/>
            </w:tcBorders>
            <w:vAlign w:val="center"/>
          </w:tcPr>
          <w:p w14:paraId="7C68F8B1" w14:textId="77777777" w:rsidR="0046336D" w:rsidRPr="00E37D56" w:rsidRDefault="0046336D" w:rsidP="0046336D">
            <w:pPr>
              <w:spacing w:before="11"/>
              <w:jc w:val="right"/>
              <w:rPr>
                <w:rFonts w:ascii="Arial" w:eastAsia="Arial" w:hAnsi="Arial" w:cs="Arial"/>
                <w:sz w:val="14"/>
                <w:szCs w:val="16"/>
                <w:lang w:val="es-ES"/>
              </w:rPr>
            </w:pPr>
            <w:r w:rsidRPr="002329F7">
              <w:rPr>
                <w:rFonts w:ascii="Arial" w:eastAsia="Arial" w:hAnsi="Arial" w:cs="Arial"/>
                <w:sz w:val="14"/>
                <w:szCs w:val="16"/>
                <w:lang w:val="es-ES"/>
              </w:rPr>
              <w:t>-15</w:t>
            </w:r>
            <w:r>
              <w:rPr>
                <w:rFonts w:ascii="Arial" w:eastAsia="Arial" w:hAnsi="Arial" w:cs="Arial"/>
                <w:sz w:val="14"/>
                <w:szCs w:val="16"/>
                <w:lang w:val="es-ES"/>
              </w:rPr>
              <w:t>.7</w:t>
            </w:r>
            <w:r w:rsidRPr="00E37D56">
              <w:rPr>
                <w:rFonts w:ascii="Arial" w:eastAsia="Arial" w:hAnsi="Arial" w:cs="Arial"/>
                <w:sz w:val="14"/>
                <w:szCs w:val="16"/>
                <w:lang w:val="es-ES"/>
              </w:rPr>
              <w:t>%</w:t>
            </w:r>
          </w:p>
        </w:tc>
      </w:tr>
      <w:tr w:rsidR="0046336D" w:rsidRPr="00E37D56" w14:paraId="4E5FCF3A" w14:textId="77777777" w:rsidTr="0046336D">
        <w:trPr>
          <w:trHeight w:val="264"/>
          <w:jc w:val="center"/>
        </w:trPr>
        <w:tc>
          <w:tcPr>
            <w:tcW w:w="1267" w:type="pct"/>
            <w:tcBorders>
              <w:top w:val="single" w:sz="4" w:space="0" w:color="A6A6A6"/>
              <w:left w:val="single" w:sz="4" w:space="0" w:color="A6A6A6"/>
              <w:bottom w:val="single" w:sz="4" w:space="0" w:color="A6A6A6"/>
              <w:right w:val="single" w:sz="4" w:space="0" w:color="A6A6A6"/>
            </w:tcBorders>
            <w:vAlign w:val="center"/>
          </w:tcPr>
          <w:p w14:paraId="09AC462A" w14:textId="77777777" w:rsidR="0046336D" w:rsidRPr="00E37D56" w:rsidRDefault="0046336D" w:rsidP="0046336D">
            <w:pPr>
              <w:spacing w:before="1" w:line="276" w:lineRule="auto"/>
              <w:rPr>
                <w:rFonts w:ascii="Arial" w:eastAsia="Arial" w:hAnsi="Arial" w:cs="Arial"/>
                <w:sz w:val="14"/>
                <w:szCs w:val="16"/>
                <w:lang w:val="es-ES"/>
              </w:rPr>
            </w:pPr>
            <w:r w:rsidRPr="00E37D56">
              <w:rPr>
                <w:rFonts w:ascii="Arial" w:eastAsia="Arial" w:hAnsi="Arial" w:cs="Arial"/>
                <w:sz w:val="14"/>
                <w:szCs w:val="16"/>
                <w:lang w:val="es-ES"/>
              </w:rPr>
              <w:t>ADEFAS</w:t>
            </w:r>
          </w:p>
        </w:tc>
        <w:tc>
          <w:tcPr>
            <w:tcW w:w="659" w:type="pct"/>
            <w:tcBorders>
              <w:top w:val="single" w:sz="4" w:space="0" w:color="A6A6A6"/>
              <w:left w:val="single" w:sz="4" w:space="0" w:color="A6A6A6"/>
              <w:bottom w:val="single" w:sz="4" w:space="0" w:color="A6A6A6"/>
              <w:right w:val="single" w:sz="4" w:space="0" w:color="A6A6A6"/>
            </w:tcBorders>
            <w:vAlign w:val="center"/>
            <w:hideMark/>
          </w:tcPr>
          <w:p w14:paraId="310C8071" w14:textId="77777777" w:rsidR="0046336D" w:rsidRPr="00E37D56" w:rsidRDefault="0046336D" w:rsidP="0046336D">
            <w:pPr>
              <w:spacing w:before="117" w:line="179" w:lineRule="exact"/>
              <w:ind w:right="57"/>
              <w:jc w:val="right"/>
              <w:rPr>
                <w:rFonts w:ascii="Arial" w:eastAsia="Arial" w:hAnsi="Arial" w:cs="Arial"/>
                <w:sz w:val="14"/>
                <w:szCs w:val="16"/>
                <w:lang w:val="es-ES"/>
              </w:rPr>
            </w:pPr>
            <w:r w:rsidRPr="00E37D56">
              <w:rPr>
                <w:rFonts w:ascii="Arial" w:eastAsia="Arial" w:hAnsi="Arial" w:cs="Arial"/>
                <w:sz w:val="14"/>
                <w:szCs w:val="16"/>
                <w:lang w:val="es-ES"/>
              </w:rPr>
              <w:t>647,691</w:t>
            </w:r>
          </w:p>
        </w:tc>
        <w:tc>
          <w:tcPr>
            <w:tcW w:w="599" w:type="pct"/>
            <w:tcBorders>
              <w:top w:val="single" w:sz="4" w:space="0" w:color="A6A6A6"/>
              <w:left w:val="single" w:sz="4" w:space="0" w:color="A6A6A6"/>
              <w:bottom w:val="single" w:sz="4" w:space="0" w:color="A6A6A6"/>
              <w:right w:val="single" w:sz="4" w:space="0" w:color="A6A6A6"/>
            </w:tcBorders>
            <w:vAlign w:val="center"/>
          </w:tcPr>
          <w:p w14:paraId="47A837F5" w14:textId="77777777" w:rsidR="0046336D" w:rsidRPr="00E37D56" w:rsidRDefault="0046336D" w:rsidP="0046336D">
            <w:pPr>
              <w:spacing w:before="117" w:line="179" w:lineRule="exact"/>
              <w:ind w:right="57"/>
              <w:jc w:val="right"/>
              <w:rPr>
                <w:rFonts w:ascii="Arial" w:eastAsia="Arial" w:hAnsi="Arial" w:cs="Arial"/>
                <w:sz w:val="14"/>
                <w:szCs w:val="16"/>
                <w:lang w:val="es-ES"/>
              </w:rPr>
            </w:pPr>
            <w:r>
              <w:rPr>
                <w:rFonts w:ascii="Arial" w:eastAsia="Arial" w:hAnsi="Arial" w:cs="Arial"/>
                <w:sz w:val="14"/>
                <w:szCs w:val="16"/>
                <w:lang w:val="es-ES"/>
              </w:rPr>
              <w:t>692,224</w:t>
            </w:r>
          </w:p>
        </w:tc>
        <w:tc>
          <w:tcPr>
            <w:tcW w:w="673" w:type="pct"/>
            <w:tcBorders>
              <w:top w:val="single" w:sz="4" w:space="0" w:color="A6A6A6"/>
              <w:left w:val="single" w:sz="4" w:space="0" w:color="A6A6A6"/>
              <w:bottom w:val="single" w:sz="4" w:space="0" w:color="A6A6A6"/>
              <w:right w:val="single" w:sz="4" w:space="0" w:color="A6A6A6"/>
            </w:tcBorders>
            <w:vAlign w:val="center"/>
          </w:tcPr>
          <w:p w14:paraId="1B7781BB" w14:textId="77777777" w:rsidR="0046336D" w:rsidRPr="00E37D56" w:rsidRDefault="0046336D" w:rsidP="0046336D">
            <w:pPr>
              <w:spacing w:before="117" w:line="179" w:lineRule="exact"/>
              <w:ind w:right="57"/>
              <w:jc w:val="right"/>
              <w:rPr>
                <w:rFonts w:ascii="Arial" w:eastAsia="Arial" w:hAnsi="Arial" w:cs="Arial"/>
                <w:sz w:val="14"/>
                <w:szCs w:val="16"/>
                <w:lang w:val="es-ES"/>
              </w:rPr>
            </w:pPr>
            <w:r>
              <w:rPr>
                <w:rFonts w:ascii="Arial" w:eastAsia="Arial" w:hAnsi="Arial" w:cs="Arial"/>
                <w:sz w:val="14"/>
                <w:szCs w:val="16"/>
                <w:lang w:val="es-ES"/>
              </w:rPr>
              <w:t>1,350,640</w:t>
            </w:r>
          </w:p>
        </w:tc>
        <w:tc>
          <w:tcPr>
            <w:tcW w:w="599" w:type="pct"/>
            <w:tcBorders>
              <w:top w:val="single" w:sz="4" w:space="0" w:color="A6A6A6"/>
              <w:left w:val="single" w:sz="4" w:space="0" w:color="A6A6A6"/>
              <w:bottom w:val="single" w:sz="4" w:space="0" w:color="A6A6A6"/>
              <w:right w:val="single" w:sz="4" w:space="0" w:color="A6A6A6"/>
            </w:tcBorders>
            <w:vAlign w:val="center"/>
          </w:tcPr>
          <w:p w14:paraId="52B8A099" w14:textId="77777777" w:rsidR="0046336D" w:rsidRPr="00E37D56" w:rsidRDefault="0046336D" w:rsidP="0046336D">
            <w:pPr>
              <w:spacing w:before="117" w:line="179" w:lineRule="exact"/>
              <w:ind w:right="57"/>
              <w:jc w:val="right"/>
              <w:rPr>
                <w:rFonts w:ascii="Arial" w:eastAsia="Arial" w:hAnsi="Arial" w:cs="Arial"/>
                <w:sz w:val="14"/>
                <w:szCs w:val="16"/>
                <w:lang w:val="es-ES"/>
              </w:rPr>
            </w:pPr>
            <w:r>
              <w:rPr>
                <w:rFonts w:ascii="Arial" w:eastAsia="Arial" w:hAnsi="Arial" w:cs="Arial"/>
                <w:sz w:val="14"/>
                <w:szCs w:val="16"/>
                <w:lang w:val="es-ES"/>
              </w:rPr>
              <w:t>658,416</w:t>
            </w:r>
          </w:p>
        </w:tc>
        <w:tc>
          <w:tcPr>
            <w:tcW w:w="605" w:type="pct"/>
            <w:tcBorders>
              <w:top w:val="single" w:sz="4" w:space="0" w:color="A6A6A6"/>
              <w:left w:val="single" w:sz="4" w:space="0" w:color="A6A6A6"/>
              <w:bottom w:val="single" w:sz="4" w:space="0" w:color="A6A6A6"/>
              <w:right w:val="single" w:sz="4" w:space="0" w:color="A6A6A6"/>
            </w:tcBorders>
            <w:vAlign w:val="center"/>
            <w:hideMark/>
          </w:tcPr>
          <w:p w14:paraId="0FF5FA3B" w14:textId="77777777" w:rsidR="0046336D" w:rsidRPr="00E37D56" w:rsidRDefault="0046336D" w:rsidP="0046336D">
            <w:pPr>
              <w:spacing w:before="117" w:line="179" w:lineRule="exact"/>
              <w:jc w:val="right"/>
              <w:rPr>
                <w:rFonts w:ascii="Arial" w:eastAsia="Arial" w:hAnsi="Arial" w:cs="Arial"/>
                <w:sz w:val="14"/>
                <w:szCs w:val="16"/>
                <w:lang w:val="es-ES"/>
              </w:rPr>
            </w:pPr>
            <w:r>
              <w:rPr>
                <w:rFonts w:ascii="Arial" w:eastAsia="Arial" w:hAnsi="Arial" w:cs="Arial"/>
                <w:sz w:val="14"/>
                <w:szCs w:val="16"/>
                <w:lang w:val="es-ES"/>
              </w:rPr>
              <w:t>95.1</w:t>
            </w:r>
            <w:r w:rsidRPr="00E37D56">
              <w:rPr>
                <w:rFonts w:ascii="Arial" w:eastAsia="Arial" w:hAnsi="Arial" w:cs="Arial"/>
                <w:sz w:val="14"/>
                <w:szCs w:val="16"/>
                <w:lang w:val="es-ES"/>
              </w:rPr>
              <w:t>%</w:t>
            </w:r>
          </w:p>
        </w:tc>
        <w:tc>
          <w:tcPr>
            <w:tcW w:w="598" w:type="pct"/>
            <w:tcBorders>
              <w:top w:val="single" w:sz="4" w:space="0" w:color="A6A6A6"/>
              <w:left w:val="single" w:sz="4" w:space="0" w:color="A6A6A6"/>
              <w:bottom w:val="single" w:sz="4" w:space="0" w:color="A6A6A6"/>
              <w:right w:val="single" w:sz="4" w:space="0" w:color="A6A6A6"/>
            </w:tcBorders>
            <w:vAlign w:val="center"/>
            <w:hideMark/>
          </w:tcPr>
          <w:p w14:paraId="6A8D6B71" w14:textId="77777777" w:rsidR="0046336D" w:rsidRPr="00E37D56" w:rsidRDefault="0046336D" w:rsidP="0046336D">
            <w:pPr>
              <w:spacing w:before="117" w:line="179" w:lineRule="exact"/>
              <w:jc w:val="right"/>
              <w:rPr>
                <w:rFonts w:ascii="Arial" w:eastAsia="Arial" w:hAnsi="Arial" w:cs="Arial"/>
                <w:sz w:val="14"/>
                <w:szCs w:val="16"/>
                <w:lang w:val="es-ES"/>
              </w:rPr>
            </w:pPr>
            <w:r>
              <w:rPr>
                <w:rFonts w:ascii="Arial" w:eastAsia="Arial" w:hAnsi="Arial" w:cs="Arial"/>
                <w:sz w:val="14"/>
                <w:szCs w:val="16"/>
                <w:lang w:val="es-ES"/>
              </w:rPr>
              <w:t>93.3</w:t>
            </w:r>
            <w:r w:rsidRPr="00E37D56">
              <w:rPr>
                <w:rFonts w:ascii="Arial" w:eastAsia="Arial" w:hAnsi="Arial" w:cs="Arial"/>
                <w:sz w:val="14"/>
                <w:szCs w:val="16"/>
                <w:lang w:val="es-ES"/>
              </w:rPr>
              <w:t>%</w:t>
            </w:r>
          </w:p>
        </w:tc>
      </w:tr>
      <w:tr w:rsidR="0046336D" w:rsidRPr="00E37D56" w14:paraId="4CE96891" w14:textId="77777777" w:rsidTr="0046336D">
        <w:trPr>
          <w:trHeight w:val="264"/>
          <w:jc w:val="center"/>
        </w:trPr>
        <w:tc>
          <w:tcPr>
            <w:tcW w:w="1267" w:type="pct"/>
            <w:tcBorders>
              <w:top w:val="single" w:sz="4" w:space="0" w:color="A6A6A6"/>
              <w:left w:val="single" w:sz="4" w:space="0" w:color="A6A6A6"/>
              <w:bottom w:val="single" w:sz="4" w:space="0" w:color="A6A6A6"/>
              <w:right w:val="single" w:sz="4" w:space="0" w:color="A6A6A6"/>
            </w:tcBorders>
            <w:vAlign w:val="center"/>
          </w:tcPr>
          <w:p w14:paraId="4C9DC39A" w14:textId="77777777" w:rsidR="0046336D" w:rsidRPr="00E37D56" w:rsidRDefault="0046336D" w:rsidP="0046336D">
            <w:pPr>
              <w:spacing w:before="9" w:line="181" w:lineRule="exact"/>
              <w:rPr>
                <w:rFonts w:ascii="Arial" w:eastAsia="Arial" w:hAnsi="Arial" w:cs="Arial"/>
                <w:sz w:val="14"/>
                <w:szCs w:val="16"/>
                <w:lang w:val="es-ES"/>
              </w:rPr>
            </w:pPr>
            <w:r w:rsidRPr="00E37D56">
              <w:rPr>
                <w:rFonts w:ascii="Arial" w:eastAsia="Arial" w:hAnsi="Arial" w:cs="Arial"/>
                <w:sz w:val="14"/>
                <w:szCs w:val="16"/>
                <w:lang w:val="es-ES"/>
              </w:rPr>
              <w:t>Costo Financiero de la Deuda</w:t>
            </w:r>
          </w:p>
        </w:tc>
        <w:tc>
          <w:tcPr>
            <w:tcW w:w="659" w:type="pct"/>
            <w:tcBorders>
              <w:top w:val="single" w:sz="4" w:space="0" w:color="A6A6A6"/>
              <w:left w:val="single" w:sz="4" w:space="0" w:color="A6A6A6"/>
              <w:bottom w:val="single" w:sz="4" w:space="0" w:color="A6A6A6"/>
              <w:right w:val="single" w:sz="4" w:space="0" w:color="A6A6A6"/>
            </w:tcBorders>
            <w:vAlign w:val="center"/>
            <w:hideMark/>
          </w:tcPr>
          <w:p w14:paraId="5B65DB7C" w14:textId="77777777" w:rsidR="0046336D" w:rsidRPr="00E37D56" w:rsidRDefault="0046336D" w:rsidP="0046336D">
            <w:pPr>
              <w:spacing w:before="9" w:line="181" w:lineRule="exact"/>
              <w:ind w:right="57"/>
              <w:jc w:val="right"/>
              <w:rPr>
                <w:rFonts w:ascii="Arial" w:eastAsia="Arial" w:hAnsi="Arial" w:cs="Arial"/>
                <w:sz w:val="14"/>
                <w:szCs w:val="16"/>
                <w:lang w:val="es-ES"/>
              </w:rPr>
            </w:pPr>
            <w:r w:rsidRPr="00E37D56">
              <w:rPr>
                <w:rFonts w:ascii="Arial" w:eastAsia="Arial" w:hAnsi="Arial" w:cs="Arial"/>
                <w:sz w:val="14"/>
                <w:szCs w:val="16"/>
                <w:lang w:val="es-ES"/>
              </w:rPr>
              <w:t>1,254,245</w:t>
            </w:r>
          </w:p>
        </w:tc>
        <w:tc>
          <w:tcPr>
            <w:tcW w:w="599" w:type="pct"/>
            <w:tcBorders>
              <w:top w:val="single" w:sz="4" w:space="0" w:color="A6A6A6"/>
              <w:left w:val="single" w:sz="4" w:space="0" w:color="A6A6A6"/>
              <w:bottom w:val="single" w:sz="4" w:space="0" w:color="A6A6A6"/>
              <w:right w:val="single" w:sz="4" w:space="0" w:color="A6A6A6"/>
            </w:tcBorders>
            <w:vAlign w:val="center"/>
          </w:tcPr>
          <w:p w14:paraId="6DA21D81" w14:textId="77777777" w:rsidR="0046336D" w:rsidRPr="00E37D56" w:rsidRDefault="0046336D" w:rsidP="0046336D">
            <w:pPr>
              <w:spacing w:before="9" w:line="181" w:lineRule="exact"/>
              <w:ind w:right="57"/>
              <w:jc w:val="right"/>
              <w:rPr>
                <w:rFonts w:ascii="Arial" w:eastAsia="Arial" w:hAnsi="Arial" w:cs="Arial"/>
                <w:sz w:val="14"/>
                <w:szCs w:val="16"/>
                <w:lang w:val="es-ES"/>
              </w:rPr>
            </w:pPr>
            <w:r>
              <w:rPr>
                <w:rFonts w:ascii="Arial" w:eastAsia="Arial" w:hAnsi="Arial" w:cs="Arial"/>
                <w:sz w:val="14"/>
                <w:szCs w:val="16"/>
                <w:lang w:val="es-ES"/>
              </w:rPr>
              <w:t>1,374,301</w:t>
            </w:r>
          </w:p>
        </w:tc>
        <w:tc>
          <w:tcPr>
            <w:tcW w:w="673" w:type="pct"/>
            <w:tcBorders>
              <w:top w:val="single" w:sz="4" w:space="0" w:color="A6A6A6"/>
              <w:left w:val="single" w:sz="4" w:space="0" w:color="A6A6A6"/>
              <w:bottom w:val="single" w:sz="4" w:space="0" w:color="A6A6A6"/>
              <w:right w:val="single" w:sz="4" w:space="0" w:color="A6A6A6"/>
            </w:tcBorders>
            <w:vAlign w:val="center"/>
          </w:tcPr>
          <w:p w14:paraId="7F52C88F" w14:textId="77777777" w:rsidR="0046336D" w:rsidRPr="00E37D56" w:rsidRDefault="0046336D" w:rsidP="0046336D">
            <w:pPr>
              <w:spacing w:before="9" w:line="181" w:lineRule="exact"/>
              <w:ind w:right="57"/>
              <w:jc w:val="right"/>
              <w:rPr>
                <w:rFonts w:ascii="Arial" w:eastAsia="Arial" w:hAnsi="Arial" w:cs="Arial"/>
                <w:sz w:val="14"/>
                <w:szCs w:val="16"/>
                <w:lang w:val="es-ES"/>
              </w:rPr>
            </w:pPr>
            <w:r>
              <w:rPr>
                <w:rFonts w:ascii="Arial" w:eastAsia="Arial" w:hAnsi="Arial" w:cs="Arial"/>
                <w:sz w:val="14"/>
                <w:szCs w:val="16"/>
                <w:lang w:val="es-ES"/>
              </w:rPr>
              <w:t>1,750,518</w:t>
            </w:r>
          </w:p>
        </w:tc>
        <w:tc>
          <w:tcPr>
            <w:tcW w:w="599" w:type="pct"/>
            <w:tcBorders>
              <w:top w:val="single" w:sz="4" w:space="0" w:color="A6A6A6"/>
              <w:left w:val="single" w:sz="4" w:space="0" w:color="A6A6A6"/>
              <w:bottom w:val="single" w:sz="4" w:space="0" w:color="A6A6A6"/>
              <w:right w:val="single" w:sz="4" w:space="0" w:color="A6A6A6"/>
            </w:tcBorders>
            <w:vAlign w:val="center"/>
          </w:tcPr>
          <w:p w14:paraId="25E508F7" w14:textId="77777777" w:rsidR="0046336D" w:rsidRPr="00E37D56" w:rsidRDefault="0046336D" w:rsidP="0046336D">
            <w:pPr>
              <w:spacing w:before="9" w:line="181" w:lineRule="exact"/>
              <w:ind w:right="57"/>
              <w:jc w:val="right"/>
              <w:rPr>
                <w:rFonts w:ascii="Arial" w:eastAsia="Arial" w:hAnsi="Arial" w:cs="Arial"/>
                <w:sz w:val="14"/>
                <w:szCs w:val="16"/>
                <w:lang w:val="es-ES"/>
              </w:rPr>
            </w:pPr>
            <w:r>
              <w:rPr>
                <w:rFonts w:ascii="Arial" w:eastAsia="Arial" w:hAnsi="Arial" w:cs="Arial"/>
                <w:sz w:val="14"/>
                <w:szCs w:val="16"/>
                <w:lang w:val="es-ES"/>
              </w:rPr>
              <w:t>376,217</w:t>
            </w:r>
          </w:p>
        </w:tc>
        <w:tc>
          <w:tcPr>
            <w:tcW w:w="605" w:type="pct"/>
            <w:tcBorders>
              <w:top w:val="single" w:sz="4" w:space="0" w:color="A6A6A6"/>
              <w:left w:val="single" w:sz="4" w:space="0" w:color="A6A6A6"/>
              <w:bottom w:val="single" w:sz="4" w:space="0" w:color="A6A6A6"/>
              <w:right w:val="single" w:sz="4" w:space="0" w:color="A6A6A6"/>
            </w:tcBorders>
            <w:vAlign w:val="center"/>
            <w:hideMark/>
          </w:tcPr>
          <w:p w14:paraId="5E95BEAD" w14:textId="77777777" w:rsidR="0046336D" w:rsidRPr="00E37D56" w:rsidRDefault="0046336D" w:rsidP="0046336D">
            <w:pPr>
              <w:spacing w:before="9" w:line="181" w:lineRule="exact"/>
              <w:jc w:val="right"/>
              <w:rPr>
                <w:rFonts w:ascii="Arial" w:eastAsia="Arial" w:hAnsi="Arial" w:cs="Arial"/>
                <w:sz w:val="14"/>
                <w:szCs w:val="16"/>
                <w:lang w:val="es-ES"/>
              </w:rPr>
            </w:pPr>
            <w:r>
              <w:rPr>
                <w:rFonts w:ascii="Arial" w:eastAsia="Arial" w:hAnsi="Arial" w:cs="Arial"/>
                <w:sz w:val="14"/>
                <w:szCs w:val="16"/>
                <w:lang w:val="es-ES"/>
              </w:rPr>
              <w:t>27.4</w:t>
            </w:r>
            <w:r w:rsidRPr="00E37D56">
              <w:rPr>
                <w:rFonts w:ascii="Arial" w:eastAsia="Arial" w:hAnsi="Arial" w:cs="Arial"/>
                <w:sz w:val="14"/>
                <w:szCs w:val="16"/>
                <w:lang w:val="es-ES"/>
              </w:rPr>
              <w:t>%</w:t>
            </w:r>
          </w:p>
        </w:tc>
        <w:tc>
          <w:tcPr>
            <w:tcW w:w="598" w:type="pct"/>
            <w:tcBorders>
              <w:top w:val="single" w:sz="4" w:space="0" w:color="A6A6A6"/>
              <w:left w:val="single" w:sz="4" w:space="0" w:color="A6A6A6"/>
              <w:bottom w:val="single" w:sz="4" w:space="0" w:color="A6A6A6"/>
              <w:right w:val="single" w:sz="4" w:space="0" w:color="A6A6A6"/>
            </w:tcBorders>
            <w:vAlign w:val="center"/>
            <w:hideMark/>
          </w:tcPr>
          <w:p w14:paraId="31C0CF9C" w14:textId="77777777" w:rsidR="0046336D" w:rsidRPr="00E37D56" w:rsidRDefault="0046336D" w:rsidP="0046336D">
            <w:pPr>
              <w:spacing w:before="9" w:line="181" w:lineRule="exact"/>
              <w:jc w:val="right"/>
              <w:rPr>
                <w:rFonts w:ascii="Arial" w:eastAsia="Arial" w:hAnsi="Arial" w:cs="Arial"/>
                <w:sz w:val="14"/>
                <w:szCs w:val="16"/>
                <w:lang w:val="es-ES"/>
              </w:rPr>
            </w:pPr>
            <w:r>
              <w:rPr>
                <w:rFonts w:ascii="Arial" w:eastAsia="Arial" w:hAnsi="Arial" w:cs="Arial"/>
                <w:sz w:val="14"/>
                <w:szCs w:val="16"/>
                <w:lang w:val="es-ES"/>
              </w:rPr>
              <w:t>29.3</w:t>
            </w:r>
            <w:r w:rsidRPr="00E37D56">
              <w:rPr>
                <w:rFonts w:ascii="Arial" w:eastAsia="Arial" w:hAnsi="Arial" w:cs="Arial"/>
                <w:sz w:val="14"/>
                <w:szCs w:val="16"/>
                <w:lang w:val="es-ES"/>
              </w:rPr>
              <w:t>%</w:t>
            </w:r>
          </w:p>
        </w:tc>
      </w:tr>
      <w:tr w:rsidR="0046336D" w:rsidRPr="00E9545C" w14:paraId="1457013B" w14:textId="77777777" w:rsidTr="0046336D">
        <w:trPr>
          <w:trHeight w:val="196"/>
          <w:jc w:val="center"/>
        </w:trPr>
        <w:tc>
          <w:tcPr>
            <w:tcW w:w="5000" w:type="pct"/>
            <w:gridSpan w:val="7"/>
            <w:tcBorders>
              <w:top w:val="single" w:sz="4" w:space="0" w:color="A6A6A6"/>
              <w:left w:val="nil"/>
              <w:bottom w:val="nil"/>
              <w:right w:val="nil"/>
            </w:tcBorders>
          </w:tcPr>
          <w:p w14:paraId="315D54CC" w14:textId="77777777" w:rsidR="0046336D" w:rsidRPr="003310EE" w:rsidRDefault="0046336D" w:rsidP="0046336D">
            <w:pPr>
              <w:spacing w:before="180"/>
              <w:jc w:val="both"/>
              <w:rPr>
                <w:rFonts w:ascii="Arial" w:eastAsia="Trebuchet MS" w:hAnsi="Arial" w:cs="Arial"/>
                <w:color w:val="262626" w:themeColor="text1" w:themeTint="D9"/>
                <w:sz w:val="14"/>
                <w:szCs w:val="14"/>
                <w:lang w:val="es-MX"/>
              </w:rPr>
            </w:pPr>
            <w:r w:rsidRPr="003310EE">
              <w:rPr>
                <w:rFonts w:ascii="Arial" w:eastAsia="Trebuchet MS" w:hAnsi="Arial" w:cs="Arial"/>
                <w:color w:val="262626" w:themeColor="text1" w:themeTint="D9"/>
                <w:sz w:val="14"/>
                <w:szCs w:val="14"/>
                <w:lang w:val="es-MX"/>
              </w:rPr>
              <w:t>*Factor de deflactación</w:t>
            </w:r>
            <w:r w:rsidRPr="003310EE">
              <w:rPr>
                <w:rFonts w:ascii="Arial" w:eastAsia="Trebuchet MS" w:hAnsi="Arial" w:cs="Arial"/>
                <w:color w:val="262626" w:themeColor="text1" w:themeTint="D9"/>
                <w:spacing w:val="-5"/>
                <w:sz w:val="14"/>
                <w:szCs w:val="14"/>
                <w:lang w:val="es-MX"/>
              </w:rPr>
              <w:t xml:space="preserve"> </w:t>
            </w:r>
            <w:r w:rsidRPr="003310EE">
              <w:rPr>
                <w:rFonts w:ascii="Arial" w:eastAsia="Trebuchet MS" w:hAnsi="Arial" w:cs="Arial"/>
                <w:color w:val="262626" w:themeColor="text1" w:themeTint="D9"/>
                <w:sz w:val="14"/>
                <w:szCs w:val="14"/>
                <w:lang w:val="es-MX"/>
              </w:rPr>
              <w:t xml:space="preserve">1.079 (Deflactado con el Índice Nacional de Precios Promedio del Consumidor). </w:t>
            </w:r>
          </w:p>
          <w:p w14:paraId="648AF2F2" w14:textId="77777777" w:rsidR="0046336D" w:rsidRPr="003310EE" w:rsidRDefault="0046336D" w:rsidP="0046336D">
            <w:pPr>
              <w:spacing w:before="27" w:line="276" w:lineRule="auto"/>
              <w:jc w:val="both"/>
              <w:rPr>
                <w:rFonts w:ascii="Arial" w:eastAsia="Trebuchet MS" w:hAnsi="Arial" w:cs="Arial"/>
                <w:color w:val="262626" w:themeColor="text1" w:themeTint="D9"/>
                <w:sz w:val="14"/>
                <w:szCs w:val="14"/>
                <w:lang w:val="es-MX"/>
              </w:rPr>
            </w:pPr>
            <w:r w:rsidRPr="003310EE">
              <w:rPr>
                <w:rFonts w:ascii="Arial" w:eastAsia="Trebuchet MS" w:hAnsi="Arial" w:cs="Arial"/>
                <w:color w:val="262626" w:themeColor="text1" w:themeTint="D9"/>
                <w:sz w:val="14"/>
                <w:szCs w:val="14"/>
                <w:vertAlign w:val="superscript"/>
                <w:lang w:val="es-MX"/>
              </w:rPr>
              <w:t>1/</w:t>
            </w:r>
            <w:r w:rsidRPr="003310EE">
              <w:rPr>
                <w:rFonts w:ascii="Arial" w:eastAsia="Trebuchet MS" w:hAnsi="Arial" w:cs="Arial"/>
                <w:color w:val="262626" w:themeColor="text1" w:themeTint="D9"/>
                <w:sz w:val="14"/>
                <w:szCs w:val="14"/>
                <w:lang w:val="es-MX"/>
              </w:rPr>
              <w:t xml:space="preserve"> Gasto Total menos Participaciones y Aportaciones a Municipios y Deuda Pública.</w:t>
            </w:r>
          </w:p>
          <w:p w14:paraId="419709C7" w14:textId="77777777" w:rsidR="0046336D" w:rsidRPr="003310EE" w:rsidRDefault="0046336D" w:rsidP="0046336D">
            <w:pPr>
              <w:spacing w:before="27" w:line="276" w:lineRule="auto"/>
              <w:jc w:val="both"/>
              <w:rPr>
                <w:rFonts w:ascii="Arial" w:eastAsia="Trebuchet MS" w:hAnsi="Arial" w:cs="Arial"/>
                <w:color w:val="262626" w:themeColor="text1" w:themeTint="D9"/>
                <w:sz w:val="14"/>
                <w:szCs w:val="14"/>
                <w:lang w:val="es-MX"/>
              </w:rPr>
            </w:pPr>
            <w:r w:rsidRPr="003310EE">
              <w:rPr>
                <w:rFonts w:ascii="Arial" w:eastAsia="Trebuchet MS" w:hAnsi="Arial" w:cs="Arial"/>
                <w:color w:val="262626" w:themeColor="text1" w:themeTint="D9"/>
                <w:sz w:val="14"/>
                <w:szCs w:val="14"/>
                <w:lang w:val="es-MX"/>
              </w:rPr>
              <w:t>El Gasto Programable incluye las transferencias presupuestarias relativas al capítulo 9000, correspondiente a la Administración Paraestatal.</w:t>
            </w:r>
          </w:p>
          <w:p w14:paraId="5A5EE54B" w14:textId="77777777" w:rsidR="0046336D" w:rsidRPr="003310EE" w:rsidRDefault="0046336D" w:rsidP="0046336D">
            <w:pPr>
              <w:spacing w:before="27" w:line="276" w:lineRule="auto"/>
              <w:jc w:val="both"/>
              <w:rPr>
                <w:rFonts w:ascii="Arial" w:eastAsia="Trebuchet MS" w:hAnsi="Arial" w:cs="Arial"/>
                <w:color w:val="262626" w:themeColor="text1" w:themeTint="D9"/>
                <w:sz w:val="14"/>
                <w:szCs w:val="14"/>
                <w:lang w:val="es-MX"/>
              </w:rPr>
            </w:pPr>
            <w:r w:rsidRPr="003310EE">
              <w:rPr>
                <w:rFonts w:ascii="Arial" w:eastAsia="Trebuchet MS" w:hAnsi="Arial" w:cs="Arial"/>
                <w:color w:val="262626" w:themeColor="text1" w:themeTint="D9"/>
                <w:sz w:val="14"/>
                <w:szCs w:val="14"/>
                <w:lang w:val="es-MX"/>
              </w:rPr>
              <w:t>Las cifras pueden presentar diferencias por redondeos.</w:t>
            </w:r>
          </w:p>
          <w:p w14:paraId="058F4B76" w14:textId="77777777" w:rsidR="0046336D" w:rsidRPr="003310EE" w:rsidRDefault="0046336D" w:rsidP="0046336D">
            <w:pPr>
              <w:jc w:val="both"/>
              <w:rPr>
                <w:rFonts w:ascii="Arial" w:eastAsia="Trebuchet MS" w:hAnsi="Arial" w:cs="Arial"/>
                <w:color w:val="262626" w:themeColor="text1" w:themeTint="D9"/>
                <w:sz w:val="14"/>
                <w:szCs w:val="14"/>
                <w:lang w:val="es-MX"/>
              </w:rPr>
            </w:pPr>
            <w:r w:rsidRPr="003310EE">
              <w:rPr>
                <w:rFonts w:ascii="Arial" w:eastAsia="Trebuchet MS" w:hAnsi="Arial" w:cs="Arial"/>
                <w:b/>
                <w:color w:val="262626" w:themeColor="text1" w:themeTint="D9"/>
                <w:sz w:val="14"/>
                <w:szCs w:val="14"/>
                <w:lang w:val="es-MX"/>
              </w:rPr>
              <w:t>Fuente:</w:t>
            </w:r>
            <w:r w:rsidRPr="003310EE">
              <w:rPr>
                <w:rFonts w:ascii="Arial" w:eastAsia="Trebuchet MS" w:hAnsi="Arial" w:cs="Arial"/>
                <w:color w:val="262626" w:themeColor="text1" w:themeTint="D9"/>
                <w:sz w:val="14"/>
                <w:szCs w:val="14"/>
                <w:lang w:val="es-MX"/>
              </w:rPr>
              <w:t xml:space="preserve"> Secretaría de Finanzas y Planeación del Estado, cuenta pública Tomo I ejercicio 2022. </w:t>
            </w:r>
          </w:p>
          <w:p w14:paraId="654E9FD8" w14:textId="77777777" w:rsidR="0046336D" w:rsidRPr="00E9545C" w:rsidRDefault="0046336D" w:rsidP="0046336D">
            <w:pPr>
              <w:rPr>
                <w:rFonts w:ascii="Arial" w:eastAsia="Trebuchet MS" w:hAnsi="Arial" w:cs="Arial"/>
                <w:color w:val="262626" w:themeColor="text1" w:themeTint="D9"/>
                <w:sz w:val="14"/>
                <w:szCs w:val="16"/>
              </w:rPr>
            </w:pPr>
            <w:r w:rsidRPr="003310EE">
              <w:rPr>
                <w:rFonts w:ascii="Arial" w:eastAsia="Trebuchet MS" w:hAnsi="Arial" w:cs="Arial"/>
                <w:color w:val="262626" w:themeColor="text1" w:themeTint="D9"/>
                <w:sz w:val="14"/>
                <w:szCs w:val="16"/>
                <w:lang w:val="es-MX"/>
              </w:rPr>
              <w:t xml:space="preserve">Página 102 </w:t>
            </w:r>
            <w:r w:rsidRPr="003310EE">
              <w:rPr>
                <w:rFonts w:ascii="Arial" w:eastAsia="Trebuchet MS" w:hAnsi="Arial" w:cs="Arial"/>
                <w:color w:val="0D0D0D" w:themeColor="text1" w:themeTint="F2"/>
                <w:sz w:val="14"/>
                <w:szCs w:val="14"/>
                <w:lang w:val="es-MX"/>
              </w:rPr>
              <w:t>http://www.sefiplan.qroo.gob.mx/sistemas/Cpublica/archivos/TomoI-ResultadosGenerales2022.pdf</w:t>
            </w:r>
            <w:r w:rsidRPr="00E9545C">
              <w:rPr>
                <w:rFonts w:ascii="Arial" w:eastAsia="Trebuchet MS" w:hAnsi="Arial" w:cs="Arial"/>
                <w:color w:val="262626" w:themeColor="text1" w:themeTint="D9"/>
                <w:sz w:val="14"/>
                <w:szCs w:val="16"/>
              </w:rPr>
              <w:t xml:space="preserve"> </w:t>
            </w:r>
          </w:p>
        </w:tc>
      </w:tr>
    </w:tbl>
    <w:p w14:paraId="68D6ED27" w14:textId="77777777" w:rsidR="0046336D" w:rsidRDefault="0046336D" w:rsidP="0046336D">
      <w:pPr>
        <w:widowControl w:val="0"/>
        <w:autoSpaceDE w:val="0"/>
        <w:autoSpaceDN w:val="0"/>
        <w:spacing w:before="93" w:after="0" w:line="276" w:lineRule="auto"/>
        <w:ind w:left="360"/>
        <w:jc w:val="both"/>
        <w:rPr>
          <w:rFonts w:ascii="Arial" w:eastAsia="Arial" w:hAnsi="Arial" w:cs="Arial"/>
          <w:sz w:val="24"/>
          <w:szCs w:val="24"/>
          <w:lang w:val="es-ES"/>
        </w:rPr>
      </w:pPr>
    </w:p>
    <w:p w14:paraId="1854DE44" w14:textId="77777777" w:rsidR="0046336D" w:rsidRPr="00E37D56" w:rsidRDefault="0046336D" w:rsidP="00C520AA">
      <w:pPr>
        <w:widowControl w:val="0"/>
        <w:autoSpaceDE w:val="0"/>
        <w:autoSpaceDN w:val="0"/>
        <w:spacing w:before="93" w:after="0" w:line="276" w:lineRule="auto"/>
        <w:jc w:val="both"/>
        <w:rPr>
          <w:rFonts w:ascii="Arial" w:eastAsia="Arial" w:hAnsi="Arial" w:cs="Arial"/>
          <w:sz w:val="24"/>
          <w:szCs w:val="24"/>
          <w:lang w:val="es-ES"/>
        </w:rPr>
      </w:pPr>
      <w:r w:rsidRPr="00E37D56">
        <w:rPr>
          <w:rFonts w:ascii="Arial" w:eastAsia="Arial" w:hAnsi="Arial" w:cs="Arial"/>
          <w:sz w:val="24"/>
          <w:szCs w:val="24"/>
          <w:lang w:val="es-ES"/>
        </w:rPr>
        <w:t xml:space="preserve">Como se puede apreciar en el cuadro anterior el Gasto Programable superó la previsión original en términos del gasto devengado en </w:t>
      </w:r>
      <w:r>
        <w:rPr>
          <w:rFonts w:ascii="Arial" w:eastAsia="Arial" w:hAnsi="Arial" w:cs="Arial"/>
          <w:sz w:val="24"/>
          <w:szCs w:val="24"/>
          <w:lang w:val="es-ES"/>
        </w:rPr>
        <w:t>18.0</w:t>
      </w:r>
      <w:r w:rsidRPr="00E37D56">
        <w:rPr>
          <w:rFonts w:ascii="Arial" w:eastAsia="Arial" w:hAnsi="Arial" w:cs="Arial"/>
          <w:sz w:val="24"/>
          <w:szCs w:val="24"/>
          <w:lang w:val="es-ES"/>
        </w:rPr>
        <w:t xml:space="preserve"> por ciento, con un monto equivalente a </w:t>
      </w:r>
      <w:r>
        <w:rPr>
          <w:rFonts w:ascii="Arial" w:eastAsia="Arial" w:hAnsi="Arial" w:cs="Arial"/>
          <w:sz w:val="24"/>
          <w:szCs w:val="24"/>
          <w:lang w:val="es-ES"/>
        </w:rPr>
        <w:t>4,700.6</w:t>
      </w:r>
      <w:r w:rsidRPr="00E37D56">
        <w:rPr>
          <w:rFonts w:ascii="Arial" w:eastAsia="Arial" w:hAnsi="Arial" w:cs="Arial"/>
          <w:sz w:val="24"/>
          <w:szCs w:val="24"/>
          <w:lang w:val="es-ES"/>
        </w:rPr>
        <w:t xml:space="preserve"> millones de pesos y un </w:t>
      </w:r>
      <w:r>
        <w:rPr>
          <w:rFonts w:ascii="Arial" w:eastAsia="Arial" w:hAnsi="Arial" w:cs="Arial"/>
          <w:sz w:val="24"/>
          <w:szCs w:val="24"/>
          <w:lang w:val="es-ES"/>
        </w:rPr>
        <w:t xml:space="preserve">aumento </w:t>
      </w:r>
      <w:r w:rsidRPr="00E37D56">
        <w:rPr>
          <w:rFonts w:ascii="Arial" w:eastAsia="Arial" w:hAnsi="Arial" w:cs="Arial"/>
          <w:sz w:val="24"/>
          <w:szCs w:val="24"/>
          <w:lang w:val="es-ES"/>
        </w:rPr>
        <w:t xml:space="preserve">del </w:t>
      </w:r>
      <w:r>
        <w:rPr>
          <w:rFonts w:ascii="Arial" w:eastAsia="Arial" w:hAnsi="Arial" w:cs="Arial"/>
          <w:sz w:val="24"/>
          <w:szCs w:val="24"/>
          <w:lang w:val="es-ES"/>
        </w:rPr>
        <w:t>10.3</w:t>
      </w:r>
      <w:r w:rsidRPr="00E37D56">
        <w:rPr>
          <w:rFonts w:ascii="Arial" w:eastAsia="Arial" w:hAnsi="Arial" w:cs="Arial"/>
          <w:sz w:val="24"/>
          <w:szCs w:val="24"/>
          <w:lang w:val="es-ES"/>
        </w:rPr>
        <w:t xml:space="preserve"> por ciento en base al flujo de efectivo; generándose un </w:t>
      </w:r>
      <w:r>
        <w:rPr>
          <w:rFonts w:ascii="Arial" w:eastAsia="Arial" w:hAnsi="Arial" w:cs="Arial"/>
          <w:sz w:val="24"/>
          <w:szCs w:val="24"/>
          <w:lang w:val="es-ES"/>
        </w:rPr>
        <w:t>aumento</w:t>
      </w:r>
      <w:r w:rsidRPr="00E37D56">
        <w:rPr>
          <w:rFonts w:ascii="Arial" w:eastAsia="Arial" w:hAnsi="Arial" w:cs="Arial"/>
          <w:sz w:val="24"/>
          <w:szCs w:val="24"/>
          <w:lang w:val="es-ES"/>
        </w:rPr>
        <w:t xml:space="preserve"> real de dicha categoría de destino de gasto en los órdenes de </w:t>
      </w:r>
      <w:r>
        <w:rPr>
          <w:rFonts w:ascii="Arial" w:eastAsia="Arial" w:hAnsi="Arial" w:cs="Arial"/>
          <w:sz w:val="24"/>
          <w:szCs w:val="24"/>
          <w:lang w:val="es-ES"/>
        </w:rPr>
        <w:t>4.0</w:t>
      </w:r>
      <w:r w:rsidRPr="00E37D56">
        <w:rPr>
          <w:rFonts w:ascii="Arial" w:eastAsia="Arial" w:hAnsi="Arial" w:cs="Arial"/>
          <w:sz w:val="24"/>
          <w:szCs w:val="24"/>
          <w:lang w:val="es-ES"/>
        </w:rPr>
        <w:t xml:space="preserve"> por ciento en el gasto devengado y </w:t>
      </w:r>
      <w:r>
        <w:rPr>
          <w:rFonts w:ascii="Arial" w:eastAsia="Arial" w:hAnsi="Arial" w:cs="Arial"/>
          <w:sz w:val="24"/>
          <w:szCs w:val="24"/>
          <w:lang w:val="es-ES"/>
        </w:rPr>
        <w:t>11.3</w:t>
      </w:r>
      <w:r w:rsidRPr="00E37D56">
        <w:rPr>
          <w:rFonts w:ascii="Arial" w:eastAsia="Arial" w:hAnsi="Arial" w:cs="Arial"/>
          <w:sz w:val="24"/>
          <w:szCs w:val="24"/>
          <w:lang w:val="es-ES"/>
        </w:rPr>
        <w:t xml:space="preserve"> por ciento, en flujo de efectivo.</w:t>
      </w:r>
    </w:p>
    <w:p w14:paraId="0ADF9C2A" w14:textId="77777777" w:rsidR="0046336D" w:rsidRPr="00E9545C" w:rsidRDefault="0046336D" w:rsidP="00C520AA">
      <w:pPr>
        <w:widowControl w:val="0"/>
        <w:autoSpaceDE w:val="0"/>
        <w:autoSpaceDN w:val="0"/>
        <w:spacing w:before="93" w:after="0" w:line="276" w:lineRule="auto"/>
        <w:jc w:val="both"/>
        <w:rPr>
          <w:rFonts w:ascii="Arial" w:eastAsia="Arial" w:hAnsi="Arial" w:cs="Arial"/>
          <w:sz w:val="12"/>
          <w:szCs w:val="24"/>
          <w:lang w:val="es-ES"/>
        </w:rPr>
      </w:pPr>
    </w:p>
    <w:p w14:paraId="3F76B958" w14:textId="77777777" w:rsidR="0046336D" w:rsidRDefault="0046336D" w:rsidP="00C520AA">
      <w:pPr>
        <w:widowControl w:val="0"/>
        <w:autoSpaceDE w:val="0"/>
        <w:autoSpaceDN w:val="0"/>
        <w:spacing w:before="93" w:after="0" w:line="276" w:lineRule="auto"/>
        <w:jc w:val="both"/>
      </w:pPr>
      <w:r w:rsidRPr="00E37D56">
        <w:rPr>
          <w:rFonts w:ascii="Arial" w:eastAsia="Arial" w:hAnsi="Arial" w:cs="Arial"/>
          <w:sz w:val="24"/>
          <w:szCs w:val="24"/>
          <w:lang w:val="es-ES"/>
        </w:rPr>
        <w:t xml:space="preserve">Por su parte el Gasto No Programable, que incluye las Participaciones a Municipios del Estado, las ADEFAS, el Costo Financiero y Amortización de la Deuda Pública, mostró una variación con base en el gasto devengado, respecto al monto original autorizado de </w:t>
      </w:r>
      <w:r>
        <w:rPr>
          <w:rFonts w:ascii="Arial" w:eastAsia="Arial" w:hAnsi="Arial" w:cs="Arial"/>
          <w:sz w:val="24"/>
          <w:szCs w:val="24"/>
          <w:lang w:val="es-ES"/>
        </w:rPr>
        <w:t>3,126.33</w:t>
      </w:r>
      <w:r w:rsidRPr="00E37D56">
        <w:rPr>
          <w:rFonts w:ascii="Arial" w:eastAsia="Arial" w:hAnsi="Arial" w:cs="Arial"/>
          <w:sz w:val="24"/>
          <w:szCs w:val="24"/>
          <w:lang w:val="es-ES"/>
        </w:rPr>
        <w:t xml:space="preserve"> millones de pesos, monto que se ubica</w:t>
      </w:r>
      <w:r>
        <w:rPr>
          <w:rFonts w:ascii="Arial" w:eastAsia="Arial" w:hAnsi="Arial" w:cs="Arial"/>
          <w:sz w:val="24"/>
          <w:szCs w:val="24"/>
          <w:lang w:val="es-ES"/>
        </w:rPr>
        <w:t xml:space="preserve"> mayormente en Participaciones a los municipios y</w:t>
      </w:r>
      <w:r w:rsidRPr="00E37D56">
        <w:rPr>
          <w:rFonts w:ascii="Arial" w:eastAsia="Arial" w:hAnsi="Arial" w:cs="Arial"/>
          <w:sz w:val="24"/>
          <w:szCs w:val="24"/>
          <w:lang w:val="es-ES"/>
        </w:rPr>
        <w:t xml:space="preserve"> Amortización de la Deuda </w:t>
      </w:r>
      <w:r>
        <w:rPr>
          <w:rFonts w:ascii="Arial" w:eastAsia="Arial" w:hAnsi="Arial" w:cs="Arial"/>
          <w:sz w:val="24"/>
          <w:szCs w:val="24"/>
          <w:lang w:val="es-ES"/>
        </w:rPr>
        <w:t xml:space="preserve">Pública </w:t>
      </w:r>
      <w:r w:rsidRPr="00E37D56">
        <w:rPr>
          <w:rFonts w:ascii="Arial" w:eastAsia="Arial" w:hAnsi="Arial" w:cs="Arial"/>
          <w:sz w:val="24"/>
          <w:szCs w:val="24"/>
          <w:lang w:val="es-ES"/>
        </w:rPr>
        <w:t>del año 202</w:t>
      </w:r>
      <w:r>
        <w:rPr>
          <w:rFonts w:ascii="Arial" w:eastAsia="Arial" w:hAnsi="Arial" w:cs="Arial"/>
          <w:sz w:val="24"/>
          <w:szCs w:val="24"/>
          <w:lang w:val="es-ES"/>
        </w:rPr>
        <w:t>2</w:t>
      </w:r>
      <w:r w:rsidRPr="00E37D56">
        <w:rPr>
          <w:rFonts w:ascii="Arial" w:eastAsia="Arial" w:hAnsi="Arial" w:cs="Arial"/>
          <w:sz w:val="24"/>
          <w:szCs w:val="24"/>
          <w:lang w:val="es-ES"/>
        </w:rPr>
        <w:t xml:space="preserve">. En términos reales, el Gasto No Programable presentó un </w:t>
      </w:r>
      <w:r>
        <w:rPr>
          <w:rFonts w:ascii="Arial" w:eastAsia="Arial" w:hAnsi="Arial" w:cs="Arial"/>
          <w:sz w:val="24"/>
          <w:szCs w:val="24"/>
          <w:lang w:val="es-ES"/>
        </w:rPr>
        <w:t>aumento</w:t>
      </w:r>
      <w:r w:rsidRPr="00E37D56">
        <w:rPr>
          <w:rFonts w:ascii="Arial" w:eastAsia="Arial" w:hAnsi="Arial" w:cs="Arial"/>
          <w:sz w:val="24"/>
          <w:szCs w:val="24"/>
          <w:lang w:val="es-ES"/>
        </w:rPr>
        <w:t xml:space="preserve"> de una tasa del </w:t>
      </w:r>
      <w:r>
        <w:rPr>
          <w:rFonts w:ascii="Arial" w:eastAsia="Arial" w:hAnsi="Arial" w:cs="Arial"/>
          <w:sz w:val="24"/>
          <w:szCs w:val="24"/>
          <w:lang w:val="es-ES"/>
        </w:rPr>
        <w:t>12.4 por ciento.</w:t>
      </w:r>
    </w:p>
    <w:p w14:paraId="48B146C0" w14:textId="77777777" w:rsidR="00E9545C" w:rsidRDefault="00E9545C" w:rsidP="00E37D56">
      <w:pPr>
        <w:widowControl w:val="0"/>
        <w:autoSpaceDE w:val="0"/>
        <w:autoSpaceDN w:val="0"/>
        <w:spacing w:before="93" w:after="0" w:line="276" w:lineRule="auto"/>
        <w:ind w:left="360"/>
        <w:jc w:val="both"/>
        <w:rPr>
          <w:rFonts w:ascii="Arial" w:eastAsia="Arial" w:hAnsi="Arial" w:cs="Arial"/>
          <w:sz w:val="24"/>
          <w:szCs w:val="24"/>
          <w:lang w:val="es-ES"/>
        </w:rPr>
        <w:sectPr w:rsidR="00E9545C" w:rsidSect="00747D75">
          <w:headerReference w:type="default" r:id="rId55"/>
          <w:footerReference w:type="default" r:id="rId56"/>
          <w:pgSz w:w="12240" w:h="15840"/>
          <w:pgMar w:top="1404" w:right="1701" w:bottom="993" w:left="1701" w:header="426" w:footer="708" w:gutter="0"/>
          <w:pgNumType w:start="79"/>
          <w:cols w:space="708"/>
          <w:docGrid w:linePitch="360"/>
        </w:sectPr>
      </w:pPr>
    </w:p>
    <w:p w14:paraId="53F40F29" w14:textId="77777777" w:rsidR="00D4696C" w:rsidRDefault="00D4696C" w:rsidP="00D4696C">
      <w:pPr>
        <w:rPr>
          <w:rFonts w:ascii="Arial" w:hAnsi="Arial" w:cs="Arial"/>
          <w:sz w:val="24"/>
          <w:szCs w:val="24"/>
        </w:rPr>
      </w:pPr>
    </w:p>
    <w:p w14:paraId="54F688CF" w14:textId="77777777" w:rsidR="00E9545C" w:rsidRDefault="00E9545C" w:rsidP="00D4696C">
      <w:pPr>
        <w:rPr>
          <w:rFonts w:ascii="Arial" w:hAnsi="Arial" w:cs="Arial"/>
          <w:sz w:val="24"/>
          <w:szCs w:val="24"/>
        </w:rPr>
      </w:pPr>
    </w:p>
    <w:p w14:paraId="10EB6324" w14:textId="77777777" w:rsidR="00D4696C" w:rsidRDefault="00D4696C" w:rsidP="00D4696C">
      <w:pPr>
        <w:rPr>
          <w:rFonts w:ascii="Arial" w:hAnsi="Arial" w:cs="Arial"/>
          <w:sz w:val="24"/>
          <w:szCs w:val="24"/>
        </w:rPr>
      </w:pPr>
    </w:p>
    <w:p w14:paraId="31470BCF" w14:textId="77777777" w:rsidR="00D4696C" w:rsidRDefault="00D4696C" w:rsidP="00D4696C">
      <w:pPr>
        <w:rPr>
          <w:rFonts w:ascii="Arial" w:hAnsi="Arial" w:cs="Arial"/>
          <w:sz w:val="24"/>
          <w:szCs w:val="24"/>
        </w:rPr>
      </w:pPr>
    </w:p>
    <w:p w14:paraId="0D9CD2BA" w14:textId="77777777" w:rsidR="00D4696C" w:rsidRDefault="00D4696C" w:rsidP="00D4696C">
      <w:pPr>
        <w:rPr>
          <w:rFonts w:ascii="Arial" w:hAnsi="Arial" w:cs="Arial"/>
          <w:sz w:val="24"/>
          <w:szCs w:val="24"/>
        </w:rPr>
      </w:pPr>
    </w:p>
    <w:p w14:paraId="544CEAD5" w14:textId="77777777" w:rsidR="00D4696C" w:rsidRDefault="00D4696C" w:rsidP="00D4696C">
      <w:pPr>
        <w:rPr>
          <w:rFonts w:ascii="Arial" w:hAnsi="Arial" w:cs="Arial"/>
          <w:sz w:val="24"/>
          <w:szCs w:val="24"/>
        </w:rPr>
      </w:pPr>
    </w:p>
    <w:p w14:paraId="25D9CF3D" w14:textId="77777777" w:rsidR="00D4696C" w:rsidRDefault="00D4696C" w:rsidP="00D4696C">
      <w:pPr>
        <w:rPr>
          <w:rFonts w:ascii="Arial" w:hAnsi="Arial" w:cs="Arial"/>
          <w:sz w:val="24"/>
          <w:szCs w:val="24"/>
        </w:rPr>
      </w:pPr>
    </w:p>
    <w:p w14:paraId="2FF0132E" w14:textId="77777777" w:rsidR="00D4696C" w:rsidRDefault="00D4696C" w:rsidP="00D4696C">
      <w:pPr>
        <w:rPr>
          <w:rFonts w:ascii="Arial" w:hAnsi="Arial" w:cs="Arial"/>
          <w:sz w:val="24"/>
          <w:szCs w:val="24"/>
        </w:rPr>
      </w:pPr>
    </w:p>
    <w:p w14:paraId="281C9225" w14:textId="77777777" w:rsidR="002641A5" w:rsidRDefault="00525BB3" w:rsidP="002641A5">
      <w:pPr>
        <w:pStyle w:val="Ttulo1"/>
        <w:spacing w:before="0" w:line="276" w:lineRule="auto"/>
        <w:jc w:val="center"/>
        <w:rPr>
          <w:rFonts w:ascii="Arial" w:eastAsia="Arial" w:hAnsi="Arial" w:cs="Arial"/>
          <w:b/>
          <w:color w:val="auto"/>
          <w:sz w:val="40"/>
          <w:szCs w:val="24"/>
          <w:lang w:val="es-ES" w:eastAsia="es-ES" w:bidi="es-ES"/>
        </w:rPr>
      </w:pPr>
      <w:bookmarkStart w:id="89" w:name="_Toc158567507"/>
      <w:r w:rsidRPr="00E9545C">
        <w:rPr>
          <w:rFonts w:ascii="Arial" w:eastAsia="Arial" w:hAnsi="Arial" w:cs="Arial"/>
          <w:b/>
          <w:color w:val="auto"/>
          <w:sz w:val="40"/>
          <w:szCs w:val="24"/>
          <w:lang w:val="es-ES" w:eastAsia="es-ES" w:bidi="es-ES"/>
        </w:rPr>
        <w:t>CAPÍTULO 6</w:t>
      </w:r>
      <w:bookmarkEnd w:id="89"/>
    </w:p>
    <w:p w14:paraId="6B1F6563" w14:textId="77777777" w:rsidR="00122C03" w:rsidRPr="00E9545C" w:rsidRDefault="006C3A7A" w:rsidP="002641A5">
      <w:pPr>
        <w:pStyle w:val="Ttulo1"/>
        <w:spacing w:before="0" w:line="276" w:lineRule="auto"/>
        <w:jc w:val="center"/>
        <w:rPr>
          <w:rFonts w:ascii="Arial" w:eastAsia="Arial" w:hAnsi="Arial" w:cs="Arial"/>
          <w:b/>
          <w:color w:val="auto"/>
          <w:sz w:val="40"/>
          <w:szCs w:val="24"/>
          <w:lang w:val="es-ES" w:eastAsia="es-ES" w:bidi="es-ES"/>
        </w:rPr>
      </w:pPr>
      <w:bookmarkStart w:id="90" w:name="_Toc158567508"/>
      <w:r w:rsidRPr="00E9545C">
        <w:rPr>
          <w:rFonts w:ascii="Arial" w:eastAsia="Arial" w:hAnsi="Arial" w:cs="Arial"/>
          <w:b/>
          <w:color w:val="auto"/>
          <w:sz w:val="40"/>
          <w:szCs w:val="24"/>
          <w:lang w:val="es-ES" w:eastAsia="es-ES" w:bidi="es-ES"/>
        </w:rPr>
        <w:t>Resumen de los Análisis a los Informes de Avance de Gestión, correspondientes al Ejercicio Fiscal 202</w:t>
      </w:r>
      <w:r w:rsidR="003310EE">
        <w:rPr>
          <w:rFonts w:ascii="Arial" w:eastAsia="Arial" w:hAnsi="Arial" w:cs="Arial"/>
          <w:b/>
          <w:color w:val="auto"/>
          <w:sz w:val="40"/>
          <w:szCs w:val="24"/>
          <w:lang w:val="es-ES" w:eastAsia="es-ES" w:bidi="es-ES"/>
        </w:rPr>
        <w:t>2</w:t>
      </w:r>
      <w:bookmarkEnd w:id="90"/>
    </w:p>
    <w:p w14:paraId="2E817FE7" w14:textId="77777777" w:rsidR="006D60B0" w:rsidRPr="00E9545C" w:rsidRDefault="006C3A7A" w:rsidP="00CC276C">
      <w:pPr>
        <w:spacing w:before="240"/>
        <w:jc w:val="center"/>
        <w:rPr>
          <w:rFonts w:ascii="Arial" w:eastAsia="Arial" w:hAnsi="Arial" w:cs="Arial"/>
          <w:sz w:val="28"/>
          <w:szCs w:val="20"/>
          <w:lang w:val="es-ES" w:eastAsia="es-ES" w:bidi="es-ES"/>
        </w:rPr>
      </w:pPr>
      <w:r w:rsidRPr="00E9545C">
        <w:rPr>
          <w:rFonts w:ascii="Arial" w:eastAsia="Arial" w:hAnsi="Arial" w:cs="Arial"/>
          <w:sz w:val="28"/>
          <w:szCs w:val="20"/>
          <w:lang w:val="es-ES" w:eastAsia="es-ES" w:bidi="es-ES"/>
        </w:rPr>
        <w:t>En cumplimiento a las recomendaciones emitidas por la Comisión de Hacienda, Presupuesto y Cuenta de la H. XV</w:t>
      </w:r>
      <w:r w:rsidR="00712618">
        <w:rPr>
          <w:rFonts w:ascii="Arial" w:eastAsia="Arial" w:hAnsi="Arial" w:cs="Arial"/>
          <w:sz w:val="28"/>
          <w:szCs w:val="20"/>
          <w:lang w:val="es-ES" w:eastAsia="es-ES" w:bidi="es-ES"/>
        </w:rPr>
        <w:t>I</w:t>
      </w:r>
      <w:r w:rsidRPr="00E9545C">
        <w:rPr>
          <w:rFonts w:ascii="Arial" w:eastAsia="Arial" w:hAnsi="Arial" w:cs="Arial"/>
          <w:sz w:val="28"/>
          <w:szCs w:val="20"/>
          <w:lang w:val="es-ES" w:eastAsia="es-ES" w:bidi="es-ES"/>
        </w:rPr>
        <w:t>I Legislatura del Estado, según el artículo 79 de la Ley de Fiscalización y Rendición de Cuentas del Estado de Quintana Roo.</w:t>
      </w:r>
    </w:p>
    <w:p w14:paraId="39147AFD" w14:textId="77777777" w:rsidR="005440E8" w:rsidRDefault="005440E8" w:rsidP="00370FF1">
      <w:pPr>
        <w:spacing w:before="240" w:after="0" w:line="276" w:lineRule="auto"/>
        <w:jc w:val="both"/>
      </w:pPr>
    </w:p>
    <w:p w14:paraId="61BF0CFB" w14:textId="77777777" w:rsidR="00D4696C" w:rsidRDefault="00D4696C" w:rsidP="00370FF1">
      <w:pPr>
        <w:spacing w:before="240" w:after="0" w:line="276" w:lineRule="auto"/>
        <w:jc w:val="both"/>
      </w:pPr>
    </w:p>
    <w:p w14:paraId="7961E78D" w14:textId="77777777" w:rsidR="00D4696C" w:rsidRDefault="00D4696C" w:rsidP="00370FF1">
      <w:pPr>
        <w:spacing w:before="240" w:after="0" w:line="276" w:lineRule="auto"/>
        <w:jc w:val="both"/>
      </w:pPr>
    </w:p>
    <w:p w14:paraId="3BFCFB6B" w14:textId="77777777" w:rsidR="00D4696C" w:rsidRDefault="00D4696C" w:rsidP="00370FF1">
      <w:pPr>
        <w:spacing w:before="240" w:after="0" w:line="276" w:lineRule="auto"/>
        <w:jc w:val="both"/>
      </w:pPr>
    </w:p>
    <w:p w14:paraId="734600A0" w14:textId="77777777" w:rsidR="00D4696C" w:rsidRDefault="00D4696C" w:rsidP="00370FF1">
      <w:pPr>
        <w:spacing w:before="240" w:after="0" w:line="276" w:lineRule="auto"/>
        <w:jc w:val="both"/>
      </w:pPr>
    </w:p>
    <w:p w14:paraId="5F92E246" w14:textId="77777777" w:rsidR="00D4696C" w:rsidRDefault="00D4696C" w:rsidP="00370FF1">
      <w:pPr>
        <w:spacing w:before="240" w:after="0" w:line="276" w:lineRule="auto"/>
        <w:jc w:val="both"/>
      </w:pPr>
    </w:p>
    <w:p w14:paraId="20FF83DA" w14:textId="77777777" w:rsidR="00D4696C" w:rsidRDefault="00D4696C" w:rsidP="00370FF1">
      <w:pPr>
        <w:spacing w:before="240" w:after="0" w:line="276" w:lineRule="auto"/>
        <w:jc w:val="both"/>
      </w:pPr>
    </w:p>
    <w:p w14:paraId="057215AB" w14:textId="77777777" w:rsidR="00DE53ED" w:rsidRDefault="00DE53ED" w:rsidP="00370FF1">
      <w:pPr>
        <w:spacing w:before="240" w:after="0" w:line="276" w:lineRule="auto"/>
        <w:jc w:val="both"/>
      </w:pPr>
    </w:p>
    <w:p w14:paraId="04B601F0" w14:textId="77777777" w:rsidR="008315BE" w:rsidRDefault="008315BE">
      <w:r>
        <w:br w:type="page"/>
      </w:r>
    </w:p>
    <w:p w14:paraId="55750C3C" w14:textId="77777777" w:rsidR="00712618" w:rsidRPr="00712618" w:rsidRDefault="00712618" w:rsidP="00712618">
      <w:pPr>
        <w:spacing w:line="276" w:lineRule="auto"/>
        <w:ind w:right="49"/>
        <w:jc w:val="both"/>
        <w:rPr>
          <w:rFonts w:ascii="Arial" w:hAnsi="Arial" w:cs="Arial"/>
          <w:sz w:val="24"/>
          <w:szCs w:val="24"/>
          <w:highlight w:val="cyan"/>
        </w:rPr>
      </w:pPr>
      <w:r w:rsidRPr="00712618">
        <w:rPr>
          <w:rFonts w:ascii="Arial" w:hAnsi="Arial" w:cs="Arial"/>
          <w:sz w:val="24"/>
          <w:szCs w:val="24"/>
        </w:rPr>
        <w:lastRenderedPageBreak/>
        <w:t xml:space="preserve">Con fundamento en los artículos 77 de la Constitución Política del Estado Libre y Soberano de Quintana Roo, 14 Fracciones I y II; y 19 Fracción XXI de la LFRCEQROO, la Auditoría Superior del Estado emitió la Guía para la Integración de los Informes de Avance de la Gestión Financiera (IAGF) y de la Información para la Planeación de </w:t>
      </w:r>
      <w:r w:rsidRPr="00712618">
        <w:rPr>
          <w:rFonts w:ascii="Arial" w:hAnsi="Arial" w:cs="Arial"/>
          <w:spacing w:val="2"/>
          <w:sz w:val="24"/>
          <w:szCs w:val="24"/>
        </w:rPr>
        <w:t xml:space="preserve">la </w:t>
      </w:r>
      <w:r w:rsidRPr="00712618">
        <w:rPr>
          <w:rFonts w:ascii="Arial" w:hAnsi="Arial" w:cs="Arial"/>
          <w:sz w:val="24"/>
          <w:szCs w:val="24"/>
        </w:rPr>
        <w:t>Fiscalización de la Cuenta Pública (IPFCP), como una herramienta que permita a las Entidades Fiscalizables generar</w:t>
      </w:r>
      <w:r w:rsidRPr="00712618">
        <w:rPr>
          <w:rFonts w:ascii="Arial" w:hAnsi="Arial" w:cs="Arial"/>
          <w:spacing w:val="-18"/>
          <w:sz w:val="24"/>
          <w:szCs w:val="24"/>
        </w:rPr>
        <w:t xml:space="preserve"> </w:t>
      </w:r>
      <w:r w:rsidRPr="00712618">
        <w:rPr>
          <w:rFonts w:ascii="Arial" w:hAnsi="Arial" w:cs="Arial"/>
          <w:sz w:val="24"/>
          <w:szCs w:val="24"/>
        </w:rPr>
        <w:t>y</w:t>
      </w:r>
      <w:r w:rsidRPr="00712618">
        <w:rPr>
          <w:rFonts w:ascii="Arial" w:hAnsi="Arial" w:cs="Arial"/>
          <w:spacing w:val="-17"/>
          <w:sz w:val="24"/>
          <w:szCs w:val="24"/>
        </w:rPr>
        <w:t xml:space="preserve"> </w:t>
      </w:r>
      <w:r w:rsidRPr="00712618">
        <w:rPr>
          <w:rFonts w:ascii="Arial" w:hAnsi="Arial" w:cs="Arial"/>
          <w:sz w:val="24"/>
          <w:szCs w:val="24"/>
        </w:rPr>
        <w:t>presentar de</w:t>
      </w:r>
      <w:r w:rsidRPr="00712618">
        <w:rPr>
          <w:rFonts w:ascii="Arial" w:hAnsi="Arial" w:cs="Arial"/>
          <w:spacing w:val="-18"/>
          <w:sz w:val="24"/>
          <w:szCs w:val="24"/>
        </w:rPr>
        <w:t xml:space="preserve"> </w:t>
      </w:r>
      <w:r w:rsidRPr="00712618">
        <w:rPr>
          <w:rFonts w:ascii="Arial" w:hAnsi="Arial" w:cs="Arial"/>
          <w:sz w:val="24"/>
          <w:szCs w:val="24"/>
        </w:rPr>
        <w:t>manera trimestral los informes en comento, con información del ejercicio en curso y respecto de procesos concluidos, así como los elementos mínimos que debe contener de conformidad con</w:t>
      </w:r>
      <w:r w:rsidRPr="00712618">
        <w:rPr>
          <w:rFonts w:ascii="Arial" w:hAnsi="Arial" w:cs="Arial"/>
          <w:spacing w:val="-16"/>
          <w:sz w:val="24"/>
          <w:szCs w:val="24"/>
        </w:rPr>
        <w:t xml:space="preserve"> </w:t>
      </w:r>
      <w:r w:rsidRPr="00712618">
        <w:rPr>
          <w:rFonts w:ascii="Arial" w:hAnsi="Arial" w:cs="Arial"/>
          <w:sz w:val="24"/>
          <w:szCs w:val="24"/>
        </w:rPr>
        <w:t>lo</w:t>
      </w:r>
      <w:r w:rsidRPr="00712618">
        <w:rPr>
          <w:rFonts w:ascii="Arial" w:hAnsi="Arial" w:cs="Arial"/>
          <w:spacing w:val="-17"/>
          <w:sz w:val="24"/>
          <w:szCs w:val="24"/>
        </w:rPr>
        <w:t xml:space="preserve"> </w:t>
      </w:r>
      <w:r w:rsidRPr="00712618">
        <w:rPr>
          <w:rFonts w:ascii="Arial" w:hAnsi="Arial" w:cs="Arial"/>
          <w:sz w:val="24"/>
          <w:szCs w:val="24"/>
        </w:rPr>
        <w:t>establecido</w:t>
      </w:r>
      <w:r w:rsidRPr="00712618">
        <w:rPr>
          <w:rFonts w:ascii="Arial" w:hAnsi="Arial" w:cs="Arial"/>
          <w:spacing w:val="-19"/>
          <w:sz w:val="24"/>
          <w:szCs w:val="24"/>
        </w:rPr>
        <w:t xml:space="preserve"> en</w:t>
      </w:r>
      <w:r w:rsidRPr="00712618">
        <w:rPr>
          <w:rFonts w:ascii="Arial" w:hAnsi="Arial" w:cs="Arial"/>
          <w:spacing w:val="-18"/>
          <w:sz w:val="24"/>
          <w:szCs w:val="24"/>
        </w:rPr>
        <w:t xml:space="preserve"> </w:t>
      </w:r>
      <w:r w:rsidRPr="00712618">
        <w:rPr>
          <w:rFonts w:ascii="Arial" w:hAnsi="Arial" w:cs="Arial"/>
          <w:sz w:val="24"/>
          <w:szCs w:val="24"/>
        </w:rPr>
        <w:t>la</w:t>
      </w:r>
      <w:r w:rsidRPr="00712618">
        <w:rPr>
          <w:rFonts w:ascii="Arial" w:hAnsi="Arial" w:cs="Arial"/>
          <w:spacing w:val="-19"/>
          <w:sz w:val="24"/>
          <w:szCs w:val="24"/>
        </w:rPr>
        <w:t xml:space="preserve"> </w:t>
      </w:r>
      <w:r w:rsidRPr="00712618">
        <w:rPr>
          <w:rFonts w:ascii="Arial" w:hAnsi="Arial" w:cs="Arial"/>
          <w:sz w:val="24"/>
          <w:szCs w:val="24"/>
        </w:rPr>
        <w:t>LGCG</w:t>
      </w:r>
      <w:r w:rsidRPr="00712618">
        <w:rPr>
          <w:rFonts w:ascii="Arial" w:hAnsi="Arial" w:cs="Arial"/>
          <w:spacing w:val="-17"/>
          <w:sz w:val="24"/>
          <w:szCs w:val="24"/>
        </w:rPr>
        <w:t xml:space="preserve"> </w:t>
      </w:r>
      <w:r w:rsidRPr="00712618">
        <w:rPr>
          <w:rFonts w:ascii="Arial" w:hAnsi="Arial" w:cs="Arial"/>
          <w:sz w:val="24"/>
          <w:szCs w:val="24"/>
        </w:rPr>
        <w:t>y</w:t>
      </w:r>
      <w:r w:rsidRPr="00712618">
        <w:rPr>
          <w:rFonts w:ascii="Arial" w:hAnsi="Arial" w:cs="Arial"/>
          <w:spacing w:val="-18"/>
          <w:sz w:val="24"/>
          <w:szCs w:val="24"/>
        </w:rPr>
        <w:t xml:space="preserve"> </w:t>
      </w:r>
      <w:r w:rsidRPr="00712618">
        <w:rPr>
          <w:rFonts w:ascii="Arial" w:hAnsi="Arial" w:cs="Arial"/>
          <w:sz w:val="24"/>
          <w:szCs w:val="24"/>
        </w:rPr>
        <w:t>los</w:t>
      </w:r>
      <w:r w:rsidRPr="00712618">
        <w:rPr>
          <w:rFonts w:ascii="Arial" w:hAnsi="Arial" w:cs="Arial"/>
          <w:spacing w:val="-14"/>
          <w:sz w:val="24"/>
          <w:szCs w:val="24"/>
        </w:rPr>
        <w:t xml:space="preserve"> </w:t>
      </w:r>
      <w:r w:rsidRPr="00712618">
        <w:rPr>
          <w:rFonts w:ascii="Arial" w:hAnsi="Arial" w:cs="Arial"/>
          <w:sz w:val="24"/>
          <w:szCs w:val="24"/>
        </w:rPr>
        <w:t>acuerdos</w:t>
      </w:r>
      <w:r w:rsidRPr="00712618">
        <w:rPr>
          <w:rFonts w:ascii="Arial" w:hAnsi="Arial" w:cs="Arial"/>
          <w:spacing w:val="-18"/>
          <w:sz w:val="24"/>
          <w:szCs w:val="24"/>
        </w:rPr>
        <w:t xml:space="preserve"> </w:t>
      </w:r>
      <w:r w:rsidRPr="00712618">
        <w:rPr>
          <w:rFonts w:ascii="Arial" w:hAnsi="Arial" w:cs="Arial"/>
          <w:sz w:val="24"/>
          <w:szCs w:val="24"/>
        </w:rPr>
        <w:t>emitidos por el CONAC.</w:t>
      </w:r>
    </w:p>
    <w:p w14:paraId="06632E8B" w14:textId="77777777" w:rsidR="00712618" w:rsidRPr="00712618" w:rsidRDefault="00712618" w:rsidP="00712618">
      <w:pPr>
        <w:tabs>
          <w:tab w:val="left" w:pos="1530"/>
        </w:tabs>
        <w:spacing w:line="276" w:lineRule="auto"/>
        <w:jc w:val="both"/>
        <w:rPr>
          <w:rFonts w:ascii="Arial" w:hAnsi="Arial" w:cs="Arial"/>
          <w:sz w:val="24"/>
          <w:szCs w:val="24"/>
          <w:highlight w:val="cyan"/>
        </w:rPr>
      </w:pPr>
    </w:p>
    <w:p w14:paraId="25FD4EAF" w14:textId="77777777" w:rsidR="00712618" w:rsidRPr="00712618" w:rsidRDefault="00712618" w:rsidP="00712618">
      <w:pPr>
        <w:spacing w:line="276" w:lineRule="auto"/>
        <w:ind w:right="49"/>
        <w:jc w:val="both"/>
        <w:rPr>
          <w:rFonts w:ascii="Arial" w:hAnsi="Arial" w:cs="Arial"/>
          <w:sz w:val="24"/>
          <w:szCs w:val="24"/>
        </w:rPr>
      </w:pPr>
      <w:r w:rsidRPr="00712618">
        <w:rPr>
          <w:rFonts w:ascii="Arial" w:hAnsi="Arial" w:cs="Arial"/>
          <w:sz w:val="24"/>
          <w:szCs w:val="24"/>
        </w:rPr>
        <w:t>De conformidad al artículo 6°, fracción XVII de la LFRCEQROO, el Informe de Avance de Gestión Financiera, es el que rinden, de manera trimestral, los Poderes del Estado y los entes públicos a la Auditoría Superior del Estado para el análisis correspondiente, sobre los avances físicos y financieros de los programas aprobados, del ejercicio presupuestal correspondiente; mismo que integra de conformidad a la “Guía para la Integración de los Informes de Avance de la Gestión Financiera y de la Información para la Planeación de la Fiscalización de la Cuenta Pública”.</w:t>
      </w:r>
    </w:p>
    <w:p w14:paraId="01C04E4B" w14:textId="77777777" w:rsidR="00712618" w:rsidRPr="00712618" w:rsidRDefault="00712618" w:rsidP="00712618">
      <w:pPr>
        <w:spacing w:line="276" w:lineRule="auto"/>
        <w:ind w:right="49"/>
        <w:jc w:val="both"/>
        <w:rPr>
          <w:rFonts w:ascii="Arial" w:hAnsi="Arial" w:cs="Arial"/>
          <w:sz w:val="24"/>
          <w:szCs w:val="24"/>
        </w:rPr>
      </w:pPr>
    </w:p>
    <w:p w14:paraId="498847FF" w14:textId="77777777" w:rsidR="00712618" w:rsidRPr="00712618" w:rsidRDefault="00712618" w:rsidP="00712618">
      <w:pPr>
        <w:spacing w:line="276" w:lineRule="auto"/>
        <w:ind w:right="49"/>
        <w:jc w:val="both"/>
        <w:rPr>
          <w:rFonts w:ascii="Arial" w:hAnsi="Arial" w:cs="Arial"/>
          <w:sz w:val="24"/>
          <w:szCs w:val="24"/>
        </w:rPr>
      </w:pPr>
      <w:r w:rsidRPr="00712618">
        <w:rPr>
          <w:rFonts w:ascii="Arial" w:hAnsi="Arial" w:cs="Arial"/>
          <w:sz w:val="24"/>
          <w:szCs w:val="24"/>
        </w:rPr>
        <w:t xml:space="preserve">Por su parte, el artículo 14 de la de la LFRCEQROO establece que, el contenido del Informe de Avance de Gestión Financiera, se referirá a los programas a cargo de los poderes del Estado y los entes públicos, para conocer el grado de cumplimiento de los objetivos, metas y satisfacción de necesidades en ellos proyectados y contendrá: </w:t>
      </w:r>
    </w:p>
    <w:p w14:paraId="0C3ED6B0" w14:textId="77777777" w:rsidR="00712618" w:rsidRPr="00712618" w:rsidRDefault="00712618" w:rsidP="00712618">
      <w:pPr>
        <w:spacing w:line="276" w:lineRule="auto"/>
        <w:ind w:left="142" w:right="49"/>
        <w:jc w:val="both"/>
        <w:rPr>
          <w:rFonts w:ascii="Arial" w:hAnsi="Arial" w:cs="Arial"/>
          <w:sz w:val="24"/>
          <w:szCs w:val="24"/>
        </w:rPr>
      </w:pPr>
    </w:p>
    <w:p w14:paraId="61BEC845" w14:textId="77777777" w:rsidR="00712618" w:rsidRPr="00712618" w:rsidRDefault="00712618" w:rsidP="00683FD0">
      <w:pPr>
        <w:widowControl w:val="0"/>
        <w:numPr>
          <w:ilvl w:val="0"/>
          <w:numId w:val="12"/>
        </w:numPr>
        <w:autoSpaceDE w:val="0"/>
        <w:autoSpaceDN w:val="0"/>
        <w:spacing w:after="0" w:line="276" w:lineRule="auto"/>
        <w:ind w:right="49"/>
        <w:jc w:val="both"/>
        <w:rPr>
          <w:rFonts w:ascii="Arial" w:eastAsia="Arial" w:hAnsi="Arial" w:cs="Arial"/>
          <w:sz w:val="24"/>
          <w:szCs w:val="24"/>
        </w:rPr>
      </w:pPr>
      <w:r w:rsidRPr="00712618">
        <w:rPr>
          <w:rFonts w:ascii="Arial" w:eastAsia="Arial" w:hAnsi="Arial" w:cs="Arial"/>
          <w:sz w:val="24"/>
          <w:szCs w:val="24"/>
        </w:rPr>
        <w:t>El flujo contable de ingresos y egresos de cada trimestre en que se ejerza el Presupuesto de Egresos del año correspondiente, y</w:t>
      </w:r>
    </w:p>
    <w:p w14:paraId="6F15F0F4" w14:textId="77777777" w:rsidR="00712618" w:rsidRPr="00712618" w:rsidRDefault="00712618" w:rsidP="00712618">
      <w:pPr>
        <w:widowControl w:val="0"/>
        <w:tabs>
          <w:tab w:val="left" w:pos="1560"/>
        </w:tabs>
        <w:autoSpaceDE w:val="0"/>
        <w:autoSpaceDN w:val="0"/>
        <w:spacing w:after="0" w:line="276" w:lineRule="auto"/>
        <w:ind w:left="2280" w:right="1065"/>
        <w:jc w:val="both"/>
        <w:rPr>
          <w:rFonts w:ascii="Arial" w:eastAsia="Arial" w:hAnsi="Arial" w:cs="Arial"/>
          <w:sz w:val="24"/>
          <w:szCs w:val="24"/>
        </w:rPr>
      </w:pPr>
    </w:p>
    <w:p w14:paraId="37C9C471" w14:textId="77777777" w:rsidR="00712618" w:rsidRPr="00712618" w:rsidRDefault="00712618" w:rsidP="00683FD0">
      <w:pPr>
        <w:widowControl w:val="0"/>
        <w:numPr>
          <w:ilvl w:val="0"/>
          <w:numId w:val="12"/>
        </w:numPr>
        <w:autoSpaceDE w:val="0"/>
        <w:autoSpaceDN w:val="0"/>
        <w:spacing w:after="0" w:line="276" w:lineRule="auto"/>
        <w:ind w:right="49"/>
        <w:jc w:val="both"/>
        <w:rPr>
          <w:rFonts w:ascii="Arial" w:eastAsia="Arial" w:hAnsi="Arial" w:cs="Arial"/>
          <w:sz w:val="24"/>
          <w:szCs w:val="24"/>
        </w:rPr>
      </w:pPr>
      <w:r w:rsidRPr="00712618">
        <w:rPr>
          <w:rFonts w:ascii="Arial" w:eastAsia="Arial" w:hAnsi="Arial" w:cs="Arial"/>
          <w:sz w:val="24"/>
          <w:szCs w:val="24"/>
        </w:rPr>
        <w:t xml:space="preserve">El avance del </w:t>
      </w:r>
      <w:r w:rsidRPr="00712618">
        <w:rPr>
          <w:rFonts w:ascii="Arial" w:eastAsia="Arial" w:hAnsi="Arial" w:cs="Arial"/>
          <w:sz w:val="24"/>
          <w:szCs w:val="24"/>
          <w:lang w:val="es-ES"/>
        </w:rPr>
        <w:t>cumplimiento</w:t>
      </w:r>
      <w:r w:rsidRPr="00712618">
        <w:rPr>
          <w:rFonts w:ascii="Arial" w:eastAsia="Arial" w:hAnsi="Arial" w:cs="Arial"/>
          <w:sz w:val="24"/>
          <w:szCs w:val="24"/>
        </w:rPr>
        <w:t xml:space="preserve"> de los programas con base en los </w:t>
      </w:r>
      <w:r w:rsidRPr="00712618">
        <w:rPr>
          <w:rFonts w:ascii="Arial" w:eastAsia="Arial" w:hAnsi="Arial" w:cs="Arial"/>
          <w:sz w:val="24"/>
          <w:szCs w:val="24"/>
          <w:lang w:val="es-ES"/>
        </w:rPr>
        <w:t>indicadores</w:t>
      </w:r>
      <w:r w:rsidRPr="00712618">
        <w:rPr>
          <w:rFonts w:ascii="Arial" w:eastAsia="Arial" w:hAnsi="Arial" w:cs="Arial"/>
          <w:sz w:val="24"/>
          <w:szCs w:val="24"/>
        </w:rPr>
        <w:t xml:space="preserve"> aprobados en el Presupuesto de Egresos.</w:t>
      </w:r>
    </w:p>
    <w:p w14:paraId="5281EA02" w14:textId="77777777" w:rsidR="00712618" w:rsidRPr="00712618" w:rsidRDefault="00712618" w:rsidP="00712618">
      <w:pPr>
        <w:tabs>
          <w:tab w:val="left" w:pos="1560"/>
        </w:tabs>
        <w:spacing w:line="276" w:lineRule="auto"/>
        <w:ind w:left="1560" w:right="1065"/>
        <w:jc w:val="both"/>
        <w:rPr>
          <w:rFonts w:ascii="Arial" w:hAnsi="Arial" w:cs="Arial"/>
          <w:sz w:val="24"/>
          <w:szCs w:val="24"/>
        </w:rPr>
      </w:pPr>
    </w:p>
    <w:p w14:paraId="5CFB2917" w14:textId="77777777" w:rsidR="00712618" w:rsidRPr="00712618" w:rsidRDefault="00712618" w:rsidP="00712618">
      <w:pPr>
        <w:spacing w:line="276" w:lineRule="auto"/>
        <w:ind w:right="49"/>
        <w:jc w:val="both"/>
        <w:rPr>
          <w:rFonts w:ascii="Arial" w:hAnsi="Arial" w:cs="Arial"/>
          <w:sz w:val="24"/>
          <w:szCs w:val="24"/>
        </w:rPr>
      </w:pPr>
      <w:r w:rsidRPr="00712618">
        <w:rPr>
          <w:rFonts w:ascii="Arial" w:hAnsi="Arial" w:cs="Arial"/>
          <w:sz w:val="24"/>
          <w:szCs w:val="24"/>
        </w:rPr>
        <w:t xml:space="preserve">La LFRCEQROO establece que la Auditoría Superior del Estado deberá realizar el análisis de estos informes y remitir a la Comisión de Hacienda, Presupuesto y Cuenta de la Legislatura del Estado, dentro de los plazos establecidos en la misma normatividad. </w:t>
      </w:r>
    </w:p>
    <w:p w14:paraId="2A643372" w14:textId="77777777" w:rsidR="00712618" w:rsidRPr="00712618" w:rsidRDefault="00712618" w:rsidP="00712618">
      <w:pPr>
        <w:spacing w:line="276" w:lineRule="auto"/>
        <w:ind w:right="49"/>
        <w:jc w:val="both"/>
        <w:rPr>
          <w:rFonts w:ascii="Arial" w:hAnsi="Arial" w:cs="Arial"/>
          <w:sz w:val="24"/>
          <w:szCs w:val="24"/>
        </w:rPr>
      </w:pPr>
      <w:r w:rsidRPr="00712618">
        <w:rPr>
          <w:rFonts w:ascii="Arial" w:hAnsi="Arial" w:cs="Arial"/>
          <w:sz w:val="24"/>
          <w:szCs w:val="24"/>
        </w:rPr>
        <w:lastRenderedPageBreak/>
        <w:t>Por todo lo anterior, y dada la importancia que este Análisis a los Informes de Avance de Gestión Financiera, tienen para la Planeación de la Fiscalización de la Cuenta Pública de los Entes Fiscalizables, el cual se incorpora a la metodología como un procedimiento para el análisis de un subcriterio de riesgo; se presenta el siguiente apartado que incluye, el resumen de los resultados de la gestión obtenidos en el ejercicio fiscal que se informa, tanto en el género de los ingresos, como de los egresos; el avance en el cumplimiento de los programas; así como los comentarios que este Órgano Técnico realiza a las justificaciones presentadas por los propios sujetos obligados:</w:t>
      </w:r>
    </w:p>
    <w:p w14:paraId="611658F4" w14:textId="77777777" w:rsidR="00712618" w:rsidRPr="00712618" w:rsidRDefault="00712618" w:rsidP="00712618">
      <w:pPr>
        <w:tabs>
          <w:tab w:val="left" w:pos="1560"/>
        </w:tabs>
        <w:ind w:left="1560" w:right="1065"/>
        <w:jc w:val="both"/>
        <w:rPr>
          <w:sz w:val="8"/>
          <w:szCs w:val="24"/>
        </w:rPr>
      </w:pPr>
    </w:p>
    <w:p w14:paraId="315F7FDA" w14:textId="77777777" w:rsidR="00712618" w:rsidRPr="00712618" w:rsidRDefault="00712618" w:rsidP="00683FD0">
      <w:pPr>
        <w:widowControl w:val="0"/>
        <w:numPr>
          <w:ilvl w:val="0"/>
          <w:numId w:val="13"/>
        </w:numPr>
        <w:autoSpaceDE w:val="0"/>
        <w:autoSpaceDN w:val="0"/>
        <w:spacing w:after="0" w:line="240" w:lineRule="auto"/>
        <w:ind w:left="360"/>
        <w:jc w:val="both"/>
        <w:rPr>
          <w:rFonts w:ascii="Arial" w:eastAsia="Arial" w:hAnsi="Arial" w:cs="Arial"/>
          <w:b/>
          <w:sz w:val="24"/>
          <w:szCs w:val="24"/>
          <w:lang w:val="es-ES"/>
        </w:rPr>
      </w:pPr>
      <w:r w:rsidRPr="00712618">
        <w:rPr>
          <w:rFonts w:ascii="Arial" w:eastAsia="Arial" w:hAnsi="Arial" w:cs="Arial"/>
          <w:b/>
          <w:sz w:val="24"/>
          <w:szCs w:val="24"/>
        </w:rPr>
        <w:t xml:space="preserve">Del </w:t>
      </w:r>
      <w:r w:rsidRPr="00712618">
        <w:rPr>
          <w:rFonts w:ascii="Arial" w:eastAsia="Arial" w:hAnsi="Arial" w:cs="Arial"/>
          <w:b/>
          <w:sz w:val="24"/>
          <w:szCs w:val="24"/>
          <w:lang w:val="es-ES"/>
        </w:rPr>
        <w:t>flujo</w:t>
      </w:r>
      <w:r w:rsidRPr="00712618">
        <w:rPr>
          <w:rFonts w:ascii="Arial" w:eastAsia="Arial" w:hAnsi="Arial" w:cs="Arial"/>
          <w:b/>
          <w:sz w:val="24"/>
          <w:szCs w:val="24"/>
        </w:rPr>
        <w:t xml:space="preserve"> </w:t>
      </w:r>
      <w:r w:rsidRPr="00712618">
        <w:rPr>
          <w:rFonts w:ascii="Arial" w:eastAsia="Arial" w:hAnsi="Arial" w:cs="Arial"/>
          <w:b/>
          <w:sz w:val="24"/>
          <w:szCs w:val="24"/>
          <w:lang w:val="es-ES"/>
        </w:rPr>
        <w:t>contable</w:t>
      </w:r>
      <w:r w:rsidRPr="00712618">
        <w:rPr>
          <w:rFonts w:ascii="Arial" w:eastAsia="Arial" w:hAnsi="Arial" w:cs="Arial"/>
          <w:b/>
          <w:sz w:val="24"/>
          <w:szCs w:val="24"/>
        </w:rPr>
        <w:t xml:space="preserve"> de ingresos y egresos.</w:t>
      </w:r>
    </w:p>
    <w:p w14:paraId="37B8A7A9" w14:textId="77777777" w:rsidR="00712618" w:rsidRPr="00712618" w:rsidRDefault="00712618" w:rsidP="00712618">
      <w:pPr>
        <w:tabs>
          <w:tab w:val="left" w:pos="1560"/>
        </w:tabs>
        <w:ind w:right="1065"/>
        <w:jc w:val="both"/>
        <w:rPr>
          <w:b/>
          <w:sz w:val="24"/>
          <w:szCs w:val="24"/>
        </w:rPr>
      </w:pPr>
    </w:p>
    <w:p w14:paraId="4204D397" w14:textId="77777777" w:rsidR="00712618" w:rsidRPr="00712618" w:rsidRDefault="00712618" w:rsidP="00712618">
      <w:pPr>
        <w:spacing w:line="276" w:lineRule="auto"/>
        <w:ind w:left="283" w:right="49"/>
        <w:jc w:val="both"/>
        <w:rPr>
          <w:rFonts w:ascii="Arial" w:hAnsi="Arial" w:cs="Arial"/>
          <w:sz w:val="24"/>
          <w:szCs w:val="24"/>
          <w:u w:val="single"/>
        </w:rPr>
      </w:pPr>
      <w:r w:rsidRPr="00712618">
        <w:rPr>
          <w:rFonts w:ascii="Arial" w:hAnsi="Arial" w:cs="Arial"/>
          <w:sz w:val="24"/>
          <w:szCs w:val="24"/>
          <w:u w:val="single"/>
        </w:rPr>
        <w:t xml:space="preserve">I. Precisiones respecto al flujo de los ingresos: </w:t>
      </w:r>
    </w:p>
    <w:p w14:paraId="4E360F7D" w14:textId="77777777" w:rsidR="00712618" w:rsidRPr="00712618" w:rsidRDefault="00712618" w:rsidP="00712618">
      <w:pPr>
        <w:spacing w:line="276" w:lineRule="auto"/>
        <w:ind w:left="283" w:right="49"/>
        <w:jc w:val="both"/>
        <w:rPr>
          <w:rFonts w:ascii="Arial" w:hAnsi="Arial" w:cs="Arial"/>
          <w:sz w:val="24"/>
          <w:szCs w:val="24"/>
        </w:rPr>
      </w:pPr>
      <w:r w:rsidRPr="00712618">
        <w:rPr>
          <w:rFonts w:ascii="Arial" w:hAnsi="Arial" w:cs="Arial"/>
          <w:sz w:val="24"/>
          <w:szCs w:val="24"/>
        </w:rPr>
        <w:t xml:space="preserve">Los porcentajes mostrados, representan el avance en la recaudación de los recursos en relación al presupuesto estimado, de manera acumulada en cada uno de los periodos; siendo que, para el cuarto trimestre, el porcentaje representa el avance en el cumplimiento de todo el ejercicio fiscal. </w:t>
      </w:r>
    </w:p>
    <w:p w14:paraId="0AFCFAC4" w14:textId="77777777" w:rsidR="00712618" w:rsidRPr="00712618" w:rsidRDefault="00712618" w:rsidP="00712618">
      <w:pPr>
        <w:spacing w:line="276" w:lineRule="auto"/>
        <w:ind w:left="283" w:right="49"/>
        <w:jc w:val="both"/>
        <w:rPr>
          <w:rFonts w:ascii="Arial" w:hAnsi="Arial" w:cs="Arial"/>
          <w:sz w:val="10"/>
          <w:szCs w:val="24"/>
        </w:rPr>
      </w:pPr>
    </w:p>
    <w:p w14:paraId="262CE834" w14:textId="77777777" w:rsidR="00712618" w:rsidRPr="00712618" w:rsidRDefault="00712618" w:rsidP="00712618">
      <w:pPr>
        <w:spacing w:line="276" w:lineRule="auto"/>
        <w:ind w:left="283" w:right="49"/>
        <w:jc w:val="both"/>
        <w:rPr>
          <w:rFonts w:ascii="Arial" w:hAnsi="Arial" w:cs="Arial"/>
          <w:sz w:val="24"/>
          <w:szCs w:val="24"/>
        </w:rPr>
      </w:pPr>
      <w:r w:rsidRPr="00712618">
        <w:rPr>
          <w:rFonts w:ascii="Arial" w:hAnsi="Arial" w:cs="Arial"/>
          <w:sz w:val="24"/>
          <w:szCs w:val="24"/>
        </w:rPr>
        <w:t xml:space="preserve">Donde, el </w:t>
      </w:r>
      <w:r w:rsidRPr="00712618">
        <w:rPr>
          <w:rFonts w:ascii="Arial" w:hAnsi="Arial" w:cs="Arial"/>
          <w:b/>
          <w:sz w:val="24"/>
          <w:szCs w:val="24"/>
        </w:rPr>
        <w:t>ingreso estimado</w:t>
      </w:r>
      <w:r w:rsidRPr="00712618">
        <w:rPr>
          <w:rFonts w:ascii="Arial" w:hAnsi="Arial" w:cs="Arial"/>
          <w:sz w:val="24"/>
          <w:szCs w:val="24"/>
        </w:rPr>
        <w:t xml:space="preserve">, es el momento contable que refleja los montos previstos que se aprueban anualmente en la Ley de Ingresos. Y el </w:t>
      </w:r>
      <w:r w:rsidRPr="00712618">
        <w:rPr>
          <w:rFonts w:ascii="Arial" w:hAnsi="Arial" w:cs="Arial"/>
          <w:b/>
          <w:sz w:val="24"/>
          <w:szCs w:val="24"/>
        </w:rPr>
        <w:t>ingreso recaudado</w:t>
      </w:r>
      <w:r w:rsidRPr="00712618">
        <w:rPr>
          <w:rFonts w:ascii="Arial" w:hAnsi="Arial" w:cs="Arial"/>
          <w:sz w:val="24"/>
          <w:szCs w:val="24"/>
        </w:rPr>
        <w:t>, es el momento contable que refleja el cobro en efectivo o cualquier otro medio de pago, de los recursos.</w:t>
      </w:r>
    </w:p>
    <w:p w14:paraId="23D4D2CE" w14:textId="77777777" w:rsidR="00712618" w:rsidRPr="00712618" w:rsidRDefault="00712618" w:rsidP="00712618">
      <w:pPr>
        <w:tabs>
          <w:tab w:val="left" w:pos="1560"/>
        </w:tabs>
        <w:spacing w:line="276" w:lineRule="auto"/>
        <w:ind w:left="1560" w:right="1065"/>
        <w:jc w:val="both"/>
        <w:rPr>
          <w:rFonts w:ascii="Arial" w:hAnsi="Arial" w:cs="Arial"/>
          <w:sz w:val="8"/>
          <w:szCs w:val="24"/>
        </w:rPr>
      </w:pPr>
    </w:p>
    <w:p w14:paraId="36A8005A" w14:textId="77777777" w:rsidR="00712618" w:rsidRPr="00712618" w:rsidRDefault="00712618" w:rsidP="00712618">
      <w:pPr>
        <w:spacing w:line="276" w:lineRule="auto"/>
        <w:ind w:left="283" w:right="49"/>
        <w:jc w:val="both"/>
        <w:rPr>
          <w:rFonts w:ascii="Arial" w:hAnsi="Arial" w:cs="Arial"/>
          <w:sz w:val="24"/>
          <w:szCs w:val="24"/>
          <w:u w:val="single"/>
        </w:rPr>
      </w:pPr>
      <w:r w:rsidRPr="00712618">
        <w:rPr>
          <w:rFonts w:ascii="Arial" w:hAnsi="Arial" w:cs="Arial"/>
          <w:sz w:val="24"/>
          <w:szCs w:val="24"/>
          <w:u w:val="single"/>
        </w:rPr>
        <w:t xml:space="preserve">II. Precisiones respecto al flujo de los egresos: </w:t>
      </w:r>
    </w:p>
    <w:p w14:paraId="66225C87" w14:textId="77777777" w:rsidR="00712618" w:rsidRPr="00712618" w:rsidRDefault="00712618" w:rsidP="00712618">
      <w:pPr>
        <w:spacing w:line="276" w:lineRule="auto"/>
        <w:ind w:left="283"/>
        <w:jc w:val="both"/>
        <w:rPr>
          <w:rFonts w:ascii="Arial" w:hAnsi="Arial" w:cs="Arial"/>
          <w:sz w:val="24"/>
          <w:szCs w:val="24"/>
        </w:rPr>
      </w:pPr>
      <w:r w:rsidRPr="00712618">
        <w:rPr>
          <w:rFonts w:ascii="Arial" w:hAnsi="Arial" w:cs="Arial"/>
          <w:sz w:val="24"/>
          <w:szCs w:val="24"/>
        </w:rPr>
        <w:t>Los porcentajes mostrados, representan el avance en el devengo de los recursos en relación al presupuesto modificado, de manera acumulada en cada uno de los periodos; siendo que, para el cuarto trimestre, este porcentaje representa el avance en el cumplimiento de todo el ejercicio fiscal.</w:t>
      </w:r>
    </w:p>
    <w:p w14:paraId="4F448D18" w14:textId="77777777" w:rsidR="00712618" w:rsidRPr="00712618" w:rsidRDefault="00712618" w:rsidP="00712618">
      <w:pPr>
        <w:spacing w:line="276" w:lineRule="auto"/>
        <w:ind w:left="283"/>
        <w:jc w:val="both"/>
        <w:rPr>
          <w:rFonts w:ascii="Arial" w:hAnsi="Arial" w:cs="Arial"/>
          <w:sz w:val="8"/>
          <w:szCs w:val="24"/>
        </w:rPr>
      </w:pPr>
    </w:p>
    <w:p w14:paraId="13E5BAB2" w14:textId="77777777" w:rsidR="00712618" w:rsidRPr="00712618" w:rsidRDefault="00712618" w:rsidP="00712618">
      <w:pPr>
        <w:spacing w:line="276" w:lineRule="auto"/>
        <w:ind w:left="283"/>
        <w:jc w:val="both"/>
        <w:rPr>
          <w:sz w:val="24"/>
          <w:szCs w:val="24"/>
        </w:rPr>
      </w:pPr>
      <w:r w:rsidRPr="00712618">
        <w:rPr>
          <w:rFonts w:ascii="Arial" w:hAnsi="Arial" w:cs="Arial"/>
          <w:sz w:val="24"/>
          <w:szCs w:val="24"/>
        </w:rPr>
        <w:t xml:space="preserve">Donde el </w:t>
      </w:r>
      <w:r w:rsidRPr="00712618">
        <w:rPr>
          <w:rFonts w:ascii="Arial" w:hAnsi="Arial" w:cs="Arial"/>
          <w:b/>
          <w:sz w:val="24"/>
          <w:szCs w:val="24"/>
        </w:rPr>
        <w:t>gasto modificado,</w:t>
      </w:r>
      <w:r w:rsidRPr="00712618">
        <w:rPr>
          <w:rFonts w:ascii="Arial" w:hAnsi="Arial" w:cs="Arial"/>
          <w:sz w:val="24"/>
          <w:szCs w:val="24"/>
        </w:rPr>
        <w:t xml:space="preserve"> es el momento contable que refleja la asignación presupuestaria que resulta de incorporar, en su caso, las adecuaciones presupuestarias al presupuesto aprobado. Y el </w:t>
      </w:r>
      <w:r w:rsidRPr="00712618">
        <w:rPr>
          <w:rFonts w:ascii="Arial" w:hAnsi="Arial" w:cs="Arial"/>
          <w:b/>
          <w:sz w:val="24"/>
          <w:szCs w:val="24"/>
        </w:rPr>
        <w:t>gasto devengado</w:t>
      </w:r>
      <w:r w:rsidRPr="00712618">
        <w:rPr>
          <w:rFonts w:ascii="Arial" w:hAnsi="Arial" w:cs="Arial"/>
          <w:sz w:val="24"/>
          <w:szCs w:val="24"/>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r w:rsidRPr="00712618">
        <w:rPr>
          <w:sz w:val="24"/>
          <w:szCs w:val="24"/>
        </w:rPr>
        <w:br w:type="page"/>
      </w:r>
    </w:p>
    <w:p w14:paraId="6F38047F" w14:textId="77777777" w:rsidR="00712618" w:rsidRPr="00712618" w:rsidRDefault="00712618" w:rsidP="00712618">
      <w:pPr>
        <w:ind w:right="49"/>
        <w:rPr>
          <w:rFonts w:ascii="Arial" w:hAnsi="Arial" w:cs="Arial"/>
          <w:b/>
          <w:sz w:val="24"/>
          <w:szCs w:val="24"/>
        </w:rPr>
      </w:pPr>
      <w:r w:rsidRPr="00712618">
        <w:rPr>
          <w:rFonts w:ascii="Arial" w:hAnsi="Arial" w:cs="Arial"/>
          <w:b/>
          <w:sz w:val="24"/>
          <w:szCs w:val="24"/>
        </w:rPr>
        <w:lastRenderedPageBreak/>
        <w:t>Información correspondiente al flujo contable de ingresos:</w:t>
      </w:r>
    </w:p>
    <w:p w14:paraId="53116110" w14:textId="77777777" w:rsidR="00712618" w:rsidRPr="00712618" w:rsidRDefault="00712618" w:rsidP="00712618">
      <w:pPr>
        <w:widowControl w:val="0"/>
        <w:autoSpaceDE w:val="0"/>
        <w:autoSpaceDN w:val="0"/>
        <w:spacing w:after="0" w:line="240" w:lineRule="auto"/>
        <w:ind w:left="426" w:right="1065"/>
        <w:jc w:val="both"/>
        <w:rPr>
          <w:rFonts w:ascii="Arial" w:eastAsia="Arial" w:hAnsi="Arial" w:cs="Arial"/>
          <w:b/>
          <w:sz w:val="20"/>
          <w:szCs w:val="20"/>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
        <w:gridCol w:w="1259"/>
        <w:gridCol w:w="1422"/>
        <w:gridCol w:w="1510"/>
        <w:gridCol w:w="1168"/>
        <w:gridCol w:w="3064"/>
      </w:tblGrid>
      <w:tr w:rsidR="00712618" w:rsidRPr="00712618" w14:paraId="2328B7DB" w14:textId="77777777" w:rsidTr="009E04D5">
        <w:trPr>
          <w:trHeight w:val="329"/>
          <w:tblHeader/>
          <w:jc w:val="center"/>
        </w:trPr>
        <w:tc>
          <w:tcPr>
            <w:tcW w:w="9621" w:type="dxa"/>
            <w:gridSpan w:val="6"/>
            <w:tcBorders>
              <w:top w:val="single" w:sz="4" w:space="0" w:color="auto"/>
              <w:left w:val="single" w:sz="4" w:space="0" w:color="auto"/>
              <w:bottom w:val="single" w:sz="4" w:space="0" w:color="auto"/>
              <w:right w:val="single" w:sz="4" w:space="0" w:color="auto"/>
            </w:tcBorders>
            <w:shd w:val="clear" w:color="auto" w:fill="9E9142"/>
            <w:vAlign w:val="center"/>
          </w:tcPr>
          <w:p w14:paraId="5CC5966D" w14:textId="77777777" w:rsidR="00712618" w:rsidRPr="00712618" w:rsidRDefault="00712618" w:rsidP="00712618">
            <w:pPr>
              <w:tabs>
                <w:tab w:val="left" w:pos="1530"/>
              </w:tabs>
              <w:ind w:left="-91" w:right="-106"/>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RESUMEN DE AVANCE DE GESTIÓN FINANCIERA DE LOS INGRESOS DEL EJERCICIO</w:t>
            </w:r>
            <w:r w:rsidR="001376C7">
              <w:rPr>
                <w:rFonts w:ascii="Arial" w:hAnsi="Arial" w:cs="Arial"/>
                <w:b/>
                <w:color w:val="FFFFFF" w:themeColor="background1"/>
                <w:sz w:val="14"/>
                <w:szCs w:val="14"/>
              </w:rPr>
              <w:t xml:space="preserve"> </w:t>
            </w:r>
            <w:r w:rsidRPr="00712618">
              <w:rPr>
                <w:rFonts w:ascii="Arial" w:hAnsi="Arial" w:cs="Arial"/>
                <w:b/>
                <w:color w:val="FFFFFF" w:themeColor="background1"/>
                <w:sz w:val="14"/>
                <w:szCs w:val="14"/>
              </w:rPr>
              <w:t>FISCAL 2022</w:t>
            </w:r>
          </w:p>
        </w:tc>
      </w:tr>
      <w:tr w:rsidR="00712618" w:rsidRPr="00712618" w14:paraId="369B2C2F" w14:textId="77777777" w:rsidTr="009E04D5">
        <w:trPr>
          <w:trHeight w:val="895"/>
          <w:tblHeader/>
          <w:jc w:val="center"/>
        </w:trPr>
        <w:tc>
          <w:tcPr>
            <w:tcW w:w="418" w:type="dxa"/>
            <w:tcBorders>
              <w:top w:val="single" w:sz="4" w:space="0" w:color="auto"/>
              <w:left w:val="single" w:sz="4" w:space="0" w:color="auto"/>
              <w:bottom w:val="single" w:sz="4" w:space="0" w:color="auto"/>
              <w:right w:val="single" w:sz="4" w:space="0" w:color="auto"/>
            </w:tcBorders>
            <w:shd w:val="clear" w:color="auto" w:fill="9E9142"/>
            <w:vAlign w:val="center"/>
          </w:tcPr>
          <w:p w14:paraId="6C220161" w14:textId="77777777" w:rsidR="00712618" w:rsidRPr="00712618" w:rsidRDefault="00712618" w:rsidP="00712618">
            <w:pPr>
              <w:tabs>
                <w:tab w:val="left" w:pos="1530"/>
              </w:tabs>
              <w:ind w:left="-115" w:right="-92"/>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No.</w:t>
            </w:r>
          </w:p>
        </w:tc>
        <w:tc>
          <w:tcPr>
            <w:tcW w:w="1259" w:type="dxa"/>
            <w:tcBorders>
              <w:top w:val="single" w:sz="4" w:space="0" w:color="auto"/>
              <w:left w:val="single" w:sz="4" w:space="0" w:color="auto"/>
              <w:bottom w:val="single" w:sz="4" w:space="0" w:color="auto"/>
              <w:right w:val="single" w:sz="4" w:space="0" w:color="auto"/>
            </w:tcBorders>
            <w:shd w:val="clear" w:color="auto" w:fill="9E9142"/>
            <w:vAlign w:val="center"/>
          </w:tcPr>
          <w:p w14:paraId="6F9BE89C" w14:textId="77777777" w:rsidR="00712618" w:rsidRPr="00712618" w:rsidRDefault="00712618" w:rsidP="00712618">
            <w:pPr>
              <w:tabs>
                <w:tab w:val="left" w:pos="1530"/>
              </w:tabs>
              <w:ind w:right="-132"/>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Entidad</w:t>
            </w:r>
          </w:p>
        </w:tc>
        <w:tc>
          <w:tcPr>
            <w:tcW w:w="1437" w:type="dxa"/>
            <w:tcBorders>
              <w:top w:val="single" w:sz="4" w:space="0" w:color="auto"/>
              <w:left w:val="single" w:sz="4" w:space="0" w:color="auto"/>
              <w:bottom w:val="single" w:sz="4" w:space="0" w:color="auto"/>
              <w:right w:val="single" w:sz="4" w:space="0" w:color="auto"/>
            </w:tcBorders>
            <w:shd w:val="clear" w:color="auto" w:fill="9E9142"/>
            <w:vAlign w:val="center"/>
          </w:tcPr>
          <w:p w14:paraId="4B37AAF9" w14:textId="77777777" w:rsidR="00712618" w:rsidRPr="00712618" w:rsidRDefault="00712618" w:rsidP="00712618">
            <w:pPr>
              <w:tabs>
                <w:tab w:val="left" w:pos="1530"/>
              </w:tabs>
              <w:ind w:left="-135" w:right="-158"/>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Ingreso Estimado</w:t>
            </w:r>
          </w:p>
        </w:tc>
        <w:tc>
          <w:tcPr>
            <w:tcW w:w="1559" w:type="dxa"/>
            <w:tcBorders>
              <w:top w:val="single" w:sz="4" w:space="0" w:color="auto"/>
              <w:left w:val="single" w:sz="4" w:space="0" w:color="auto"/>
              <w:bottom w:val="single" w:sz="4" w:space="0" w:color="auto"/>
              <w:right w:val="single" w:sz="4" w:space="0" w:color="auto"/>
            </w:tcBorders>
            <w:shd w:val="clear" w:color="auto" w:fill="9E9142"/>
            <w:vAlign w:val="center"/>
          </w:tcPr>
          <w:p w14:paraId="31A6E780" w14:textId="77777777" w:rsidR="00712618" w:rsidRPr="00712618" w:rsidRDefault="00712618" w:rsidP="00712618">
            <w:pPr>
              <w:tabs>
                <w:tab w:val="left" w:pos="1530"/>
              </w:tabs>
              <w:ind w:right="-129"/>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Ingreso Recaudado</w:t>
            </w:r>
          </w:p>
        </w:tc>
        <w:tc>
          <w:tcPr>
            <w:tcW w:w="1276" w:type="dxa"/>
            <w:tcBorders>
              <w:top w:val="single" w:sz="4" w:space="0" w:color="auto"/>
              <w:left w:val="single" w:sz="4" w:space="0" w:color="auto"/>
              <w:bottom w:val="single" w:sz="4" w:space="0" w:color="auto"/>
              <w:right w:val="single" w:sz="4" w:space="0" w:color="auto"/>
            </w:tcBorders>
            <w:shd w:val="clear" w:color="auto" w:fill="9E9142"/>
            <w:vAlign w:val="center"/>
          </w:tcPr>
          <w:p w14:paraId="6B0BF98E" w14:textId="77777777" w:rsidR="00712618" w:rsidRPr="00712618" w:rsidRDefault="00712618" w:rsidP="00712618">
            <w:pPr>
              <w:tabs>
                <w:tab w:val="left" w:pos="1530"/>
              </w:tabs>
              <w:ind w:right="-106"/>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 xml:space="preserve">Avance en la Captación (%) </w:t>
            </w:r>
          </w:p>
        </w:tc>
        <w:tc>
          <w:tcPr>
            <w:tcW w:w="3672" w:type="dxa"/>
            <w:tcBorders>
              <w:top w:val="single" w:sz="4" w:space="0" w:color="auto"/>
              <w:left w:val="single" w:sz="4" w:space="0" w:color="auto"/>
              <w:bottom w:val="single" w:sz="4" w:space="0" w:color="auto"/>
              <w:right w:val="single" w:sz="4" w:space="0" w:color="auto"/>
            </w:tcBorders>
            <w:shd w:val="clear" w:color="auto" w:fill="9E9142"/>
            <w:vAlign w:val="center"/>
          </w:tcPr>
          <w:p w14:paraId="4571B78B" w14:textId="77777777" w:rsidR="00712618" w:rsidRPr="00712618" w:rsidRDefault="00712618" w:rsidP="00712618">
            <w:pPr>
              <w:tabs>
                <w:tab w:val="left" w:pos="1530"/>
              </w:tabs>
              <w:ind w:right="-37"/>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Comentarios a Justificaciones</w:t>
            </w:r>
          </w:p>
        </w:tc>
      </w:tr>
      <w:tr w:rsidR="00712618" w:rsidRPr="00712618" w14:paraId="26CA373F" w14:textId="77777777" w:rsidTr="009E04D5">
        <w:trPr>
          <w:trHeight w:val="566"/>
          <w:jc w:val="center"/>
        </w:trPr>
        <w:tc>
          <w:tcPr>
            <w:tcW w:w="9621" w:type="dxa"/>
            <w:gridSpan w:val="6"/>
            <w:tcBorders>
              <w:top w:val="single" w:sz="4" w:space="0" w:color="auto"/>
              <w:left w:val="single" w:sz="4" w:space="0" w:color="auto"/>
              <w:bottom w:val="single" w:sz="4" w:space="0" w:color="auto"/>
              <w:right w:val="single" w:sz="4" w:space="0" w:color="auto"/>
            </w:tcBorders>
            <w:shd w:val="clear" w:color="auto" w:fill="9E9142"/>
            <w:vAlign w:val="center"/>
          </w:tcPr>
          <w:p w14:paraId="79FAD4FF" w14:textId="77777777" w:rsidR="00712618" w:rsidRPr="00712618" w:rsidRDefault="00712618" w:rsidP="00712618">
            <w:pPr>
              <w:spacing w:before="120" w:after="120"/>
              <w:ind w:right="18"/>
              <w:jc w:val="center"/>
              <w:rPr>
                <w:rFonts w:ascii="Arial" w:hAnsi="Arial" w:cs="Arial"/>
                <w:sz w:val="14"/>
                <w:szCs w:val="14"/>
              </w:rPr>
            </w:pPr>
            <w:r w:rsidRPr="00712618">
              <w:rPr>
                <w:rFonts w:ascii="Arial" w:hAnsi="Arial" w:cs="Arial"/>
                <w:b/>
                <w:color w:val="FFFFFF" w:themeColor="background1"/>
                <w:sz w:val="14"/>
                <w:szCs w:val="14"/>
              </w:rPr>
              <w:t>PODERES</w:t>
            </w:r>
          </w:p>
        </w:tc>
      </w:tr>
      <w:tr w:rsidR="00712618" w:rsidRPr="00712618" w14:paraId="3353ADE4" w14:textId="77777777" w:rsidTr="009E04D5">
        <w:trPr>
          <w:trHeight w:val="3258"/>
          <w:jc w:val="center"/>
        </w:trPr>
        <w:tc>
          <w:tcPr>
            <w:tcW w:w="418" w:type="dxa"/>
            <w:tcBorders>
              <w:top w:val="single" w:sz="4" w:space="0" w:color="auto"/>
            </w:tcBorders>
            <w:vAlign w:val="center"/>
          </w:tcPr>
          <w:p w14:paraId="36B62210"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1</w:t>
            </w:r>
          </w:p>
        </w:tc>
        <w:tc>
          <w:tcPr>
            <w:tcW w:w="1259" w:type="dxa"/>
            <w:tcBorders>
              <w:top w:val="single" w:sz="4" w:space="0" w:color="auto"/>
            </w:tcBorders>
            <w:shd w:val="clear" w:color="auto" w:fill="auto"/>
            <w:vAlign w:val="center"/>
          </w:tcPr>
          <w:p w14:paraId="04457FCE" w14:textId="77777777" w:rsidR="00712618" w:rsidRPr="00712618" w:rsidRDefault="00712618" w:rsidP="005C7263">
            <w:pPr>
              <w:adjustRightInd w:val="0"/>
              <w:spacing w:before="120" w:after="120"/>
              <w:ind w:left="-99"/>
              <w:jc w:val="both"/>
              <w:rPr>
                <w:rFonts w:ascii="Arial" w:hAnsi="Arial" w:cs="Arial"/>
                <w:color w:val="000000"/>
                <w:sz w:val="14"/>
                <w:szCs w:val="14"/>
              </w:rPr>
            </w:pPr>
            <w:r w:rsidRPr="00712618">
              <w:rPr>
                <w:rFonts w:ascii="Arial" w:hAnsi="Arial" w:cs="Arial"/>
                <w:color w:val="000000"/>
                <w:sz w:val="14"/>
                <w:szCs w:val="14"/>
              </w:rPr>
              <w:t xml:space="preserve">H. Poder Ejecutivo </w:t>
            </w:r>
          </w:p>
        </w:tc>
        <w:tc>
          <w:tcPr>
            <w:tcW w:w="1437" w:type="dxa"/>
            <w:tcBorders>
              <w:top w:val="single" w:sz="4" w:space="0" w:color="auto"/>
            </w:tcBorders>
            <w:shd w:val="clear" w:color="auto" w:fill="auto"/>
            <w:vAlign w:val="center"/>
          </w:tcPr>
          <w:p w14:paraId="7944B9F4"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34,611,211,821.00</w:t>
            </w:r>
          </w:p>
        </w:tc>
        <w:tc>
          <w:tcPr>
            <w:tcW w:w="1559" w:type="dxa"/>
            <w:tcBorders>
              <w:top w:val="single" w:sz="4" w:space="0" w:color="auto"/>
            </w:tcBorders>
            <w:shd w:val="clear" w:color="auto" w:fill="auto"/>
            <w:vAlign w:val="center"/>
          </w:tcPr>
          <w:p w14:paraId="5C9EC7B7"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40,839,556,796.54</w:t>
            </w:r>
          </w:p>
        </w:tc>
        <w:tc>
          <w:tcPr>
            <w:tcW w:w="1276" w:type="dxa"/>
            <w:tcBorders>
              <w:top w:val="single" w:sz="4" w:space="0" w:color="auto"/>
            </w:tcBorders>
            <w:shd w:val="clear" w:color="auto" w:fill="auto"/>
            <w:vAlign w:val="center"/>
          </w:tcPr>
          <w:p w14:paraId="52609DE8"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118.00</w:t>
            </w:r>
          </w:p>
        </w:tc>
        <w:tc>
          <w:tcPr>
            <w:tcW w:w="3672" w:type="dxa"/>
            <w:tcBorders>
              <w:top w:val="single" w:sz="4" w:space="0" w:color="auto"/>
            </w:tcBorders>
            <w:shd w:val="clear" w:color="auto" w:fill="auto"/>
            <w:vAlign w:val="center"/>
          </w:tcPr>
          <w:p w14:paraId="5F96B2B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El Impuesto al Hospedaje se incrementó el 58%, así como el Impuesto sobre Nómina con 33% y un 33% en el impuesto Cedular por la enajenación de bienes inmuebles; incremento en los ingresos adicionales por concepto de Rendimientos Financieros; ingresos atípicos por concepto de ingreso por seguro de cobertura de tasa (swap), Recursos del Convenio AGEPRO-SEFIPLAN; aumento de arribo de turistas dejando una recaudación positiva en los ingresos por concepto de Explotación de bienes muebles e inmuebles (VISITAX); se recibieron más recursos del Fondo de Aportaciones para la Nómina Educativa y Gasto Operativo, al igual que el Fondo de Aportaciones para la Infraestructura Social Municipal. Se superó el cobro de Incentivos de ISR de Bienes Inmuebles; se dispuso de ingresos derivados de financiamientos en el cuarto trimestre de 2022 para cubrir insuficiencias de liquidez de carácter temporal. Contrató crédito simple quirografario: 800 MDP y</w:t>
            </w:r>
            <w:r w:rsidR="001376C7">
              <w:rPr>
                <w:rFonts w:ascii="Arial" w:hAnsi="Arial" w:cs="Arial"/>
                <w:color w:val="000000"/>
                <w:sz w:val="14"/>
                <w:szCs w:val="14"/>
              </w:rPr>
              <w:t xml:space="preserve"> </w:t>
            </w:r>
            <w:r w:rsidRPr="00712618">
              <w:rPr>
                <w:rFonts w:ascii="Arial" w:hAnsi="Arial" w:cs="Arial"/>
                <w:color w:val="000000"/>
                <w:sz w:val="14"/>
                <w:szCs w:val="14"/>
              </w:rPr>
              <w:t>700 MDP.</w:t>
            </w:r>
          </w:p>
        </w:tc>
      </w:tr>
      <w:tr w:rsidR="00712618" w:rsidRPr="00712618" w14:paraId="43D229A9" w14:textId="77777777" w:rsidTr="009E04D5">
        <w:trPr>
          <w:trHeight w:val="1570"/>
          <w:jc w:val="center"/>
        </w:trPr>
        <w:tc>
          <w:tcPr>
            <w:tcW w:w="418" w:type="dxa"/>
            <w:vAlign w:val="center"/>
          </w:tcPr>
          <w:p w14:paraId="2C42C445"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2</w:t>
            </w:r>
          </w:p>
        </w:tc>
        <w:tc>
          <w:tcPr>
            <w:tcW w:w="1259" w:type="dxa"/>
            <w:shd w:val="clear" w:color="auto" w:fill="auto"/>
            <w:vAlign w:val="center"/>
          </w:tcPr>
          <w:p w14:paraId="187046A3"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H. Poder Judicial</w:t>
            </w:r>
          </w:p>
        </w:tc>
        <w:tc>
          <w:tcPr>
            <w:tcW w:w="1437" w:type="dxa"/>
            <w:shd w:val="clear" w:color="auto" w:fill="auto"/>
            <w:vAlign w:val="center"/>
          </w:tcPr>
          <w:p w14:paraId="26529E34"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718,861,609.00</w:t>
            </w:r>
          </w:p>
        </w:tc>
        <w:tc>
          <w:tcPr>
            <w:tcW w:w="1559" w:type="dxa"/>
            <w:shd w:val="clear" w:color="auto" w:fill="auto"/>
            <w:vAlign w:val="center"/>
          </w:tcPr>
          <w:p w14:paraId="4A8BF334"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743,243,869.85</w:t>
            </w:r>
          </w:p>
        </w:tc>
        <w:tc>
          <w:tcPr>
            <w:tcW w:w="1276" w:type="dxa"/>
            <w:shd w:val="clear" w:color="auto" w:fill="auto"/>
            <w:vAlign w:val="center"/>
          </w:tcPr>
          <w:p w14:paraId="75FDE23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103.39</w:t>
            </w:r>
          </w:p>
        </w:tc>
        <w:tc>
          <w:tcPr>
            <w:tcW w:w="3672" w:type="dxa"/>
            <w:shd w:val="clear" w:color="auto" w:fill="auto"/>
            <w:vAlign w:val="center"/>
          </w:tcPr>
          <w:p w14:paraId="27DC2708"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Ampliaciones destinadas a pago de Servicios Personales, capacitaciones, mantenimiento de edificios, compra de mobiliario y equipo de cómputo y Obra para diversas áreas del Poder Judicial; se tuvieron ampliaciones presupuestales de la Reforma Laboral, una reducción al presupuesto del Fondo de Aportaciones para la seguridad Pública y quedó pendiente</w:t>
            </w:r>
            <w:r w:rsidR="001376C7">
              <w:rPr>
                <w:rFonts w:ascii="Arial" w:hAnsi="Arial" w:cs="Arial"/>
                <w:color w:val="000000"/>
                <w:sz w:val="14"/>
                <w:szCs w:val="14"/>
              </w:rPr>
              <w:t xml:space="preserve"> </w:t>
            </w:r>
            <w:r w:rsidRPr="00712618">
              <w:rPr>
                <w:rFonts w:ascii="Arial" w:hAnsi="Arial" w:cs="Arial"/>
                <w:color w:val="000000"/>
                <w:sz w:val="14"/>
                <w:szCs w:val="14"/>
              </w:rPr>
              <w:t>por recaudar de los Servicios Personales 2022 correspondiente a la segunda parte de aguinaldo.</w:t>
            </w:r>
          </w:p>
        </w:tc>
      </w:tr>
      <w:tr w:rsidR="00712618" w:rsidRPr="00712618" w14:paraId="27036AC6" w14:textId="77777777" w:rsidTr="009E04D5">
        <w:trPr>
          <w:trHeight w:val="1271"/>
          <w:jc w:val="center"/>
        </w:trPr>
        <w:tc>
          <w:tcPr>
            <w:tcW w:w="418" w:type="dxa"/>
            <w:vAlign w:val="center"/>
          </w:tcPr>
          <w:p w14:paraId="7095045F"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3</w:t>
            </w:r>
          </w:p>
        </w:tc>
        <w:tc>
          <w:tcPr>
            <w:tcW w:w="1259" w:type="dxa"/>
            <w:shd w:val="clear" w:color="auto" w:fill="auto"/>
            <w:vAlign w:val="center"/>
          </w:tcPr>
          <w:p w14:paraId="1FD59165"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H. Poder Legislativo*</w:t>
            </w:r>
          </w:p>
        </w:tc>
        <w:tc>
          <w:tcPr>
            <w:tcW w:w="1437" w:type="dxa"/>
            <w:shd w:val="clear" w:color="auto" w:fill="auto"/>
            <w:vAlign w:val="center"/>
          </w:tcPr>
          <w:p w14:paraId="5F37A449"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690,506,829.00</w:t>
            </w:r>
          </w:p>
        </w:tc>
        <w:tc>
          <w:tcPr>
            <w:tcW w:w="1559" w:type="dxa"/>
            <w:shd w:val="clear" w:color="auto" w:fill="auto"/>
            <w:vAlign w:val="center"/>
          </w:tcPr>
          <w:p w14:paraId="74A66121"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$683,384,969.06</w:t>
            </w:r>
          </w:p>
        </w:tc>
        <w:tc>
          <w:tcPr>
            <w:tcW w:w="1276" w:type="dxa"/>
            <w:shd w:val="clear" w:color="auto" w:fill="auto"/>
            <w:vAlign w:val="center"/>
          </w:tcPr>
          <w:p w14:paraId="2DE91C4F"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98.97</w:t>
            </w:r>
          </w:p>
        </w:tc>
        <w:tc>
          <w:tcPr>
            <w:tcW w:w="3672" w:type="dxa"/>
            <w:shd w:val="clear" w:color="auto" w:fill="auto"/>
            <w:vAlign w:val="center"/>
          </w:tcPr>
          <w:p w14:paraId="62EFDD2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 Auditoría y Congreso: tuvieron variaciones por rendimientos financieros que generan las cuentas bancarias; Auditoria tuvo ingresos por copias simples y/o certificadas solicitadas por los entes públicos o particulares, recuperación de siniestros; El Congreso tuvo ingresos por concepto de pago de bases de licitación, solicitudes de transparencia y reintegro de seguros.</w:t>
            </w:r>
          </w:p>
        </w:tc>
      </w:tr>
      <w:tr w:rsidR="00712618" w:rsidRPr="00712618" w14:paraId="63299C50" w14:textId="77777777" w:rsidTr="009E04D5">
        <w:trPr>
          <w:trHeight w:val="249"/>
          <w:jc w:val="center"/>
        </w:trPr>
        <w:tc>
          <w:tcPr>
            <w:tcW w:w="418" w:type="dxa"/>
            <w:tcBorders>
              <w:bottom w:val="single" w:sz="4" w:space="0" w:color="auto"/>
            </w:tcBorders>
          </w:tcPr>
          <w:p w14:paraId="4923E65A" w14:textId="77777777" w:rsidR="00712618" w:rsidRPr="00712618" w:rsidRDefault="00712618" w:rsidP="00712618">
            <w:pPr>
              <w:spacing w:before="120" w:after="120"/>
              <w:jc w:val="both"/>
              <w:rPr>
                <w:rFonts w:ascii="Arial" w:hAnsi="Arial" w:cs="Arial"/>
                <w:color w:val="000000"/>
                <w:sz w:val="14"/>
                <w:szCs w:val="14"/>
              </w:rPr>
            </w:pPr>
          </w:p>
        </w:tc>
        <w:tc>
          <w:tcPr>
            <w:tcW w:w="9203" w:type="dxa"/>
            <w:gridSpan w:val="5"/>
            <w:tcBorders>
              <w:bottom w:val="single" w:sz="4" w:space="0" w:color="auto"/>
            </w:tcBorders>
            <w:shd w:val="clear" w:color="auto" w:fill="auto"/>
            <w:vAlign w:val="center"/>
          </w:tcPr>
          <w:p w14:paraId="0148DBE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*Incluye cifras de la Auditoria Superior del Estado</w:t>
            </w:r>
          </w:p>
        </w:tc>
      </w:tr>
      <w:tr w:rsidR="00712618" w:rsidRPr="00712618" w14:paraId="1CC7BE6D" w14:textId="77777777" w:rsidTr="009E04D5">
        <w:trPr>
          <w:trHeight w:val="454"/>
          <w:jc w:val="center"/>
        </w:trPr>
        <w:tc>
          <w:tcPr>
            <w:tcW w:w="9621" w:type="dxa"/>
            <w:gridSpan w:val="6"/>
            <w:tcBorders>
              <w:top w:val="single" w:sz="4" w:space="0" w:color="auto"/>
              <w:left w:val="single" w:sz="4" w:space="0" w:color="auto"/>
              <w:bottom w:val="single" w:sz="4" w:space="0" w:color="auto"/>
              <w:right w:val="single" w:sz="4" w:space="0" w:color="auto"/>
            </w:tcBorders>
            <w:shd w:val="clear" w:color="auto" w:fill="9E9142"/>
            <w:vAlign w:val="center"/>
          </w:tcPr>
          <w:p w14:paraId="4E5E9004" w14:textId="77777777" w:rsidR="00712618" w:rsidRPr="00712618" w:rsidRDefault="00712618" w:rsidP="00712618">
            <w:pPr>
              <w:spacing w:before="120" w:after="120"/>
              <w:ind w:right="18"/>
              <w:jc w:val="center"/>
              <w:rPr>
                <w:rFonts w:ascii="Arial" w:hAnsi="Arial" w:cs="Arial"/>
                <w:sz w:val="14"/>
                <w:szCs w:val="14"/>
              </w:rPr>
            </w:pPr>
            <w:r w:rsidRPr="00712618">
              <w:rPr>
                <w:rFonts w:ascii="Arial" w:hAnsi="Arial" w:cs="Arial"/>
                <w:b/>
                <w:color w:val="FFFFFF" w:themeColor="background1"/>
                <w:sz w:val="14"/>
                <w:szCs w:val="14"/>
              </w:rPr>
              <w:t>ENTIDADES PARAESTATALES</w:t>
            </w:r>
          </w:p>
        </w:tc>
      </w:tr>
      <w:tr w:rsidR="00712618" w:rsidRPr="00712618" w14:paraId="751C6F8E" w14:textId="77777777" w:rsidTr="009E04D5">
        <w:trPr>
          <w:trHeight w:val="633"/>
          <w:jc w:val="center"/>
        </w:trPr>
        <w:tc>
          <w:tcPr>
            <w:tcW w:w="418" w:type="dxa"/>
            <w:tcBorders>
              <w:top w:val="single" w:sz="4" w:space="0" w:color="auto"/>
            </w:tcBorders>
            <w:vAlign w:val="center"/>
          </w:tcPr>
          <w:p w14:paraId="35E10E5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w:t>
            </w:r>
          </w:p>
        </w:tc>
        <w:tc>
          <w:tcPr>
            <w:tcW w:w="1259" w:type="dxa"/>
            <w:tcBorders>
              <w:top w:val="single" w:sz="4" w:space="0" w:color="auto"/>
            </w:tcBorders>
            <w:shd w:val="clear" w:color="auto" w:fill="auto"/>
            <w:vAlign w:val="center"/>
          </w:tcPr>
          <w:p w14:paraId="15EF5ED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bCs/>
                <w:sz w:val="14"/>
                <w:szCs w:val="14"/>
              </w:rPr>
              <w:t>Administración Portuaria Integral de Quintana Roo S.A. de C.V.</w:t>
            </w:r>
          </w:p>
        </w:tc>
        <w:tc>
          <w:tcPr>
            <w:tcW w:w="1437" w:type="dxa"/>
            <w:tcBorders>
              <w:top w:val="single" w:sz="4" w:space="0" w:color="auto"/>
            </w:tcBorders>
            <w:shd w:val="clear" w:color="auto" w:fill="auto"/>
            <w:vAlign w:val="center"/>
          </w:tcPr>
          <w:p w14:paraId="1B1746E3"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137,339,851.82</w:t>
            </w:r>
          </w:p>
        </w:tc>
        <w:tc>
          <w:tcPr>
            <w:tcW w:w="1559" w:type="dxa"/>
            <w:tcBorders>
              <w:top w:val="single" w:sz="4" w:space="0" w:color="auto"/>
            </w:tcBorders>
            <w:shd w:val="clear" w:color="auto" w:fill="auto"/>
            <w:vAlign w:val="center"/>
          </w:tcPr>
          <w:p w14:paraId="67073CF1"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237,012,810.66</w:t>
            </w:r>
          </w:p>
        </w:tc>
        <w:tc>
          <w:tcPr>
            <w:tcW w:w="1276" w:type="dxa"/>
            <w:tcBorders>
              <w:top w:val="single" w:sz="4" w:space="0" w:color="auto"/>
            </w:tcBorders>
            <w:shd w:val="clear" w:color="auto" w:fill="auto"/>
            <w:vAlign w:val="center"/>
          </w:tcPr>
          <w:p w14:paraId="1BB9D88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172.57</w:t>
            </w:r>
          </w:p>
        </w:tc>
        <w:tc>
          <w:tcPr>
            <w:tcW w:w="3672" w:type="dxa"/>
            <w:tcBorders>
              <w:top w:val="single" w:sz="4" w:space="0" w:color="auto"/>
            </w:tcBorders>
            <w:shd w:val="clear" w:color="auto" w:fill="auto"/>
            <w:vAlign w:val="center"/>
          </w:tcPr>
          <w:p w14:paraId="43B44088"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Incremento en las contraprestaciones fija y variables que fueron superiores a lo programado. Así también con el crecimiento en la operación portuaria tanto de pasajeros, embarcaciones y de carga, reflejan una mayor captación en las demás tarifas y se obtuvieron ingresos extraordinarios por pago de reclamación de seguros por daños ocasionados por el huracán Grace.</w:t>
            </w:r>
          </w:p>
        </w:tc>
      </w:tr>
      <w:tr w:rsidR="00712618" w:rsidRPr="00712618" w14:paraId="490DE062" w14:textId="77777777" w:rsidTr="009E04D5">
        <w:trPr>
          <w:trHeight w:val="300"/>
          <w:jc w:val="center"/>
        </w:trPr>
        <w:tc>
          <w:tcPr>
            <w:tcW w:w="418" w:type="dxa"/>
            <w:vAlign w:val="center"/>
          </w:tcPr>
          <w:p w14:paraId="5EF085B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5</w:t>
            </w:r>
          </w:p>
        </w:tc>
        <w:tc>
          <w:tcPr>
            <w:tcW w:w="1259" w:type="dxa"/>
            <w:shd w:val="clear" w:color="auto" w:fill="auto"/>
            <w:vAlign w:val="center"/>
          </w:tcPr>
          <w:p w14:paraId="4C474D8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Agencia de Proyectos Estratégicos del Estado de Quintana Roo </w:t>
            </w:r>
          </w:p>
        </w:tc>
        <w:tc>
          <w:tcPr>
            <w:tcW w:w="1437" w:type="dxa"/>
            <w:shd w:val="clear" w:color="auto" w:fill="auto"/>
            <w:vAlign w:val="center"/>
          </w:tcPr>
          <w:p w14:paraId="6676BBF0"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621,097,408.00</w:t>
            </w:r>
          </w:p>
        </w:tc>
        <w:tc>
          <w:tcPr>
            <w:tcW w:w="1559" w:type="dxa"/>
            <w:shd w:val="clear" w:color="auto" w:fill="auto"/>
            <w:vAlign w:val="center"/>
          </w:tcPr>
          <w:p w14:paraId="7414DC59"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795,670,675.53</w:t>
            </w:r>
          </w:p>
        </w:tc>
        <w:tc>
          <w:tcPr>
            <w:tcW w:w="1276" w:type="dxa"/>
            <w:shd w:val="clear" w:color="auto" w:fill="auto"/>
            <w:vAlign w:val="center"/>
          </w:tcPr>
          <w:p w14:paraId="5F562D5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128.11</w:t>
            </w:r>
          </w:p>
        </w:tc>
        <w:tc>
          <w:tcPr>
            <w:tcW w:w="3672" w:type="dxa"/>
            <w:shd w:val="clear" w:color="auto" w:fill="auto"/>
            <w:vAlign w:val="center"/>
          </w:tcPr>
          <w:p w14:paraId="0815D80B"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concretaron ventas de predios en el cuarto trimestre; se registraron todos los pagos proyectados por concepto de: financiamiento, interés moratorio, titulación y otros ingresos relacionados con las ventas de predios.”</w:t>
            </w:r>
          </w:p>
        </w:tc>
      </w:tr>
      <w:tr w:rsidR="00712618" w:rsidRPr="00712618" w14:paraId="6EF2F2CF" w14:textId="77777777" w:rsidTr="009E04D5">
        <w:trPr>
          <w:trHeight w:val="1523"/>
          <w:jc w:val="center"/>
        </w:trPr>
        <w:tc>
          <w:tcPr>
            <w:tcW w:w="418" w:type="dxa"/>
            <w:vAlign w:val="center"/>
          </w:tcPr>
          <w:p w14:paraId="3465E6E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w:t>
            </w:r>
          </w:p>
        </w:tc>
        <w:tc>
          <w:tcPr>
            <w:tcW w:w="1259" w:type="dxa"/>
            <w:shd w:val="clear" w:color="auto" w:fill="auto"/>
            <w:vAlign w:val="center"/>
          </w:tcPr>
          <w:p w14:paraId="4457AA1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Centro de Estudios de Bachillerato Técnico “Eva Sámano de López Mateos”</w:t>
            </w:r>
          </w:p>
        </w:tc>
        <w:tc>
          <w:tcPr>
            <w:tcW w:w="1437" w:type="dxa"/>
            <w:shd w:val="clear" w:color="auto" w:fill="auto"/>
            <w:vAlign w:val="center"/>
          </w:tcPr>
          <w:p w14:paraId="72263350"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52,399,754.00</w:t>
            </w:r>
          </w:p>
        </w:tc>
        <w:tc>
          <w:tcPr>
            <w:tcW w:w="1559" w:type="dxa"/>
            <w:shd w:val="clear" w:color="auto" w:fill="auto"/>
            <w:vAlign w:val="center"/>
          </w:tcPr>
          <w:p w14:paraId="3E8B6BEA"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43,956,137.00</w:t>
            </w:r>
          </w:p>
        </w:tc>
        <w:tc>
          <w:tcPr>
            <w:tcW w:w="1276" w:type="dxa"/>
            <w:shd w:val="clear" w:color="auto" w:fill="auto"/>
            <w:vAlign w:val="center"/>
          </w:tcPr>
          <w:p w14:paraId="05B7C08F"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83.89</w:t>
            </w:r>
          </w:p>
        </w:tc>
        <w:tc>
          <w:tcPr>
            <w:tcW w:w="3672" w:type="dxa"/>
            <w:shd w:val="clear" w:color="auto" w:fill="auto"/>
            <w:vAlign w:val="center"/>
          </w:tcPr>
          <w:p w14:paraId="7562EB8A"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Debido a que la demanda está sujeta a las solicitudes de los alumnos, los ingresos pueden variar cada semestre, políticas educativas y las aportaciones voluntarias de apoyo a la educación, etc. No se ha podido implementar la recaudación de la modalidad militarizada, ya que están en construcción las instalaciones; economías generadas por políticas de ahorro, austeridad, plazas vacantes, licencias sin goce de sueldo, pago y tramite de únicamente la nómina de personal activo, economías en los procesos de adquisición de materiales, servicios generales, impuestos, etc.</w:t>
            </w:r>
          </w:p>
        </w:tc>
      </w:tr>
      <w:tr w:rsidR="00712618" w:rsidRPr="00712618" w14:paraId="646C8B1C" w14:textId="77777777" w:rsidTr="009E04D5">
        <w:trPr>
          <w:trHeight w:val="868"/>
          <w:jc w:val="center"/>
        </w:trPr>
        <w:tc>
          <w:tcPr>
            <w:tcW w:w="418" w:type="dxa"/>
            <w:vAlign w:val="center"/>
          </w:tcPr>
          <w:p w14:paraId="7959DBC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w:t>
            </w:r>
          </w:p>
        </w:tc>
        <w:tc>
          <w:tcPr>
            <w:tcW w:w="1259" w:type="dxa"/>
            <w:shd w:val="clear" w:color="auto" w:fill="auto"/>
            <w:vAlign w:val="center"/>
          </w:tcPr>
          <w:p w14:paraId="0750F60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Colegio de Bachilleres del Estado de Quintana Roo </w:t>
            </w:r>
          </w:p>
        </w:tc>
        <w:tc>
          <w:tcPr>
            <w:tcW w:w="1437" w:type="dxa"/>
            <w:shd w:val="clear" w:color="auto" w:fill="auto"/>
            <w:vAlign w:val="center"/>
          </w:tcPr>
          <w:p w14:paraId="47FC1056"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803,967,914.00</w:t>
            </w:r>
          </w:p>
        </w:tc>
        <w:tc>
          <w:tcPr>
            <w:tcW w:w="1559" w:type="dxa"/>
            <w:shd w:val="clear" w:color="auto" w:fill="auto"/>
            <w:vAlign w:val="center"/>
          </w:tcPr>
          <w:p w14:paraId="2C0B9540"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820,800,927.67</w:t>
            </w:r>
          </w:p>
        </w:tc>
        <w:tc>
          <w:tcPr>
            <w:tcW w:w="1276" w:type="dxa"/>
            <w:shd w:val="clear" w:color="auto" w:fill="auto"/>
            <w:vAlign w:val="center"/>
          </w:tcPr>
          <w:p w14:paraId="5369823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102.09</w:t>
            </w:r>
          </w:p>
        </w:tc>
        <w:tc>
          <w:tcPr>
            <w:tcW w:w="3672" w:type="dxa"/>
            <w:shd w:val="clear" w:color="auto" w:fill="auto"/>
            <w:vAlign w:val="center"/>
          </w:tcPr>
          <w:p w14:paraId="11B4E97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Captación del servicio de los bachilleratos modulares, así como incremento de nuevos grupos y el regreso a las clases presenciales. Adecuaciones compensadas y ampliaciones presupuestales al capítulo 1000 de la fuente Estatal y Federal.</w:t>
            </w:r>
          </w:p>
        </w:tc>
      </w:tr>
      <w:tr w:rsidR="00712618" w:rsidRPr="00712618" w14:paraId="5C9FFD1E" w14:textId="77777777" w:rsidTr="009E04D5">
        <w:trPr>
          <w:trHeight w:val="1009"/>
          <w:jc w:val="center"/>
        </w:trPr>
        <w:tc>
          <w:tcPr>
            <w:tcW w:w="418" w:type="dxa"/>
            <w:vAlign w:val="center"/>
          </w:tcPr>
          <w:p w14:paraId="3321A31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8</w:t>
            </w:r>
          </w:p>
        </w:tc>
        <w:tc>
          <w:tcPr>
            <w:tcW w:w="1259" w:type="dxa"/>
            <w:shd w:val="clear" w:color="auto" w:fill="auto"/>
            <w:vAlign w:val="center"/>
          </w:tcPr>
          <w:p w14:paraId="2C797A4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Colegio de Educación Profesional Técnica del Estado de Quintana Roo </w:t>
            </w:r>
          </w:p>
        </w:tc>
        <w:tc>
          <w:tcPr>
            <w:tcW w:w="1437" w:type="dxa"/>
            <w:shd w:val="clear" w:color="auto" w:fill="auto"/>
            <w:vAlign w:val="center"/>
          </w:tcPr>
          <w:p w14:paraId="4B53B022"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309,042,807.00</w:t>
            </w:r>
          </w:p>
        </w:tc>
        <w:tc>
          <w:tcPr>
            <w:tcW w:w="1559" w:type="dxa"/>
            <w:shd w:val="clear" w:color="auto" w:fill="auto"/>
            <w:vAlign w:val="center"/>
          </w:tcPr>
          <w:p w14:paraId="6498DBBF"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336,444,185.73</w:t>
            </w:r>
          </w:p>
        </w:tc>
        <w:tc>
          <w:tcPr>
            <w:tcW w:w="1276" w:type="dxa"/>
            <w:shd w:val="clear" w:color="auto" w:fill="auto"/>
            <w:vAlign w:val="center"/>
          </w:tcPr>
          <w:p w14:paraId="57330E98"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108.87</w:t>
            </w:r>
          </w:p>
        </w:tc>
        <w:tc>
          <w:tcPr>
            <w:tcW w:w="3672" w:type="dxa"/>
            <w:shd w:val="clear" w:color="auto" w:fill="auto"/>
            <w:vAlign w:val="center"/>
          </w:tcPr>
          <w:p w14:paraId="5CC3BFBF"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amplió el presupuesto correspondientes al pago de ISR del mes de septiembre de 2016, se recalendarizaron recursos estatales por cambio de fuente de participaciones a empréstitos estatales.</w:t>
            </w:r>
          </w:p>
        </w:tc>
      </w:tr>
      <w:tr w:rsidR="00712618" w:rsidRPr="00712618" w14:paraId="584A107A" w14:textId="77777777" w:rsidTr="009E04D5">
        <w:trPr>
          <w:trHeight w:val="1189"/>
          <w:jc w:val="center"/>
        </w:trPr>
        <w:tc>
          <w:tcPr>
            <w:tcW w:w="418" w:type="dxa"/>
            <w:vAlign w:val="center"/>
          </w:tcPr>
          <w:p w14:paraId="00BE55F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9</w:t>
            </w:r>
          </w:p>
        </w:tc>
        <w:tc>
          <w:tcPr>
            <w:tcW w:w="1259" w:type="dxa"/>
            <w:shd w:val="clear" w:color="auto" w:fill="auto"/>
            <w:vAlign w:val="center"/>
          </w:tcPr>
          <w:p w14:paraId="20F4DE6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Colegio de Estudios Científicos y Tecnológicos del Estado de Quintana Roo </w:t>
            </w:r>
          </w:p>
        </w:tc>
        <w:tc>
          <w:tcPr>
            <w:tcW w:w="1437" w:type="dxa"/>
            <w:shd w:val="clear" w:color="auto" w:fill="auto"/>
            <w:vAlign w:val="center"/>
          </w:tcPr>
          <w:p w14:paraId="6D0561BF"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336,747,411.00</w:t>
            </w:r>
          </w:p>
        </w:tc>
        <w:tc>
          <w:tcPr>
            <w:tcW w:w="1559" w:type="dxa"/>
            <w:shd w:val="clear" w:color="auto" w:fill="auto"/>
            <w:vAlign w:val="center"/>
          </w:tcPr>
          <w:p w14:paraId="0283CE8B"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356,095,082.88</w:t>
            </w:r>
          </w:p>
        </w:tc>
        <w:tc>
          <w:tcPr>
            <w:tcW w:w="1276" w:type="dxa"/>
            <w:shd w:val="clear" w:color="auto" w:fill="auto"/>
            <w:vAlign w:val="center"/>
          </w:tcPr>
          <w:p w14:paraId="159766D1"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105.75</w:t>
            </w:r>
          </w:p>
        </w:tc>
        <w:tc>
          <w:tcPr>
            <w:tcW w:w="3672" w:type="dxa"/>
            <w:shd w:val="clear" w:color="auto" w:fill="auto"/>
            <w:vAlign w:val="center"/>
          </w:tcPr>
          <w:p w14:paraId="6C501BDE"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Ingresos que fueron captados de más; ampliaciones recibidas durante el ejercicio 2022, menos los recursos devengados pendientes de recaudar correspondientes a la segunda parte de aguinaldo, puntualidad y días económicos.</w:t>
            </w:r>
          </w:p>
        </w:tc>
      </w:tr>
      <w:tr w:rsidR="00712618" w:rsidRPr="00712618" w14:paraId="0F8C2F10" w14:textId="77777777" w:rsidTr="00CC276C">
        <w:trPr>
          <w:trHeight w:val="1018"/>
          <w:jc w:val="center"/>
        </w:trPr>
        <w:tc>
          <w:tcPr>
            <w:tcW w:w="418" w:type="dxa"/>
            <w:vAlign w:val="center"/>
          </w:tcPr>
          <w:p w14:paraId="2C6709D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10</w:t>
            </w:r>
          </w:p>
        </w:tc>
        <w:tc>
          <w:tcPr>
            <w:tcW w:w="1259" w:type="dxa"/>
            <w:shd w:val="clear" w:color="auto" w:fill="auto"/>
            <w:vAlign w:val="center"/>
          </w:tcPr>
          <w:p w14:paraId="07F137B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Comisión de Agua Potable y Alcantarillado del Estado de Quintana Roo </w:t>
            </w:r>
          </w:p>
        </w:tc>
        <w:tc>
          <w:tcPr>
            <w:tcW w:w="1437" w:type="dxa"/>
            <w:shd w:val="clear" w:color="auto" w:fill="auto"/>
            <w:vAlign w:val="center"/>
          </w:tcPr>
          <w:p w14:paraId="4BF2A984"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851,371,294.00</w:t>
            </w:r>
          </w:p>
        </w:tc>
        <w:tc>
          <w:tcPr>
            <w:tcW w:w="1559" w:type="dxa"/>
            <w:shd w:val="clear" w:color="auto" w:fill="auto"/>
            <w:vAlign w:val="center"/>
          </w:tcPr>
          <w:p w14:paraId="375DFE7A"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1,314,689,610.18</w:t>
            </w:r>
          </w:p>
        </w:tc>
        <w:tc>
          <w:tcPr>
            <w:tcW w:w="1276" w:type="dxa"/>
            <w:shd w:val="clear" w:color="auto" w:fill="auto"/>
            <w:vAlign w:val="center"/>
          </w:tcPr>
          <w:p w14:paraId="2BF859C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154.42</w:t>
            </w:r>
          </w:p>
        </w:tc>
        <w:tc>
          <w:tcPr>
            <w:tcW w:w="3672" w:type="dxa"/>
            <w:shd w:val="clear" w:color="auto" w:fill="auto"/>
            <w:vAlign w:val="center"/>
          </w:tcPr>
          <w:p w14:paraId="7198D765"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Ingresos mayores a los presupuestados, por concepto concesión de los municipios de Solidaridad, Benito Juárez e Isla Mujeres, así mismo se recaudó un monto mayor de lo presupuestado por concepto de agua, alcantarillado y otros ingresos; el incremento en este rubro se debe a las acciones tomadas dando prioridad a la inversión direccionada a la recuperación de pérdida del vital líquido (instalación de medidores, macro medidores y cambio de la red de distribución en partes donde ya había cumplido su vida útil), ampliación de la red en comunidades rurales y urbanas, incremento en el padrón de usuarios, incremento de la TIIE (Tasa de Interés Interbancaria de Equilibrio), mismo que impacto en un aumento en la tasa de interés,</w:t>
            </w:r>
            <w:r w:rsidR="001376C7">
              <w:rPr>
                <w:rFonts w:ascii="Arial" w:hAnsi="Arial" w:cs="Arial"/>
                <w:color w:val="000000"/>
                <w:sz w:val="14"/>
                <w:szCs w:val="14"/>
              </w:rPr>
              <w:t xml:space="preserve"> </w:t>
            </w:r>
            <w:r w:rsidRPr="00712618">
              <w:rPr>
                <w:rFonts w:ascii="Arial" w:hAnsi="Arial" w:cs="Arial"/>
                <w:color w:val="000000"/>
                <w:sz w:val="14"/>
                <w:szCs w:val="14"/>
              </w:rPr>
              <w:t xml:space="preserve">incremento en la recuperación del programa de apoyo a usuarios, con tinacos para almacenamiento de agua en las colonias y comunidades que presentaban problemas de baja presión en el suministro de agua o que se tiene un programa de tandeo del servicio prestado; así como la inscripción a concursos de licitaciones que fue mayor a lo programado; se han recibido recursos como contraparte de </w:t>
            </w:r>
            <w:r w:rsidRPr="00712618">
              <w:rPr>
                <w:rFonts w:ascii="Arial" w:hAnsi="Arial" w:cs="Arial"/>
                <w:color w:val="000000"/>
                <w:sz w:val="14"/>
                <w:szCs w:val="14"/>
              </w:rPr>
              <w:lastRenderedPageBreak/>
              <w:t xml:space="preserve">la aportación del programa PROSANEAR (Recursos de Libre Disposición), Así mismo se recibieron recursos para el mantenimiento de las subestaciones eléctricas de cárcamos plantas </w:t>
            </w:r>
            <w:r w:rsidRPr="00CC276C">
              <w:rPr>
                <w:rFonts w:ascii="Arial" w:hAnsi="Arial" w:cs="Arial"/>
                <w:b/>
                <w:color w:val="000000"/>
                <w:sz w:val="14"/>
                <w:szCs w:val="14"/>
              </w:rPr>
              <w:t>de tr</w:t>
            </w:r>
            <w:r w:rsidRPr="00712618">
              <w:rPr>
                <w:rFonts w:ascii="Arial" w:hAnsi="Arial" w:cs="Arial"/>
                <w:color w:val="000000"/>
                <w:sz w:val="14"/>
                <w:szCs w:val="14"/>
              </w:rPr>
              <w:t>atamiento.</w:t>
            </w:r>
          </w:p>
        </w:tc>
      </w:tr>
      <w:tr w:rsidR="00712618" w:rsidRPr="00712618" w14:paraId="774C3DD8" w14:textId="77777777" w:rsidTr="009E04D5">
        <w:trPr>
          <w:trHeight w:val="300"/>
          <w:jc w:val="center"/>
        </w:trPr>
        <w:tc>
          <w:tcPr>
            <w:tcW w:w="418" w:type="dxa"/>
            <w:vAlign w:val="center"/>
          </w:tcPr>
          <w:p w14:paraId="0FF6258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11</w:t>
            </w:r>
          </w:p>
        </w:tc>
        <w:tc>
          <w:tcPr>
            <w:tcW w:w="1259" w:type="dxa"/>
            <w:shd w:val="clear" w:color="auto" w:fill="auto"/>
            <w:vAlign w:val="center"/>
          </w:tcPr>
          <w:p w14:paraId="710B303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Comisión Ejecutiva de Atención a Víctimas del Estado de Quintana Roo</w:t>
            </w:r>
          </w:p>
        </w:tc>
        <w:tc>
          <w:tcPr>
            <w:tcW w:w="1437" w:type="dxa"/>
            <w:shd w:val="clear" w:color="auto" w:fill="auto"/>
            <w:vAlign w:val="center"/>
          </w:tcPr>
          <w:p w14:paraId="5544BAD1"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33,414,561.00</w:t>
            </w:r>
          </w:p>
        </w:tc>
        <w:tc>
          <w:tcPr>
            <w:tcW w:w="1559" w:type="dxa"/>
            <w:shd w:val="clear" w:color="auto" w:fill="auto"/>
            <w:vAlign w:val="center"/>
          </w:tcPr>
          <w:p w14:paraId="48BFB6DF"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31,135,279.43</w:t>
            </w:r>
          </w:p>
        </w:tc>
        <w:tc>
          <w:tcPr>
            <w:tcW w:w="1276" w:type="dxa"/>
            <w:shd w:val="clear" w:color="auto" w:fill="auto"/>
            <w:vAlign w:val="center"/>
          </w:tcPr>
          <w:p w14:paraId="7DD765C5"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93.18</w:t>
            </w:r>
          </w:p>
        </w:tc>
        <w:tc>
          <w:tcPr>
            <w:tcW w:w="3672" w:type="dxa"/>
            <w:shd w:val="clear" w:color="auto" w:fill="auto"/>
            <w:vAlign w:val="center"/>
          </w:tcPr>
          <w:p w14:paraId="4B6831D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Incremento de los rendimientos del FAARI; ampliación originada por la asignación del Proyecto del Fondo de Aportaciones para la Seguridad Publica de los Estados y el DF. (FASP), y por la autorización de la ampliación de servicios generales para cumplir con la operatividad de este organismo. Falta de ministración por parte de la SEFIPLAN del recurso destinado para el pago de servicios personales.</w:t>
            </w:r>
          </w:p>
        </w:tc>
      </w:tr>
      <w:tr w:rsidR="00712618" w:rsidRPr="00712618" w14:paraId="3164DC96" w14:textId="77777777" w:rsidTr="009E04D5">
        <w:trPr>
          <w:trHeight w:val="1717"/>
          <w:jc w:val="center"/>
        </w:trPr>
        <w:tc>
          <w:tcPr>
            <w:tcW w:w="418" w:type="dxa"/>
            <w:vAlign w:val="center"/>
          </w:tcPr>
          <w:p w14:paraId="42ED91A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12</w:t>
            </w:r>
          </w:p>
        </w:tc>
        <w:tc>
          <w:tcPr>
            <w:tcW w:w="1259" w:type="dxa"/>
            <w:shd w:val="clear" w:color="auto" w:fill="auto"/>
            <w:vAlign w:val="center"/>
          </w:tcPr>
          <w:p w14:paraId="2EF8F1F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Comisión para la Juventud y el Deporte de Quintana Roo </w:t>
            </w:r>
          </w:p>
        </w:tc>
        <w:tc>
          <w:tcPr>
            <w:tcW w:w="1437" w:type="dxa"/>
            <w:shd w:val="clear" w:color="auto" w:fill="auto"/>
            <w:vAlign w:val="center"/>
          </w:tcPr>
          <w:p w14:paraId="1F671262"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262,422,150.00</w:t>
            </w:r>
          </w:p>
        </w:tc>
        <w:tc>
          <w:tcPr>
            <w:tcW w:w="1559" w:type="dxa"/>
            <w:shd w:val="clear" w:color="auto" w:fill="auto"/>
            <w:vAlign w:val="center"/>
          </w:tcPr>
          <w:p w14:paraId="5038ECED"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294,318,609.85</w:t>
            </w:r>
          </w:p>
        </w:tc>
        <w:tc>
          <w:tcPr>
            <w:tcW w:w="1276" w:type="dxa"/>
            <w:shd w:val="clear" w:color="auto" w:fill="auto"/>
            <w:vAlign w:val="center"/>
          </w:tcPr>
          <w:p w14:paraId="32E62A32"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112.15</w:t>
            </w:r>
          </w:p>
        </w:tc>
        <w:tc>
          <w:tcPr>
            <w:tcW w:w="3672" w:type="dxa"/>
            <w:shd w:val="clear" w:color="auto" w:fill="auto"/>
            <w:vAlign w:val="center"/>
          </w:tcPr>
          <w:p w14:paraId="42EDA1C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Variación paulatina por la regularización de la afluencia de los usuarios a las unidades deportivas; intereses y/o bonificaciones que se generan en las cuentas bancarias; ampliación del recurso federal mediante "convenio de colaboración" con la Comisión Nacional de Cultura Física y Deporte (CONADE) para el programa denominado: Premio Estatal al Mérito Deportivo 2022”. Ministraciones pendientes por recibir" por parte de la Secretaria de Finanzas y Planeación, así mismo se registró una ampliación neta derivado de modificaciones presupuestales autorizadas.</w:t>
            </w:r>
          </w:p>
        </w:tc>
      </w:tr>
      <w:tr w:rsidR="00712618" w:rsidRPr="00712618" w14:paraId="0E7FD208" w14:textId="77777777" w:rsidTr="009E04D5">
        <w:trPr>
          <w:trHeight w:val="1405"/>
          <w:jc w:val="center"/>
        </w:trPr>
        <w:tc>
          <w:tcPr>
            <w:tcW w:w="418" w:type="dxa"/>
            <w:vAlign w:val="center"/>
          </w:tcPr>
          <w:p w14:paraId="056F394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13</w:t>
            </w:r>
          </w:p>
        </w:tc>
        <w:tc>
          <w:tcPr>
            <w:tcW w:w="1259" w:type="dxa"/>
            <w:shd w:val="clear" w:color="auto" w:fill="auto"/>
            <w:vAlign w:val="center"/>
          </w:tcPr>
          <w:p w14:paraId="16F59AB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Consejo de Promoción Turística de Quintana Roo</w:t>
            </w:r>
          </w:p>
        </w:tc>
        <w:tc>
          <w:tcPr>
            <w:tcW w:w="1437" w:type="dxa"/>
            <w:shd w:val="clear" w:color="auto" w:fill="auto"/>
            <w:vAlign w:val="center"/>
          </w:tcPr>
          <w:p w14:paraId="673CEEE3"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628,982,323.00</w:t>
            </w:r>
          </w:p>
        </w:tc>
        <w:tc>
          <w:tcPr>
            <w:tcW w:w="1559" w:type="dxa"/>
            <w:shd w:val="clear" w:color="auto" w:fill="auto"/>
            <w:vAlign w:val="center"/>
          </w:tcPr>
          <w:p w14:paraId="27A57234"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319,247,500.10</w:t>
            </w:r>
          </w:p>
        </w:tc>
        <w:tc>
          <w:tcPr>
            <w:tcW w:w="1276" w:type="dxa"/>
            <w:shd w:val="clear" w:color="auto" w:fill="auto"/>
            <w:vAlign w:val="center"/>
          </w:tcPr>
          <w:p w14:paraId="111AF269"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50.76</w:t>
            </w:r>
          </w:p>
        </w:tc>
        <w:tc>
          <w:tcPr>
            <w:tcW w:w="3672" w:type="dxa"/>
            <w:shd w:val="clear" w:color="auto" w:fill="auto"/>
            <w:vAlign w:val="center"/>
          </w:tcPr>
          <w:p w14:paraId="51D25E7D"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SEFIPLAN solamente ministró el 50% del presupuesto devengando, por tal situación el consejo continúa haciendo las gestiones para el pronto pago de los recursos restantes, para que este organismo pueda cumplir con sus compromisos contratados con sus prestadores de servicios y con esto evitar alguna contingencia por demandas y suspensiones de servicios por parte de los proveedores.</w:t>
            </w:r>
          </w:p>
        </w:tc>
      </w:tr>
      <w:tr w:rsidR="00712618" w:rsidRPr="00712618" w14:paraId="77D0A247" w14:textId="77777777" w:rsidTr="009E04D5">
        <w:trPr>
          <w:trHeight w:val="1285"/>
          <w:jc w:val="center"/>
        </w:trPr>
        <w:tc>
          <w:tcPr>
            <w:tcW w:w="418" w:type="dxa"/>
            <w:vAlign w:val="center"/>
          </w:tcPr>
          <w:p w14:paraId="58A9309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14</w:t>
            </w:r>
          </w:p>
        </w:tc>
        <w:tc>
          <w:tcPr>
            <w:tcW w:w="1259" w:type="dxa"/>
            <w:shd w:val="clear" w:color="auto" w:fill="auto"/>
            <w:vAlign w:val="center"/>
          </w:tcPr>
          <w:p w14:paraId="6DBA90E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Consejo Quintanarroense de Ciencia y Tecnología </w:t>
            </w:r>
          </w:p>
        </w:tc>
        <w:tc>
          <w:tcPr>
            <w:tcW w:w="1437" w:type="dxa"/>
            <w:shd w:val="clear" w:color="auto" w:fill="auto"/>
            <w:vAlign w:val="center"/>
          </w:tcPr>
          <w:p w14:paraId="2955217E"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35,870,064.00</w:t>
            </w:r>
          </w:p>
        </w:tc>
        <w:tc>
          <w:tcPr>
            <w:tcW w:w="1559" w:type="dxa"/>
            <w:shd w:val="clear" w:color="auto" w:fill="auto"/>
            <w:vAlign w:val="center"/>
          </w:tcPr>
          <w:p w14:paraId="41F2AE1F"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44,198,944.51</w:t>
            </w:r>
          </w:p>
        </w:tc>
        <w:tc>
          <w:tcPr>
            <w:tcW w:w="1276" w:type="dxa"/>
            <w:shd w:val="clear" w:color="auto" w:fill="auto"/>
            <w:vAlign w:val="center"/>
          </w:tcPr>
          <w:p w14:paraId="160EC2D1"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123.22</w:t>
            </w:r>
          </w:p>
        </w:tc>
        <w:tc>
          <w:tcPr>
            <w:tcW w:w="3672" w:type="dxa"/>
            <w:shd w:val="clear" w:color="auto" w:fill="auto"/>
            <w:vAlign w:val="center"/>
          </w:tcPr>
          <w:p w14:paraId="4F54807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realizó ampliación debido a los intereses nominales de las cuentas bancarias; ingresos generados por el convenio con el Colegio de Bachilleres para el pago de energía eléctrica; así como por otros ingresos originados por remanentes de proyectos de ejercicios anteriores; ingresos provenientes del régimen sancionador de multas electorales impuestas a los partidos políticos.</w:t>
            </w:r>
          </w:p>
        </w:tc>
      </w:tr>
      <w:tr w:rsidR="00712618" w:rsidRPr="00712618" w14:paraId="7EF7A046" w14:textId="77777777" w:rsidTr="009E04D5">
        <w:trPr>
          <w:trHeight w:val="1291"/>
          <w:jc w:val="center"/>
        </w:trPr>
        <w:tc>
          <w:tcPr>
            <w:tcW w:w="418" w:type="dxa"/>
            <w:vAlign w:val="center"/>
          </w:tcPr>
          <w:p w14:paraId="19EE6A3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15</w:t>
            </w:r>
          </w:p>
        </w:tc>
        <w:tc>
          <w:tcPr>
            <w:tcW w:w="1259" w:type="dxa"/>
            <w:shd w:val="clear" w:color="auto" w:fill="auto"/>
            <w:vAlign w:val="center"/>
          </w:tcPr>
          <w:p w14:paraId="6A6D938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Fundación de Parques y Museos de Cozumel</w:t>
            </w:r>
          </w:p>
        </w:tc>
        <w:tc>
          <w:tcPr>
            <w:tcW w:w="1437" w:type="dxa"/>
            <w:shd w:val="clear" w:color="auto" w:fill="auto"/>
            <w:vAlign w:val="center"/>
          </w:tcPr>
          <w:p w14:paraId="08C169D4"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84,746,728.00</w:t>
            </w:r>
          </w:p>
        </w:tc>
        <w:tc>
          <w:tcPr>
            <w:tcW w:w="1559" w:type="dxa"/>
            <w:shd w:val="clear" w:color="auto" w:fill="auto"/>
            <w:vAlign w:val="center"/>
          </w:tcPr>
          <w:p w14:paraId="7F059DF0"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81,737,049.86</w:t>
            </w:r>
          </w:p>
        </w:tc>
        <w:tc>
          <w:tcPr>
            <w:tcW w:w="1276" w:type="dxa"/>
            <w:shd w:val="clear" w:color="auto" w:fill="auto"/>
            <w:vAlign w:val="center"/>
          </w:tcPr>
          <w:p w14:paraId="1588FBA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96.45</w:t>
            </w:r>
          </w:p>
        </w:tc>
        <w:tc>
          <w:tcPr>
            <w:tcW w:w="3672" w:type="dxa"/>
            <w:shd w:val="clear" w:color="auto" w:fill="auto"/>
            <w:vAlign w:val="center"/>
          </w:tcPr>
          <w:p w14:paraId="432BB626"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Durante el cuarto trimestre de 2022, se mantiene la recuperación económica en la Isla de Cozumel, por lo que han mejorado los ingresos a un 86.18% respecto a lo estimado; en congruencia con la recuperación económica en la Isla de Cozumel, durante el cuarto trimestre de 2022, la recaudación aumentó respecto a lo estimado, generando una mejoría en los ingresos de la FPMCQROO, rebasando la estimación”.</w:t>
            </w:r>
          </w:p>
        </w:tc>
      </w:tr>
      <w:tr w:rsidR="00712618" w:rsidRPr="00712618" w14:paraId="197AADD5" w14:textId="77777777" w:rsidTr="009E04D5">
        <w:trPr>
          <w:trHeight w:val="754"/>
          <w:jc w:val="center"/>
        </w:trPr>
        <w:tc>
          <w:tcPr>
            <w:tcW w:w="418" w:type="dxa"/>
            <w:vAlign w:val="center"/>
          </w:tcPr>
          <w:p w14:paraId="7CCCA0C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16</w:t>
            </w:r>
          </w:p>
        </w:tc>
        <w:tc>
          <w:tcPr>
            <w:tcW w:w="1259" w:type="dxa"/>
            <w:shd w:val="clear" w:color="auto" w:fill="auto"/>
            <w:vAlign w:val="center"/>
          </w:tcPr>
          <w:p w14:paraId="5140DC2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Instituto de Capacitación para el Trabajo </w:t>
            </w:r>
            <w:r w:rsidRPr="00712618">
              <w:rPr>
                <w:rFonts w:ascii="Arial" w:hAnsi="Arial" w:cs="Arial"/>
                <w:sz w:val="14"/>
                <w:szCs w:val="14"/>
              </w:rPr>
              <w:lastRenderedPageBreak/>
              <w:t>del Estado de Quintana Roo</w:t>
            </w:r>
          </w:p>
        </w:tc>
        <w:tc>
          <w:tcPr>
            <w:tcW w:w="1437" w:type="dxa"/>
            <w:shd w:val="clear" w:color="auto" w:fill="auto"/>
            <w:vAlign w:val="center"/>
          </w:tcPr>
          <w:p w14:paraId="404B2A6C"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lastRenderedPageBreak/>
              <w:t>106,983,482.70</w:t>
            </w:r>
          </w:p>
        </w:tc>
        <w:tc>
          <w:tcPr>
            <w:tcW w:w="1559" w:type="dxa"/>
            <w:shd w:val="clear" w:color="auto" w:fill="auto"/>
            <w:vAlign w:val="center"/>
          </w:tcPr>
          <w:p w14:paraId="1EA7520B"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110,524,281.77</w:t>
            </w:r>
          </w:p>
        </w:tc>
        <w:tc>
          <w:tcPr>
            <w:tcW w:w="1276" w:type="dxa"/>
            <w:shd w:val="clear" w:color="auto" w:fill="auto"/>
            <w:vAlign w:val="center"/>
          </w:tcPr>
          <w:p w14:paraId="14033D8D"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103.31</w:t>
            </w:r>
          </w:p>
        </w:tc>
        <w:tc>
          <w:tcPr>
            <w:tcW w:w="3672" w:type="dxa"/>
            <w:shd w:val="clear" w:color="auto" w:fill="auto"/>
            <w:vAlign w:val="center"/>
          </w:tcPr>
          <w:p w14:paraId="5B5CFD9F"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Mayor captación por concepto de venta de servicios de lo estimado; se realizó reducción en el capítulo 1000 por ajuste a Anexo de </w:t>
            </w:r>
            <w:r w:rsidRPr="00712618">
              <w:rPr>
                <w:rFonts w:ascii="Arial" w:hAnsi="Arial" w:cs="Arial"/>
                <w:color w:val="000000"/>
                <w:sz w:val="14"/>
                <w:szCs w:val="14"/>
              </w:rPr>
              <w:lastRenderedPageBreak/>
              <w:t>Ejecución y ampliación por incremento salarial; y rendimientos generados por las cuentas bancarias del Instituto”</w:t>
            </w:r>
          </w:p>
        </w:tc>
      </w:tr>
      <w:tr w:rsidR="00712618" w:rsidRPr="00712618" w14:paraId="0FB9DE18" w14:textId="77777777" w:rsidTr="009E04D5">
        <w:trPr>
          <w:trHeight w:val="1717"/>
          <w:jc w:val="center"/>
        </w:trPr>
        <w:tc>
          <w:tcPr>
            <w:tcW w:w="418" w:type="dxa"/>
            <w:vAlign w:val="center"/>
          </w:tcPr>
          <w:p w14:paraId="126B7B8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17</w:t>
            </w:r>
          </w:p>
        </w:tc>
        <w:tc>
          <w:tcPr>
            <w:tcW w:w="1259" w:type="dxa"/>
            <w:shd w:val="clear" w:color="auto" w:fill="auto"/>
            <w:vAlign w:val="center"/>
          </w:tcPr>
          <w:p w14:paraId="406EB7E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Instituto de Infraestructura Física Educativa del Estado de Quintana Roo </w:t>
            </w:r>
          </w:p>
        </w:tc>
        <w:tc>
          <w:tcPr>
            <w:tcW w:w="1437" w:type="dxa"/>
            <w:shd w:val="clear" w:color="auto" w:fill="auto"/>
            <w:vAlign w:val="center"/>
          </w:tcPr>
          <w:p w14:paraId="72919B76"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44,326,730.00</w:t>
            </w:r>
          </w:p>
        </w:tc>
        <w:tc>
          <w:tcPr>
            <w:tcW w:w="1559" w:type="dxa"/>
            <w:shd w:val="clear" w:color="auto" w:fill="auto"/>
            <w:vAlign w:val="center"/>
          </w:tcPr>
          <w:p w14:paraId="570604D0"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590,802,364.26</w:t>
            </w:r>
          </w:p>
        </w:tc>
        <w:tc>
          <w:tcPr>
            <w:tcW w:w="1276" w:type="dxa"/>
            <w:shd w:val="clear" w:color="auto" w:fill="auto"/>
            <w:vAlign w:val="center"/>
          </w:tcPr>
          <w:p w14:paraId="1CF37EA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1,332.84</w:t>
            </w:r>
          </w:p>
        </w:tc>
        <w:tc>
          <w:tcPr>
            <w:tcW w:w="3672" w:type="dxa"/>
            <w:shd w:val="clear" w:color="auto" w:fill="auto"/>
            <w:vAlign w:val="center"/>
          </w:tcPr>
          <w:p w14:paraId="444E6D09"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Rendimientos generados en las cuentas bancarias; derivado del retorno a las clases presenciales las escuelas particulares solicitaron su certificación y la mayor participación de empresas constructoras adquiriendo bases de licitación, asimismo se obtuvieron ingresos por convenios con el INIFED del programa Escuelas al Cien o FAM potenciado; se obtuvieron ampliaciones de los programas de inversión pública del FAM, FAFEF, FISE y recurso de libre disposición de origen estatal del ejerció 2022.</w:t>
            </w:r>
          </w:p>
        </w:tc>
      </w:tr>
      <w:tr w:rsidR="00712618" w:rsidRPr="00712618" w14:paraId="51231723" w14:textId="77777777" w:rsidTr="009E04D5">
        <w:trPr>
          <w:trHeight w:val="1434"/>
          <w:jc w:val="center"/>
        </w:trPr>
        <w:tc>
          <w:tcPr>
            <w:tcW w:w="418" w:type="dxa"/>
            <w:vAlign w:val="center"/>
          </w:tcPr>
          <w:p w14:paraId="688A00CE"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18</w:t>
            </w:r>
          </w:p>
        </w:tc>
        <w:tc>
          <w:tcPr>
            <w:tcW w:w="1259" w:type="dxa"/>
            <w:shd w:val="clear" w:color="auto" w:fill="auto"/>
            <w:vAlign w:val="center"/>
          </w:tcPr>
          <w:p w14:paraId="114DC09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Instituto de la Cultura y las Artes de Quintana Roo </w:t>
            </w:r>
          </w:p>
        </w:tc>
        <w:tc>
          <w:tcPr>
            <w:tcW w:w="1437" w:type="dxa"/>
            <w:shd w:val="clear" w:color="auto" w:fill="auto"/>
            <w:vAlign w:val="center"/>
          </w:tcPr>
          <w:p w14:paraId="6EE348CF"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bCs/>
                <w:sz w:val="14"/>
                <w:szCs w:val="14"/>
              </w:rPr>
              <w:t>66,418,924.00</w:t>
            </w:r>
          </w:p>
        </w:tc>
        <w:tc>
          <w:tcPr>
            <w:tcW w:w="1559" w:type="dxa"/>
            <w:shd w:val="clear" w:color="auto" w:fill="auto"/>
            <w:vAlign w:val="center"/>
          </w:tcPr>
          <w:p w14:paraId="206D1E1E"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bCs/>
                <w:sz w:val="14"/>
                <w:szCs w:val="14"/>
              </w:rPr>
              <w:t>145,646,220.90</w:t>
            </w:r>
          </w:p>
        </w:tc>
        <w:tc>
          <w:tcPr>
            <w:tcW w:w="1276" w:type="dxa"/>
            <w:shd w:val="clear" w:color="auto" w:fill="auto"/>
            <w:vAlign w:val="center"/>
          </w:tcPr>
          <w:p w14:paraId="1529348D"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bCs/>
                <w:sz w:val="14"/>
                <w:szCs w:val="14"/>
              </w:rPr>
              <w:t>219.28</w:t>
            </w:r>
          </w:p>
        </w:tc>
        <w:tc>
          <w:tcPr>
            <w:tcW w:w="3672" w:type="dxa"/>
            <w:shd w:val="clear" w:color="auto" w:fill="auto"/>
            <w:vAlign w:val="center"/>
          </w:tcPr>
          <w:p w14:paraId="68D1BBEB"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Mayor recaudación de los rendimientos bancarios; mayor recaudación al incrementarse la matrícula de alumnos que asisten a los talleres de las casas de cultura y escuelas de artes así como afluencia de visitantes a los museos; ampliación registrada por el programa federal "Apoyo a Instituciones Estatales de Cultura 2022" y programa de acciones Culturales Multilingües y Comunitaria (PACMYC).</w:t>
            </w:r>
          </w:p>
        </w:tc>
      </w:tr>
      <w:tr w:rsidR="00712618" w:rsidRPr="00712618" w14:paraId="489C8E4E" w14:textId="77777777" w:rsidTr="009E04D5">
        <w:trPr>
          <w:trHeight w:val="1597"/>
          <w:jc w:val="center"/>
        </w:trPr>
        <w:tc>
          <w:tcPr>
            <w:tcW w:w="418" w:type="dxa"/>
            <w:vAlign w:val="center"/>
          </w:tcPr>
          <w:p w14:paraId="4A3B81B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19</w:t>
            </w:r>
          </w:p>
        </w:tc>
        <w:tc>
          <w:tcPr>
            <w:tcW w:w="1259" w:type="dxa"/>
            <w:shd w:val="clear" w:color="auto" w:fill="auto"/>
            <w:vAlign w:val="center"/>
          </w:tcPr>
          <w:p w14:paraId="67EC27D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de Movilidad del Estado de</w:t>
            </w:r>
            <w:r w:rsidR="001376C7">
              <w:rPr>
                <w:rFonts w:ascii="Arial" w:hAnsi="Arial" w:cs="Arial"/>
                <w:sz w:val="14"/>
                <w:szCs w:val="14"/>
              </w:rPr>
              <w:t xml:space="preserve"> </w:t>
            </w:r>
            <w:r w:rsidRPr="00712618">
              <w:rPr>
                <w:rFonts w:ascii="Arial" w:hAnsi="Arial" w:cs="Arial"/>
                <w:sz w:val="14"/>
                <w:szCs w:val="14"/>
              </w:rPr>
              <w:t xml:space="preserve">Quintana Roo </w:t>
            </w:r>
          </w:p>
        </w:tc>
        <w:tc>
          <w:tcPr>
            <w:tcW w:w="1437" w:type="dxa"/>
            <w:shd w:val="clear" w:color="auto" w:fill="auto"/>
            <w:vAlign w:val="center"/>
          </w:tcPr>
          <w:p w14:paraId="69C04AB3"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65,470,531.00</w:t>
            </w:r>
          </w:p>
        </w:tc>
        <w:tc>
          <w:tcPr>
            <w:tcW w:w="1559" w:type="dxa"/>
            <w:shd w:val="clear" w:color="auto" w:fill="auto"/>
            <w:vAlign w:val="center"/>
          </w:tcPr>
          <w:p w14:paraId="10FEA3B3"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76,242,665.93</w:t>
            </w:r>
          </w:p>
        </w:tc>
        <w:tc>
          <w:tcPr>
            <w:tcW w:w="1276" w:type="dxa"/>
            <w:shd w:val="clear" w:color="auto" w:fill="auto"/>
            <w:vAlign w:val="center"/>
          </w:tcPr>
          <w:p w14:paraId="13DAC85F"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116.45</w:t>
            </w:r>
          </w:p>
        </w:tc>
        <w:tc>
          <w:tcPr>
            <w:tcW w:w="3672" w:type="dxa"/>
            <w:shd w:val="clear" w:color="auto" w:fill="auto"/>
            <w:vAlign w:val="center"/>
          </w:tcPr>
          <w:p w14:paraId="4B459CC8"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 recaudación superó por la aplicación de sanciones a los concesionarios y permisionarios en el Estado; por las actualizaciones de trámites de las concesiones del trimestre, por la revista vehicular y los refrendos; SEFIPLAN no transfirió el recurso estatal, aún estén debidamente tramitada; otra causa de la variación se debe a que la SEFIPLAN solo ha dejado tramitar las partidas presupuestales básicas y comprometidas que cuenten con un contrato, o sean servicios indispensables para la operatividad del Instituto.</w:t>
            </w:r>
          </w:p>
        </w:tc>
      </w:tr>
      <w:tr w:rsidR="00712618" w:rsidRPr="00712618" w14:paraId="6AC81961" w14:textId="77777777" w:rsidTr="009E04D5">
        <w:trPr>
          <w:trHeight w:val="1133"/>
          <w:jc w:val="center"/>
        </w:trPr>
        <w:tc>
          <w:tcPr>
            <w:tcW w:w="418" w:type="dxa"/>
            <w:vAlign w:val="center"/>
          </w:tcPr>
          <w:p w14:paraId="390C248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20</w:t>
            </w:r>
          </w:p>
        </w:tc>
        <w:tc>
          <w:tcPr>
            <w:tcW w:w="1259" w:type="dxa"/>
            <w:shd w:val="clear" w:color="auto" w:fill="auto"/>
            <w:vAlign w:val="center"/>
          </w:tcPr>
          <w:p w14:paraId="21E1E88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Estatal para la Educación de Jóvenes y Adultos</w:t>
            </w:r>
          </w:p>
        </w:tc>
        <w:tc>
          <w:tcPr>
            <w:tcW w:w="1437" w:type="dxa"/>
            <w:shd w:val="clear" w:color="auto" w:fill="auto"/>
            <w:vAlign w:val="center"/>
          </w:tcPr>
          <w:p w14:paraId="72A206DD"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79,676,377.00</w:t>
            </w:r>
          </w:p>
        </w:tc>
        <w:tc>
          <w:tcPr>
            <w:tcW w:w="1559" w:type="dxa"/>
            <w:shd w:val="clear" w:color="auto" w:fill="auto"/>
            <w:vAlign w:val="center"/>
          </w:tcPr>
          <w:p w14:paraId="4CEE303D" w14:textId="77777777" w:rsidR="00712618" w:rsidRPr="00712618" w:rsidRDefault="00712618" w:rsidP="00712618">
            <w:pPr>
              <w:keepNext/>
              <w:keepLines/>
              <w:tabs>
                <w:tab w:val="center" w:pos="1517"/>
              </w:tabs>
              <w:ind w:left="-56" w:hanging="45"/>
              <w:jc w:val="right"/>
              <w:outlineLvl w:val="2"/>
              <w:rPr>
                <w:rFonts w:ascii="Arial" w:hAnsi="Arial" w:cs="Arial"/>
                <w:color w:val="000000"/>
                <w:sz w:val="14"/>
                <w:szCs w:val="14"/>
              </w:rPr>
            </w:pPr>
            <w:bookmarkStart w:id="91" w:name="_Toc158567509"/>
            <w:r w:rsidRPr="00712618">
              <w:rPr>
                <w:rFonts w:ascii="Arial" w:hAnsi="Arial" w:cs="Arial"/>
                <w:color w:val="000000"/>
                <w:sz w:val="14"/>
                <w:szCs w:val="14"/>
              </w:rPr>
              <w:t>79,777,420.74</w:t>
            </w:r>
            <w:bookmarkEnd w:id="91"/>
          </w:p>
        </w:tc>
        <w:tc>
          <w:tcPr>
            <w:tcW w:w="1276" w:type="dxa"/>
            <w:shd w:val="clear" w:color="auto" w:fill="auto"/>
            <w:vAlign w:val="center"/>
          </w:tcPr>
          <w:p w14:paraId="68BD79F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100.13</w:t>
            </w:r>
          </w:p>
        </w:tc>
        <w:tc>
          <w:tcPr>
            <w:tcW w:w="3672" w:type="dxa"/>
            <w:shd w:val="clear" w:color="auto" w:fill="auto"/>
            <w:vAlign w:val="center"/>
          </w:tcPr>
          <w:p w14:paraId="47FDB2FB"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Existe una variación con respecto al presupuesto autorizado anual SEFIPLAN, con respecto al presupuesto autorizado anual por la Federación. </w:t>
            </w:r>
          </w:p>
        </w:tc>
      </w:tr>
      <w:tr w:rsidR="00712618" w:rsidRPr="00712618" w14:paraId="5D9340A1" w14:textId="77777777" w:rsidTr="009E04D5">
        <w:trPr>
          <w:trHeight w:val="1277"/>
          <w:jc w:val="center"/>
        </w:trPr>
        <w:tc>
          <w:tcPr>
            <w:tcW w:w="418" w:type="dxa"/>
            <w:vAlign w:val="center"/>
          </w:tcPr>
          <w:p w14:paraId="1982820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21</w:t>
            </w:r>
          </w:p>
        </w:tc>
        <w:tc>
          <w:tcPr>
            <w:tcW w:w="1259" w:type="dxa"/>
            <w:shd w:val="clear" w:color="auto" w:fill="auto"/>
            <w:vAlign w:val="center"/>
          </w:tcPr>
          <w:p w14:paraId="3EC3B7B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para el Desarrollo del Pueblo Maya y las Comunidades Indígenas del Estado de Quintana Roo</w:t>
            </w:r>
          </w:p>
        </w:tc>
        <w:tc>
          <w:tcPr>
            <w:tcW w:w="1437" w:type="dxa"/>
            <w:shd w:val="clear" w:color="auto" w:fill="auto"/>
            <w:vAlign w:val="center"/>
          </w:tcPr>
          <w:p w14:paraId="756C9C08"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bCs/>
                <w:color w:val="000000"/>
                <w:sz w:val="14"/>
                <w:szCs w:val="14"/>
              </w:rPr>
              <w:t>26,439,929.00</w:t>
            </w:r>
          </w:p>
        </w:tc>
        <w:tc>
          <w:tcPr>
            <w:tcW w:w="1559" w:type="dxa"/>
            <w:shd w:val="clear" w:color="auto" w:fill="auto"/>
            <w:vAlign w:val="center"/>
          </w:tcPr>
          <w:p w14:paraId="62AADEF5"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bCs/>
                <w:color w:val="000000"/>
                <w:sz w:val="14"/>
                <w:szCs w:val="14"/>
              </w:rPr>
              <w:t>22,657,420.22</w:t>
            </w:r>
          </w:p>
        </w:tc>
        <w:tc>
          <w:tcPr>
            <w:tcW w:w="1276" w:type="dxa"/>
            <w:shd w:val="clear" w:color="auto" w:fill="auto"/>
            <w:vAlign w:val="center"/>
          </w:tcPr>
          <w:p w14:paraId="5038472D"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85.69</w:t>
            </w:r>
          </w:p>
        </w:tc>
        <w:tc>
          <w:tcPr>
            <w:tcW w:w="3672" w:type="dxa"/>
            <w:shd w:val="clear" w:color="auto" w:fill="auto"/>
            <w:vAlign w:val="center"/>
          </w:tcPr>
          <w:p w14:paraId="1A0F71F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Existen plazas que no han sido autorizadas por parte de la SEFIPLAN para ser cubiertas debido a cambios internos y a la racionalización del gasto en los capítulos 2000 y 3000; el Instituto ha recibido menos recurso respecto al presupuesto autorizado. De igual forma existen recibos no ministrados por parte de la SEFIPLAN al INMAYA”.</w:t>
            </w:r>
          </w:p>
        </w:tc>
      </w:tr>
      <w:tr w:rsidR="00712618" w:rsidRPr="00712618" w14:paraId="5F365327" w14:textId="77777777" w:rsidTr="009E04D5">
        <w:trPr>
          <w:trHeight w:val="1161"/>
          <w:jc w:val="center"/>
        </w:trPr>
        <w:tc>
          <w:tcPr>
            <w:tcW w:w="418" w:type="dxa"/>
            <w:vAlign w:val="center"/>
          </w:tcPr>
          <w:p w14:paraId="75235A0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22</w:t>
            </w:r>
          </w:p>
        </w:tc>
        <w:tc>
          <w:tcPr>
            <w:tcW w:w="1259" w:type="dxa"/>
            <w:shd w:val="clear" w:color="auto" w:fill="auto"/>
            <w:vAlign w:val="center"/>
          </w:tcPr>
          <w:p w14:paraId="6841637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para el Desarrollo y Financiamiento del Estado de Quintana Roo</w:t>
            </w:r>
          </w:p>
        </w:tc>
        <w:tc>
          <w:tcPr>
            <w:tcW w:w="1437" w:type="dxa"/>
            <w:shd w:val="clear" w:color="auto" w:fill="auto"/>
            <w:vAlign w:val="center"/>
          </w:tcPr>
          <w:p w14:paraId="2F9254A7"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23,653,399.00</w:t>
            </w:r>
          </w:p>
        </w:tc>
        <w:tc>
          <w:tcPr>
            <w:tcW w:w="1559" w:type="dxa"/>
            <w:shd w:val="clear" w:color="auto" w:fill="auto"/>
            <w:vAlign w:val="center"/>
          </w:tcPr>
          <w:p w14:paraId="1BC664E2"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26,107,382.62</w:t>
            </w:r>
          </w:p>
        </w:tc>
        <w:tc>
          <w:tcPr>
            <w:tcW w:w="1276" w:type="dxa"/>
            <w:shd w:val="clear" w:color="auto" w:fill="auto"/>
            <w:vAlign w:val="center"/>
          </w:tcPr>
          <w:p w14:paraId="25190041"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110.37</w:t>
            </w:r>
          </w:p>
        </w:tc>
        <w:tc>
          <w:tcPr>
            <w:tcW w:w="3672" w:type="dxa"/>
            <w:shd w:val="clear" w:color="auto" w:fill="auto"/>
            <w:vAlign w:val="center"/>
          </w:tcPr>
          <w:p w14:paraId="4B2B8266"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El aumento en la recaudación de los ingresos propios se debe a que los intereses de la deuda se calcula en base a la Tasa de Interés Interbancaria de Equilibrio (TIIE) y dicha tasa resulta variable mes a mes; se han recibido ingresos del 2020 y contablemente se registra en el devengado de acuerdo a los criterios del CONAC”.</w:t>
            </w:r>
          </w:p>
        </w:tc>
      </w:tr>
      <w:tr w:rsidR="00712618" w:rsidRPr="00712618" w14:paraId="300BA3C6" w14:textId="77777777" w:rsidTr="009E04D5">
        <w:trPr>
          <w:trHeight w:val="1008"/>
          <w:jc w:val="center"/>
        </w:trPr>
        <w:tc>
          <w:tcPr>
            <w:tcW w:w="418" w:type="dxa"/>
            <w:vAlign w:val="center"/>
          </w:tcPr>
          <w:p w14:paraId="4220DFA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23</w:t>
            </w:r>
          </w:p>
        </w:tc>
        <w:tc>
          <w:tcPr>
            <w:tcW w:w="1259" w:type="dxa"/>
            <w:shd w:val="clear" w:color="auto" w:fill="auto"/>
            <w:vAlign w:val="center"/>
          </w:tcPr>
          <w:p w14:paraId="0231C7E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Quintanarroense de la Juventud del Estado de Quintana Roo</w:t>
            </w:r>
          </w:p>
        </w:tc>
        <w:tc>
          <w:tcPr>
            <w:tcW w:w="1437" w:type="dxa"/>
            <w:shd w:val="clear" w:color="auto" w:fill="auto"/>
            <w:vAlign w:val="center"/>
          </w:tcPr>
          <w:p w14:paraId="4ACE39B6"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26,839,612.00</w:t>
            </w:r>
          </w:p>
        </w:tc>
        <w:tc>
          <w:tcPr>
            <w:tcW w:w="1559" w:type="dxa"/>
            <w:shd w:val="clear" w:color="auto" w:fill="auto"/>
            <w:vAlign w:val="center"/>
          </w:tcPr>
          <w:p w14:paraId="6488EAB0"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27,887,578.53</w:t>
            </w:r>
          </w:p>
        </w:tc>
        <w:tc>
          <w:tcPr>
            <w:tcW w:w="1276" w:type="dxa"/>
            <w:shd w:val="clear" w:color="auto" w:fill="auto"/>
            <w:vAlign w:val="center"/>
          </w:tcPr>
          <w:p w14:paraId="73A03E2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103.90</w:t>
            </w:r>
          </w:p>
        </w:tc>
        <w:tc>
          <w:tcPr>
            <w:tcW w:w="3672" w:type="dxa"/>
            <w:shd w:val="clear" w:color="auto" w:fill="auto"/>
            <w:vAlign w:val="center"/>
          </w:tcPr>
          <w:p w14:paraId="657E0ED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Saldos presupuestales del periodo del 01 enero al 31 de diciembre 2022, así como de los ingresos pendientes por recibir dentro del ejercicio, los cuales se espera su recaudo a inicios del siguiente ejercicio fiscal, se llevaron a cabo dos ampliaciones presupuestales una del capítulo 3000 y otra del capítulo 1000; cambios solicitados durante el ejercicio 2022 en el trámite del recurso el cual tiene varias variaciones por cuestión a las fuentes de financiamiento y el tipo de recurso”.</w:t>
            </w:r>
          </w:p>
        </w:tc>
      </w:tr>
      <w:tr w:rsidR="00712618" w:rsidRPr="00712618" w14:paraId="0E3F95FB" w14:textId="77777777" w:rsidTr="009E04D5">
        <w:trPr>
          <w:trHeight w:val="1151"/>
          <w:jc w:val="center"/>
        </w:trPr>
        <w:tc>
          <w:tcPr>
            <w:tcW w:w="418" w:type="dxa"/>
            <w:vAlign w:val="center"/>
          </w:tcPr>
          <w:p w14:paraId="4996A4B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24</w:t>
            </w:r>
          </w:p>
        </w:tc>
        <w:tc>
          <w:tcPr>
            <w:tcW w:w="1259" w:type="dxa"/>
            <w:shd w:val="clear" w:color="auto" w:fill="auto"/>
            <w:vAlign w:val="center"/>
          </w:tcPr>
          <w:p w14:paraId="3339ECC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Instituto Quintanarroense de la Mujer </w:t>
            </w:r>
          </w:p>
        </w:tc>
        <w:tc>
          <w:tcPr>
            <w:tcW w:w="1437" w:type="dxa"/>
            <w:shd w:val="clear" w:color="auto" w:fill="auto"/>
            <w:vAlign w:val="center"/>
          </w:tcPr>
          <w:p w14:paraId="503C6DA5"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46,363,126.00</w:t>
            </w:r>
          </w:p>
        </w:tc>
        <w:tc>
          <w:tcPr>
            <w:tcW w:w="1559" w:type="dxa"/>
            <w:shd w:val="clear" w:color="auto" w:fill="auto"/>
            <w:vAlign w:val="center"/>
          </w:tcPr>
          <w:p w14:paraId="3947425C"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66,041,392.32</w:t>
            </w:r>
          </w:p>
        </w:tc>
        <w:tc>
          <w:tcPr>
            <w:tcW w:w="1276" w:type="dxa"/>
            <w:shd w:val="clear" w:color="auto" w:fill="auto"/>
            <w:vAlign w:val="center"/>
          </w:tcPr>
          <w:p w14:paraId="7DC9A11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142.44</w:t>
            </w:r>
          </w:p>
        </w:tc>
        <w:tc>
          <w:tcPr>
            <w:tcW w:w="3672" w:type="dxa"/>
            <w:shd w:val="clear" w:color="auto" w:fill="auto"/>
            <w:vAlign w:val="center"/>
          </w:tcPr>
          <w:p w14:paraId="3B357E6B"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Ingreso obtenido por la venta de desechos ferrosos; recaudación de las ampliaciones de los programas federales PAIMEF, Transversalidad, FOBAM, REFUGIO, AVGM28 Y AVGM46 del ejercicio 2022. Cabe señalar que el ingreso estimado anual y trimestral, tuvo una modificación debido al retroactivo por incremento en sueldos y 3% sobre nómina del incremento en sueldos 2022, así como también, la reducción del presupuesto no ejercido del ejercicio 2022.</w:t>
            </w:r>
          </w:p>
        </w:tc>
      </w:tr>
      <w:tr w:rsidR="00712618" w:rsidRPr="00712618" w14:paraId="5DEA4FA2" w14:textId="77777777" w:rsidTr="009E04D5">
        <w:trPr>
          <w:trHeight w:val="842"/>
          <w:jc w:val="center"/>
        </w:trPr>
        <w:tc>
          <w:tcPr>
            <w:tcW w:w="418" w:type="dxa"/>
            <w:vAlign w:val="center"/>
          </w:tcPr>
          <w:p w14:paraId="3869801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25</w:t>
            </w:r>
          </w:p>
        </w:tc>
        <w:tc>
          <w:tcPr>
            <w:tcW w:w="1259" w:type="dxa"/>
            <w:shd w:val="clear" w:color="auto" w:fill="auto"/>
            <w:vAlign w:val="center"/>
          </w:tcPr>
          <w:p w14:paraId="4264F91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Tecnológico Superior de Felipe Carrillo Puerto</w:t>
            </w:r>
          </w:p>
        </w:tc>
        <w:tc>
          <w:tcPr>
            <w:tcW w:w="1437" w:type="dxa"/>
            <w:shd w:val="clear" w:color="auto" w:fill="auto"/>
            <w:vAlign w:val="center"/>
          </w:tcPr>
          <w:p w14:paraId="36B56477"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79,885,046.00</w:t>
            </w:r>
          </w:p>
        </w:tc>
        <w:tc>
          <w:tcPr>
            <w:tcW w:w="1559" w:type="dxa"/>
            <w:shd w:val="clear" w:color="auto" w:fill="auto"/>
            <w:vAlign w:val="center"/>
          </w:tcPr>
          <w:p w14:paraId="67DBF308"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78,030,113.23</w:t>
            </w:r>
          </w:p>
        </w:tc>
        <w:tc>
          <w:tcPr>
            <w:tcW w:w="1276" w:type="dxa"/>
            <w:shd w:val="clear" w:color="auto" w:fill="auto"/>
            <w:vAlign w:val="center"/>
          </w:tcPr>
          <w:p w14:paraId="7C0776E2"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97.68</w:t>
            </w:r>
          </w:p>
        </w:tc>
        <w:tc>
          <w:tcPr>
            <w:tcW w:w="3672" w:type="dxa"/>
            <w:shd w:val="clear" w:color="auto" w:fill="auto"/>
            <w:vAlign w:val="center"/>
          </w:tcPr>
          <w:p w14:paraId="4568BB68"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Como consecuencia de la Pandemia por la Covid-19, durante este ejercicio fiscal, esta Institución se vio en la necesidad de apoyar con descuentos y en ocasiones exención de pago a los estudiantes que realizaron algún trámite, ocasionando se vea afectada la recaudación; se recibieron ampliaciones presupuestales por parte del Gobierno del Estado, por participación en convocatorias así como para gastos de operación, autorizados por SEFIPLAN”.</w:t>
            </w:r>
          </w:p>
        </w:tc>
      </w:tr>
      <w:tr w:rsidR="00712618" w:rsidRPr="00712618" w14:paraId="3DE16FE3" w14:textId="77777777" w:rsidTr="009E04D5">
        <w:trPr>
          <w:trHeight w:val="1150"/>
          <w:jc w:val="center"/>
        </w:trPr>
        <w:tc>
          <w:tcPr>
            <w:tcW w:w="418" w:type="dxa"/>
            <w:vAlign w:val="center"/>
          </w:tcPr>
          <w:p w14:paraId="00FDE54E"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26</w:t>
            </w:r>
          </w:p>
        </w:tc>
        <w:tc>
          <w:tcPr>
            <w:tcW w:w="1259" w:type="dxa"/>
            <w:shd w:val="clear" w:color="auto" w:fill="auto"/>
            <w:vAlign w:val="center"/>
          </w:tcPr>
          <w:p w14:paraId="2752809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Secretaría Ejecutiva del Sistema Anticorrupción del Estado</w:t>
            </w:r>
            <w:r w:rsidR="001376C7">
              <w:rPr>
                <w:rFonts w:ascii="Arial" w:hAnsi="Arial" w:cs="Arial"/>
                <w:sz w:val="14"/>
                <w:szCs w:val="14"/>
              </w:rPr>
              <w:t xml:space="preserve"> </w:t>
            </w:r>
            <w:r w:rsidRPr="00712618">
              <w:rPr>
                <w:rFonts w:ascii="Arial" w:hAnsi="Arial" w:cs="Arial"/>
                <w:sz w:val="14"/>
                <w:szCs w:val="14"/>
              </w:rPr>
              <w:t>de Quintana Roo</w:t>
            </w:r>
          </w:p>
        </w:tc>
        <w:tc>
          <w:tcPr>
            <w:tcW w:w="1437" w:type="dxa"/>
            <w:shd w:val="clear" w:color="auto" w:fill="auto"/>
            <w:vAlign w:val="center"/>
          </w:tcPr>
          <w:p w14:paraId="231BA428"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20,046,919.00</w:t>
            </w:r>
          </w:p>
        </w:tc>
        <w:tc>
          <w:tcPr>
            <w:tcW w:w="1559" w:type="dxa"/>
            <w:shd w:val="clear" w:color="auto" w:fill="auto"/>
            <w:vAlign w:val="center"/>
          </w:tcPr>
          <w:p w14:paraId="76755135"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19,989,703.68</w:t>
            </w:r>
          </w:p>
        </w:tc>
        <w:tc>
          <w:tcPr>
            <w:tcW w:w="1276" w:type="dxa"/>
            <w:shd w:val="clear" w:color="auto" w:fill="auto"/>
            <w:vAlign w:val="center"/>
          </w:tcPr>
          <w:p w14:paraId="0DB94911"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99.71</w:t>
            </w:r>
          </w:p>
        </w:tc>
        <w:tc>
          <w:tcPr>
            <w:tcW w:w="3672" w:type="dxa"/>
            <w:shd w:val="clear" w:color="auto" w:fill="auto"/>
            <w:vAlign w:val="center"/>
          </w:tcPr>
          <w:p w14:paraId="1834D52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Variación originada a las bajas de personal que afectaron a prestaciones, razón por la cual el recurso correspondiente al capítulo mil no fue totalmente solicitado al 31 de diciembre de 2022.</w:t>
            </w:r>
          </w:p>
        </w:tc>
      </w:tr>
      <w:tr w:rsidR="00712618" w:rsidRPr="00712618" w14:paraId="340BD4FA" w14:textId="77777777" w:rsidTr="009E04D5">
        <w:trPr>
          <w:trHeight w:val="690"/>
          <w:jc w:val="center"/>
        </w:trPr>
        <w:tc>
          <w:tcPr>
            <w:tcW w:w="418" w:type="dxa"/>
            <w:vAlign w:val="center"/>
          </w:tcPr>
          <w:p w14:paraId="0C8E3EF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27</w:t>
            </w:r>
          </w:p>
        </w:tc>
        <w:tc>
          <w:tcPr>
            <w:tcW w:w="1259" w:type="dxa"/>
            <w:shd w:val="clear" w:color="auto" w:fill="auto"/>
            <w:vAlign w:val="center"/>
          </w:tcPr>
          <w:p w14:paraId="4811777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Secretariado Ejecutivo del Sistema Estatal de Seguridad Pública</w:t>
            </w:r>
          </w:p>
        </w:tc>
        <w:tc>
          <w:tcPr>
            <w:tcW w:w="1437" w:type="dxa"/>
            <w:shd w:val="clear" w:color="auto" w:fill="auto"/>
            <w:vAlign w:val="center"/>
          </w:tcPr>
          <w:p w14:paraId="61212137"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47,269,886.00</w:t>
            </w:r>
          </w:p>
        </w:tc>
        <w:tc>
          <w:tcPr>
            <w:tcW w:w="1559" w:type="dxa"/>
            <w:shd w:val="clear" w:color="auto" w:fill="auto"/>
            <w:vAlign w:val="center"/>
          </w:tcPr>
          <w:p w14:paraId="4F042707"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52,962,990.79</w:t>
            </w:r>
          </w:p>
        </w:tc>
        <w:tc>
          <w:tcPr>
            <w:tcW w:w="1276" w:type="dxa"/>
            <w:shd w:val="clear" w:color="auto" w:fill="auto"/>
            <w:vAlign w:val="center"/>
          </w:tcPr>
          <w:p w14:paraId="6D5A0E88"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112.04</w:t>
            </w:r>
          </w:p>
        </w:tc>
        <w:tc>
          <w:tcPr>
            <w:tcW w:w="3672" w:type="dxa"/>
            <w:shd w:val="clear" w:color="auto" w:fill="auto"/>
            <w:vAlign w:val="center"/>
          </w:tcPr>
          <w:p w14:paraId="32EC7330"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Rendimientos Financieros generados de cuentas bancarias productivas; ingresos por cuotas de recuperación de bases de licitaciones de los procedimientos de adquisición de bienes, arrendamientos y servicios del SESESP, así como reintegro de viáticos del ejercicio 2021; las solicitudes de transferencias de recursos para pago de nóminas son por importes de incidencias quincenales, de igual manera se realizaron recalendarizaciones para atender necesidades de Capítulo 1000, 2000 y 3000”.</w:t>
            </w:r>
          </w:p>
        </w:tc>
      </w:tr>
      <w:tr w:rsidR="00712618" w:rsidRPr="00712618" w14:paraId="5580A776" w14:textId="77777777" w:rsidTr="009E04D5">
        <w:trPr>
          <w:trHeight w:val="690"/>
          <w:jc w:val="center"/>
        </w:trPr>
        <w:tc>
          <w:tcPr>
            <w:tcW w:w="418" w:type="dxa"/>
            <w:vAlign w:val="center"/>
          </w:tcPr>
          <w:p w14:paraId="44F63AC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28</w:t>
            </w:r>
          </w:p>
        </w:tc>
        <w:tc>
          <w:tcPr>
            <w:tcW w:w="1259" w:type="dxa"/>
            <w:shd w:val="clear" w:color="auto" w:fill="auto"/>
            <w:vAlign w:val="center"/>
          </w:tcPr>
          <w:p w14:paraId="353AF5A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Servicios Educativos de Quintana Roo</w:t>
            </w:r>
          </w:p>
        </w:tc>
        <w:tc>
          <w:tcPr>
            <w:tcW w:w="1437" w:type="dxa"/>
            <w:shd w:val="clear" w:color="auto" w:fill="auto"/>
            <w:vAlign w:val="center"/>
          </w:tcPr>
          <w:p w14:paraId="31F0164A"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bCs/>
                <w:color w:val="000000"/>
                <w:sz w:val="14"/>
                <w:szCs w:val="14"/>
              </w:rPr>
              <w:t>6,947,458,056.00</w:t>
            </w:r>
          </w:p>
        </w:tc>
        <w:tc>
          <w:tcPr>
            <w:tcW w:w="1559" w:type="dxa"/>
            <w:shd w:val="clear" w:color="auto" w:fill="auto"/>
            <w:vAlign w:val="center"/>
          </w:tcPr>
          <w:p w14:paraId="6293D4F2"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bCs/>
                <w:color w:val="000000"/>
                <w:sz w:val="14"/>
                <w:szCs w:val="14"/>
              </w:rPr>
              <w:t>7,293,200,286.05</w:t>
            </w:r>
          </w:p>
        </w:tc>
        <w:tc>
          <w:tcPr>
            <w:tcW w:w="1276" w:type="dxa"/>
            <w:shd w:val="clear" w:color="auto" w:fill="auto"/>
            <w:vAlign w:val="center"/>
          </w:tcPr>
          <w:p w14:paraId="5C5D2D5E"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104.98</w:t>
            </w:r>
          </w:p>
        </w:tc>
        <w:tc>
          <w:tcPr>
            <w:tcW w:w="3672" w:type="dxa"/>
            <w:shd w:val="clear" w:color="auto" w:fill="auto"/>
            <w:vAlign w:val="center"/>
          </w:tcPr>
          <w:p w14:paraId="7DA246B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Recalendarizaciones solicitadas por las áreas operativas para contar con disponibilidad presupuestal; SEFIPLAN no ha ministrado la totalidad de los recursos devengados y a cambios de fuente de financiamiento; recursos de los Programas Expansión de la Educación Inicial 2022, Programa Telebachillerato Comunitario 2022 y a cambios de fuente de financiamiento realizados por la SEFIPLAN.</w:t>
            </w:r>
          </w:p>
        </w:tc>
      </w:tr>
      <w:tr w:rsidR="00712618" w:rsidRPr="00712618" w14:paraId="06C2359B" w14:textId="77777777" w:rsidTr="009E04D5">
        <w:trPr>
          <w:trHeight w:val="1934"/>
          <w:jc w:val="center"/>
        </w:trPr>
        <w:tc>
          <w:tcPr>
            <w:tcW w:w="418" w:type="dxa"/>
            <w:vAlign w:val="center"/>
          </w:tcPr>
          <w:p w14:paraId="43A53BC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29</w:t>
            </w:r>
          </w:p>
        </w:tc>
        <w:tc>
          <w:tcPr>
            <w:tcW w:w="1259" w:type="dxa"/>
            <w:shd w:val="clear" w:color="auto" w:fill="auto"/>
            <w:vAlign w:val="center"/>
          </w:tcPr>
          <w:p w14:paraId="34F3EA7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Servicios Estatales de Salud</w:t>
            </w:r>
          </w:p>
        </w:tc>
        <w:tc>
          <w:tcPr>
            <w:tcW w:w="1437" w:type="dxa"/>
            <w:shd w:val="clear" w:color="auto" w:fill="auto"/>
            <w:vAlign w:val="center"/>
          </w:tcPr>
          <w:p w14:paraId="0C76732F"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bCs/>
                <w:color w:val="000000"/>
                <w:sz w:val="14"/>
                <w:szCs w:val="14"/>
              </w:rPr>
              <w:t>4,338,560,050.00</w:t>
            </w:r>
          </w:p>
        </w:tc>
        <w:tc>
          <w:tcPr>
            <w:tcW w:w="1559" w:type="dxa"/>
            <w:shd w:val="clear" w:color="auto" w:fill="auto"/>
            <w:vAlign w:val="center"/>
          </w:tcPr>
          <w:p w14:paraId="372D7C09"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bCs/>
                <w:color w:val="000000"/>
                <w:sz w:val="14"/>
                <w:szCs w:val="14"/>
              </w:rPr>
              <w:t>6,528,400,408.78</w:t>
            </w:r>
          </w:p>
        </w:tc>
        <w:tc>
          <w:tcPr>
            <w:tcW w:w="1276" w:type="dxa"/>
            <w:shd w:val="clear" w:color="auto" w:fill="auto"/>
            <w:vAlign w:val="center"/>
          </w:tcPr>
          <w:p w14:paraId="66FC3451"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150.47</w:t>
            </w:r>
          </w:p>
        </w:tc>
        <w:tc>
          <w:tcPr>
            <w:tcW w:w="3672" w:type="dxa"/>
            <w:shd w:val="clear" w:color="auto" w:fill="auto"/>
            <w:vAlign w:val="center"/>
          </w:tcPr>
          <w:p w14:paraId="746FF977"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recaudó más de lo programado al mes de diciembre, esto corresponde a la ampliación por rendimientos financieros y venta de bases, así como ampliaciones por la captación de los ingresos propios y sus diferentes conceptos de recaudación con los que cuenta estos servicios estatales de salud; la federación ministró más recursos de los programados de acuerdo a los calendarios, así como convenios que entraron en el cuarto trimestre del ejercicio fiscal 2022, cabe mencionar que la SEFIPLAN no ministro al 100% todos los recursos; existen ampliaciones que fueron solicitadas y autorizadas, de las cuales SEFIPLAN no las ministro al 100% al cierre del ejercicio fiscal 2022.</w:t>
            </w:r>
          </w:p>
        </w:tc>
      </w:tr>
      <w:tr w:rsidR="00712618" w:rsidRPr="00712618" w14:paraId="5367810B" w14:textId="77777777" w:rsidTr="009E04D5">
        <w:trPr>
          <w:trHeight w:val="583"/>
          <w:jc w:val="center"/>
        </w:trPr>
        <w:tc>
          <w:tcPr>
            <w:tcW w:w="418" w:type="dxa"/>
            <w:vAlign w:val="center"/>
          </w:tcPr>
          <w:p w14:paraId="638F3A0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30</w:t>
            </w:r>
          </w:p>
        </w:tc>
        <w:tc>
          <w:tcPr>
            <w:tcW w:w="1259" w:type="dxa"/>
            <w:shd w:val="clear" w:color="auto" w:fill="auto"/>
            <w:vAlign w:val="center"/>
          </w:tcPr>
          <w:p w14:paraId="08B1D34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Sistema para el Desarrollo Integral de la Familia del Estado de Quintana Roo</w:t>
            </w:r>
          </w:p>
        </w:tc>
        <w:tc>
          <w:tcPr>
            <w:tcW w:w="1437" w:type="dxa"/>
            <w:shd w:val="clear" w:color="auto" w:fill="auto"/>
            <w:vAlign w:val="center"/>
          </w:tcPr>
          <w:p w14:paraId="2903B94B"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bCs/>
                <w:color w:val="000000"/>
                <w:sz w:val="14"/>
                <w:szCs w:val="14"/>
              </w:rPr>
              <w:t>682,218,059.00</w:t>
            </w:r>
          </w:p>
        </w:tc>
        <w:tc>
          <w:tcPr>
            <w:tcW w:w="1559" w:type="dxa"/>
            <w:shd w:val="clear" w:color="auto" w:fill="auto"/>
            <w:vAlign w:val="center"/>
          </w:tcPr>
          <w:p w14:paraId="0EE82BF2"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bCs/>
                <w:color w:val="000000"/>
                <w:sz w:val="14"/>
                <w:szCs w:val="14"/>
              </w:rPr>
              <w:t>707,452,013.93</w:t>
            </w:r>
          </w:p>
        </w:tc>
        <w:tc>
          <w:tcPr>
            <w:tcW w:w="1276" w:type="dxa"/>
            <w:shd w:val="clear" w:color="auto" w:fill="auto"/>
            <w:vAlign w:val="center"/>
          </w:tcPr>
          <w:p w14:paraId="7BEA912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103.70</w:t>
            </w:r>
          </w:p>
        </w:tc>
        <w:tc>
          <w:tcPr>
            <w:tcW w:w="3672" w:type="dxa"/>
            <w:shd w:val="clear" w:color="auto" w:fill="auto"/>
            <w:vAlign w:val="center"/>
          </w:tcPr>
          <w:p w14:paraId="70CF150D"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Como consecuencia de la pandemia de Covid 19 bajaron las ventas, en las empresas sobre todo en los CENDIS y CIPIS, tuvo una captación menos, sin embargo tuvo un incremento en comparación al cierre de diciembre del 2021.</w:t>
            </w:r>
          </w:p>
        </w:tc>
      </w:tr>
      <w:tr w:rsidR="00712618" w:rsidRPr="00712618" w14:paraId="2B3BFA62" w14:textId="77777777" w:rsidTr="009E04D5">
        <w:trPr>
          <w:trHeight w:val="690"/>
          <w:jc w:val="center"/>
        </w:trPr>
        <w:tc>
          <w:tcPr>
            <w:tcW w:w="418" w:type="dxa"/>
            <w:vAlign w:val="center"/>
          </w:tcPr>
          <w:p w14:paraId="44CE5D6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31</w:t>
            </w:r>
          </w:p>
        </w:tc>
        <w:tc>
          <w:tcPr>
            <w:tcW w:w="1259" w:type="dxa"/>
            <w:shd w:val="clear" w:color="auto" w:fill="auto"/>
            <w:vAlign w:val="center"/>
          </w:tcPr>
          <w:p w14:paraId="3BE34E6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Sistema Quintanarroense de Comunicación Social</w:t>
            </w:r>
          </w:p>
        </w:tc>
        <w:tc>
          <w:tcPr>
            <w:tcW w:w="1437" w:type="dxa"/>
            <w:shd w:val="clear" w:color="auto" w:fill="auto"/>
            <w:vAlign w:val="center"/>
          </w:tcPr>
          <w:p w14:paraId="1A42BE06"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96,452,241.00</w:t>
            </w:r>
          </w:p>
        </w:tc>
        <w:tc>
          <w:tcPr>
            <w:tcW w:w="1559" w:type="dxa"/>
            <w:shd w:val="clear" w:color="auto" w:fill="auto"/>
            <w:vAlign w:val="center"/>
          </w:tcPr>
          <w:p w14:paraId="0D80BD68"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103,165,790.02</w:t>
            </w:r>
          </w:p>
        </w:tc>
        <w:tc>
          <w:tcPr>
            <w:tcW w:w="1276" w:type="dxa"/>
            <w:shd w:val="clear" w:color="auto" w:fill="auto"/>
            <w:vAlign w:val="center"/>
          </w:tcPr>
          <w:p w14:paraId="1EEEEE5D"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106.96</w:t>
            </w:r>
          </w:p>
        </w:tc>
        <w:tc>
          <w:tcPr>
            <w:tcW w:w="3672" w:type="dxa"/>
            <w:shd w:val="clear" w:color="auto" w:fill="auto"/>
            <w:vAlign w:val="center"/>
          </w:tcPr>
          <w:p w14:paraId="4F3B265F"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Intereses bancarios obtenidos por el manejo de cuentas bancarias, anteriormente se reflejaba en la cuenta de ingresos por venta de bienes y servicios; se refleja un incremento en las ampliaciones presupuestales para pago de, consultoría y difusión en medios, en virtud que el presupuesto autorizado es insuficiente para llevar a cabo las actividades institucionales.</w:t>
            </w:r>
          </w:p>
        </w:tc>
      </w:tr>
      <w:tr w:rsidR="00712618" w:rsidRPr="00712618" w14:paraId="2C52462F" w14:textId="77777777" w:rsidTr="009E04D5">
        <w:trPr>
          <w:trHeight w:val="558"/>
          <w:jc w:val="center"/>
        </w:trPr>
        <w:tc>
          <w:tcPr>
            <w:tcW w:w="418" w:type="dxa"/>
            <w:vAlign w:val="center"/>
          </w:tcPr>
          <w:p w14:paraId="37013C5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32</w:t>
            </w:r>
          </w:p>
        </w:tc>
        <w:tc>
          <w:tcPr>
            <w:tcW w:w="1259" w:type="dxa"/>
            <w:shd w:val="clear" w:color="auto" w:fill="auto"/>
            <w:vAlign w:val="center"/>
          </w:tcPr>
          <w:p w14:paraId="4574E56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Universidad Autónoma de Quintana Roo</w:t>
            </w:r>
          </w:p>
        </w:tc>
        <w:tc>
          <w:tcPr>
            <w:tcW w:w="1437" w:type="dxa"/>
            <w:shd w:val="clear" w:color="auto" w:fill="auto"/>
            <w:vAlign w:val="center"/>
          </w:tcPr>
          <w:p w14:paraId="30911CF9"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532,366,195.00</w:t>
            </w:r>
          </w:p>
        </w:tc>
        <w:tc>
          <w:tcPr>
            <w:tcW w:w="1559" w:type="dxa"/>
            <w:shd w:val="clear" w:color="auto" w:fill="auto"/>
            <w:vAlign w:val="center"/>
          </w:tcPr>
          <w:p w14:paraId="4A1148A9"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538,413,519.54</w:t>
            </w:r>
          </w:p>
        </w:tc>
        <w:tc>
          <w:tcPr>
            <w:tcW w:w="1276" w:type="dxa"/>
            <w:shd w:val="clear" w:color="auto" w:fill="auto"/>
            <w:vAlign w:val="center"/>
          </w:tcPr>
          <w:p w14:paraId="141D4AD2"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101.14</w:t>
            </w:r>
          </w:p>
        </w:tc>
        <w:tc>
          <w:tcPr>
            <w:tcW w:w="3672" w:type="dxa"/>
            <w:shd w:val="clear" w:color="auto" w:fill="auto"/>
            <w:vAlign w:val="center"/>
          </w:tcPr>
          <w:p w14:paraId="42CC2272"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Productos financieros que genera la Universidad derivado de los montos que maneja en sus cuentas bancarias y/o fideicomisos; ingresos extraordinarios de las academias que se tuvieron contemplados durante la proyección y no se recaudaron; no se recaudó lo pronosticado en ingresos propios por diversos factores como la propia contingencia sanitaria; ministraciones estatales correspondientes a los primeros trimestres no recibidas las cuales se recibieron durante el último trimestre; así como la ampliación por política salarial 2022.</w:t>
            </w:r>
          </w:p>
        </w:tc>
      </w:tr>
      <w:tr w:rsidR="00712618" w:rsidRPr="00712618" w14:paraId="65488CE4" w14:textId="77777777" w:rsidTr="009E04D5">
        <w:trPr>
          <w:trHeight w:val="1009"/>
          <w:jc w:val="center"/>
        </w:trPr>
        <w:tc>
          <w:tcPr>
            <w:tcW w:w="418" w:type="dxa"/>
            <w:vAlign w:val="center"/>
          </w:tcPr>
          <w:p w14:paraId="6B5B399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33</w:t>
            </w:r>
          </w:p>
        </w:tc>
        <w:tc>
          <w:tcPr>
            <w:tcW w:w="1259" w:type="dxa"/>
            <w:shd w:val="clear" w:color="auto" w:fill="auto"/>
            <w:vAlign w:val="center"/>
          </w:tcPr>
          <w:p w14:paraId="25BD186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Universidad del Caribe </w:t>
            </w:r>
          </w:p>
        </w:tc>
        <w:tc>
          <w:tcPr>
            <w:tcW w:w="1437" w:type="dxa"/>
            <w:shd w:val="clear" w:color="auto" w:fill="auto"/>
            <w:vAlign w:val="center"/>
          </w:tcPr>
          <w:p w14:paraId="625D998E"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157,057,524.00</w:t>
            </w:r>
          </w:p>
        </w:tc>
        <w:tc>
          <w:tcPr>
            <w:tcW w:w="1559" w:type="dxa"/>
            <w:shd w:val="clear" w:color="auto" w:fill="auto"/>
            <w:vAlign w:val="center"/>
          </w:tcPr>
          <w:p w14:paraId="3BD8C5A3"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165,128,209.70</w:t>
            </w:r>
          </w:p>
        </w:tc>
        <w:tc>
          <w:tcPr>
            <w:tcW w:w="1276" w:type="dxa"/>
            <w:shd w:val="clear" w:color="auto" w:fill="auto"/>
            <w:vAlign w:val="center"/>
          </w:tcPr>
          <w:p w14:paraId="0622CB05"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105.14</w:t>
            </w:r>
          </w:p>
        </w:tc>
        <w:tc>
          <w:tcPr>
            <w:tcW w:w="3672" w:type="dxa"/>
            <w:shd w:val="clear" w:color="auto" w:fill="auto"/>
            <w:vAlign w:val="center"/>
          </w:tcPr>
          <w:p w14:paraId="7FD33942"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Rendimientos financieros generados por la cuenta Bancaria del Fideicomiso del recurso federal PRODEP; disminución en la captación de ingresos propios programados.</w:t>
            </w:r>
          </w:p>
        </w:tc>
      </w:tr>
      <w:tr w:rsidR="00712618" w:rsidRPr="00712618" w14:paraId="6D803925" w14:textId="77777777" w:rsidTr="009E04D5">
        <w:trPr>
          <w:trHeight w:val="1689"/>
          <w:jc w:val="center"/>
        </w:trPr>
        <w:tc>
          <w:tcPr>
            <w:tcW w:w="418" w:type="dxa"/>
            <w:vAlign w:val="center"/>
          </w:tcPr>
          <w:p w14:paraId="2B51E0A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34</w:t>
            </w:r>
          </w:p>
        </w:tc>
        <w:tc>
          <w:tcPr>
            <w:tcW w:w="1259" w:type="dxa"/>
            <w:shd w:val="clear" w:color="auto" w:fill="auto"/>
            <w:vAlign w:val="center"/>
          </w:tcPr>
          <w:p w14:paraId="7F24D1C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Universidad Intercultural Maya de Quintana Roo </w:t>
            </w:r>
          </w:p>
        </w:tc>
        <w:tc>
          <w:tcPr>
            <w:tcW w:w="1437" w:type="dxa"/>
            <w:shd w:val="clear" w:color="auto" w:fill="auto"/>
            <w:vAlign w:val="center"/>
          </w:tcPr>
          <w:p w14:paraId="42913223"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37,095,337.00</w:t>
            </w:r>
          </w:p>
        </w:tc>
        <w:tc>
          <w:tcPr>
            <w:tcW w:w="1559" w:type="dxa"/>
            <w:shd w:val="clear" w:color="auto" w:fill="auto"/>
            <w:vAlign w:val="center"/>
          </w:tcPr>
          <w:p w14:paraId="573D3704"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46,000,753.55</w:t>
            </w:r>
          </w:p>
        </w:tc>
        <w:tc>
          <w:tcPr>
            <w:tcW w:w="1276" w:type="dxa"/>
            <w:shd w:val="clear" w:color="auto" w:fill="auto"/>
            <w:vAlign w:val="center"/>
          </w:tcPr>
          <w:p w14:paraId="6274672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124.01</w:t>
            </w:r>
          </w:p>
        </w:tc>
        <w:tc>
          <w:tcPr>
            <w:tcW w:w="3672" w:type="dxa"/>
            <w:shd w:val="clear" w:color="auto" w:fill="auto"/>
            <w:vAlign w:val="center"/>
          </w:tcPr>
          <w:p w14:paraId="26A6F135"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El ingreso recaudado fue menor que el ingreso estimado a consecuencia del programa U079 celebrado con la DGESUI; se recibieron recursos para traducciones; segunda ministración del proyecto de Caracterización de Mieles Mexicanas, ambos por parte del COQCYT; y del convenio con la Embajada de Francia</w:t>
            </w:r>
            <w:r w:rsidR="001376C7">
              <w:rPr>
                <w:rFonts w:ascii="Arial" w:hAnsi="Arial" w:cs="Arial"/>
                <w:color w:val="000000"/>
                <w:sz w:val="14"/>
                <w:szCs w:val="14"/>
              </w:rPr>
              <w:t xml:space="preserve"> </w:t>
            </w:r>
            <w:r w:rsidRPr="00712618">
              <w:rPr>
                <w:rFonts w:ascii="Arial" w:hAnsi="Arial" w:cs="Arial"/>
                <w:color w:val="000000"/>
                <w:sz w:val="14"/>
                <w:szCs w:val="14"/>
              </w:rPr>
              <w:t>en México denominado Ordenamiento Ecológico Territorial en el período que se analiza.</w:t>
            </w:r>
          </w:p>
        </w:tc>
      </w:tr>
      <w:tr w:rsidR="00712618" w:rsidRPr="00712618" w14:paraId="0B63F069" w14:textId="77777777" w:rsidTr="009E04D5">
        <w:trPr>
          <w:trHeight w:val="1840"/>
          <w:jc w:val="center"/>
        </w:trPr>
        <w:tc>
          <w:tcPr>
            <w:tcW w:w="418" w:type="dxa"/>
            <w:vAlign w:val="center"/>
          </w:tcPr>
          <w:p w14:paraId="6B1D37C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35</w:t>
            </w:r>
          </w:p>
        </w:tc>
        <w:tc>
          <w:tcPr>
            <w:tcW w:w="1259" w:type="dxa"/>
            <w:shd w:val="clear" w:color="auto" w:fill="auto"/>
            <w:vAlign w:val="center"/>
          </w:tcPr>
          <w:p w14:paraId="5AF29AF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Universidad Politécnica de Bacalar</w:t>
            </w:r>
          </w:p>
        </w:tc>
        <w:tc>
          <w:tcPr>
            <w:tcW w:w="1437" w:type="dxa"/>
            <w:shd w:val="clear" w:color="auto" w:fill="auto"/>
            <w:vAlign w:val="center"/>
          </w:tcPr>
          <w:p w14:paraId="282F3046"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18,596,101.00</w:t>
            </w:r>
          </w:p>
        </w:tc>
        <w:tc>
          <w:tcPr>
            <w:tcW w:w="1559" w:type="dxa"/>
            <w:shd w:val="clear" w:color="auto" w:fill="auto"/>
            <w:vAlign w:val="center"/>
          </w:tcPr>
          <w:p w14:paraId="355BB8A9"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28,299,949.00</w:t>
            </w:r>
          </w:p>
        </w:tc>
        <w:tc>
          <w:tcPr>
            <w:tcW w:w="1276" w:type="dxa"/>
            <w:shd w:val="clear" w:color="auto" w:fill="auto"/>
            <w:vAlign w:val="center"/>
          </w:tcPr>
          <w:p w14:paraId="1AC7ECF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152.18</w:t>
            </w:r>
          </w:p>
        </w:tc>
        <w:tc>
          <w:tcPr>
            <w:tcW w:w="3672" w:type="dxa"/>
            <w:shd w:val="clear" w:color="auto" w:fill="auto"/>
            <w:vAlign w:val="center"/>
          </w:tcPr>
          <w:p w14:paraId="02DA4A60"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Recalendarización de eventos que estaban programados en el último trimestre y se pospusieron; el convenio modificatorio al convenio específico 2022 , se realizaron las gestiones pertinentes ante la SEFIPLAN, mediante el cual se obtuvo: Ampliación presupuestal líquida; ampliación presupuestal derivada de autorización para el pago de Impuesto Sobre la Renta e Impuesto Sobre Nómina de los Ejercicios Fiscales 2014, 2015 y 2016.</w:t>
            </w:r>
          </w:p>
        </w:tc>
      </w:tr>
      <w:tr w:rsidR="00712618" w:rsidRPr="00712618" w14:paraId="71596FE0" w14:textId="77777777" w:rsidTr="009E04D5">
        <w:trPr>
          <w:trHeight w:val="1676"/>
          <w:jc w:val="center"/>
        </w:trPr>
        <w:tc>
          <w:tcPr>
            <w:tcW w:w="418" w:type="dxa"/>
            <w:vAlign w:val="center"/>
          </w:tcPr>
          <w:p w14:paraId="140AB41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36</w:t>
            </w:r>
          </w:p>
        </w:tc>
        <w:tc>
          <w:tcPr>
            <w:tcW w:w="1259" w:type="dxa"/>
            <w:shd w:val="clear" w:color="auto" w:fill="auto"/>
            <w:vAlign w:val="center"/>
          </w:tcPr>
          <w:p w14:paraId="79AB3C1E"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Universidad Politécnica de Quintana Roo </w:t>
            </w:r>
          </w:p>
        </w:tc>
        <w:tc>
          <w:tcPr>
            <w:tcW w:w="1437" w:type="dxa"/>
            <w:shd w:val="clear" w:color="auto" w:fill="auto"/>
            <w:vAlign w:val="center"/>
          </w:tcPr>
          <w:p w14:paraId="392E4C30"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36,529,591.00</w:t>
            </w:r>
          </w:p>
        </w:tc>
        <w:tc>
          <w:tcPr>
            <w:tcW w:w="1559" w:type="dxa"/>
            <w:shd w:val="clear" w:color="auto" w:fill="auto"/>
            <w:vAlign w:val="center"/>
          </w:tcPr>
          <w:p w14:paraId="402DA448"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46,087,429.31</w:t>
            </w:r>
          </w:p>
        </w:tc>
        <w:tc>
          <w:tcPr>
            <w:tcW w:w="1276" w:type="dxa"/>
            <w:shd w:val="clear" w:color="auto" w:fill="auto"/>
            <w:vAlign w:val="center"/>
          </w:tcPr>
          <w:p w14:paraId="320425A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126.16</w:t>
            </w:r>
          </w:p>
        </w:tc>
        <w:tc>
          <w:tcPr>
            <w:tcW w:w="3672" w:type="dxa"/>
            <w:shd w:val="clear" w:color="auto" w:fill="auto"/>
            <w:vAlign w:val="center"/>
          </w:tcPr>
          <w:p w14:paraId="6424C2FE"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El Estado ministro los recursos de los capítulos 2000 y 3000 pendientes de pago con cambio de fuente de financiamiento a Préstamo a corto Plazo Banorte S.A.; asignaron recurso federal por el programa U079 Programa de expansión de la Educación Media Superior y Superior; se autorizó una ampliación presupuestal al capítulo 3000 y 5000 de acuerdo al Convenio Modificatorio del Convenio Específico para la Asignación de Recursos Financieros y se autorizó el uso de saldos de la fuente de financiamiento Fondo General de Participaciones 2021.</w:t>
            </w:r>
          </w:p>
        </w:tc>
      </w:tr>
      <w:tr w:rsidR="00712618" w:rsidRPr="00712618" w14:paraId="40ADA69E" w14:textId="77777777" w:rsidTr="009E04D5">
        <w:trPr>
          <w:trHeight w:val="690"/>
          <w:jc w:val="center"/>
        </w:trPr>
        <w:tc>
          <w:tcPr>
            <w:tcW w:w="418" w:type="dxa"/>
            <w:vAlign w:val="center"/>
          </w:tcPr>
          <w:p w14:paraId="0F25C9E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37</w:t>
            </w:r>
          </w:p>
        </w:tc>
        <w:tc>
          <w:tcPr>
            <w:tcW w:w="1259" w:type="dxa"/>
            <w:shd w:val="clear" w:color="auto" w:fill="auto"/>
            <w:vAlign w:val="center"/>
          </w:tcPr>
          <w:p w14:paraId="37BF818E"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Universidad Tecnológica de Cancún </w:t>
            </w:r>
          </w:p>
        </w:tc>
        <w:tc>
          <w:tcPr>
            <w:tcW w:w="1437" w:type="dxa"/>
            <w:shd w:val="clear" w:color="auto" w:fill="auto"/>
            <w:vAlign w:val="center"/>
          </w:tcPr>
          <w:p w14:paraId="48D9E7DF"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133,528,343.00</w:t>
            </w:r>
          </w:p>
        </w:tc>
        <w:tc>
          <w:tcPr>
            <w:tcW w:w="1559" w:type="dxa"/>
            <w:shd w:val="clear" w:color="auto" w:fill="auto"/>
            <w:vAlign w:val="center"/>
          </w:tcPr>
          <w:p w14:paraId="6AA13432"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143,174,504.88</w:t>
            </w:r>
          </w:p>
        </w:tc>
        <w:tc>
          <w:tcPr>
            <w:tcW w:w="1276" w:type="dxa"/>
            <w:shd w:val="clear" w:color="auto" w:fill="auto"/>
            <w:vAlign w:val="center"/>
          </w:tcPr>
          <w:p w14:paraId="455C485E"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107.22</w:t>
            </w:r>
          </w:p>
        </w:tc>
        <w:tc>
          <w:tcPr>
            <w:tcW w:w="3672" w:type="dxa"/>
            <w:shd w:val="clear" w:color="auto" w:fill="auto"/>
            <w:vAlign w:val="center"/>
          </w:tcPr>
          <w:p w14:paraId="00510EB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Intereses bancarios; se recaudó más de lo programado en trámites de titulación; ingreso por convenios de los hoteles por ser refugios anticiclónicos y recurso para becar a los alumnos; se han hecho recalendarizaciones entre meses”.</w:t>
            </w:r>
          </w:p>
        </w:tc>
      </w:tr>
      <w:tr w:rsidR="00712618" w:rsidRPr="00712618" w14:paraId="06F031A6" w14:textId="77777777" w:rsidTr="009E04D5">
        <w:trPr>
          <w:trHeight w:val="1599"/>
          <w:jc w:val="center"/>
        </w:trPr>
        <w:tc>
          <w:tcPr>
            <w:tcW w:w="418" w:type="dxa"/>
            <w:vAlign w:val="center"/>
          </w:tcPr>
          <w:p w14:paraId="60DDE11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38</w:t>
            </w:r>
          </w:p>
        </w:tc>
        <w:tc>
          <w:tcPr>
            <w:tcW w:w="1259" w:type="dxa"/>
            <w:shd w:val="clear" w:color="auto" w:fill="auto"/>
            <w:vAlign w:val="center"/>
          </w:tcPr>
          <w:p w14:paraId="3B1090C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Universidad Tecnológica de Chetumal</w:t>
            </w:r>
          </w:p>
        </w:tc>
        <w:tc>
          <w:tcPr>
            <w:tcW w:w="1437" w:type="dxa"/>
            <w:shd w:val="clear" w:color="auto" w:fill="auto"/>
            <w:vAlign w:val="center"/>
          </w:tcPr>
          <w:p w14:paraId="058F44AB"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32,934,985.00</w:t>
            </w:r>
          </w:p>
        </w:tc>
        <w:tc>
          <w:tcPr>
            <w:tcW w:w="1559" w:type="dxa"/>
            <w:shd w:val="clear" w:color="auto" w:fill="auto"/>
            <w:vAlign w:val="center"/>
          </w:tcPr>
          <w:p w14:paraId="6449F8D6"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31,074,418.88</w:t>
            </w:r>
          </w:p>
        </w:tc>
        <w:tc>
          <w:tcPr>
            <w:tcW w:w="1276" w:type="dxa"/>
            <w:shd w:val="clear" w:color="auto" w:fill="auto"/>
            <w:vAlign w:val="center"/>
          </w:tcPr>
          <w:p w14:paraId="04DC03B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94.35</w:t>
            </w:r>
          </w:p>
        </w:tc>
        <w:tc>
          <w:tcPr>
            <w:tcW w:w="3672" w:type="dxa"/>
            <w:shd w:val="clear" w:color="auto" w:fill="auto"/>
            <w:vAlign w:val="center"/>
          </w:tcPr>
          <w:p w14:paraId="0787FC8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No se recaudaron los ingresos propios estimados, debido que a raíz de la contingencia la Universidad se vio afectada en cuanto a la captación de alumnos; ministraciones estatales pendientes de pago por Gobierno del Estado, del ejercicio fiscal 2022; quedaron ministraciones pendientes de cobro conforme a los recibos solicitados ante la SEFIPLAN y de acuerdo a la plantilla contratada. </w:t>
            </w:r>
          </w:p>
        </w:tc>
      </w:tr>
      <w:tr w:rsidR="00712618" w:rsidRPr="00712618" w14:paraId="7B90E51E" w14:textId="77777777" w:rsidTr="009E04D5">
        <w:trPr>
          <w:trHeight w:val="690"/>
          <w:jc w:val="center"/>
        </w:trPr>
        <w:tc>
          <w:tcPr>
            <w:tcW w:w="418" w:type="dxa"/>
            <w:vAlign w:val="center"/>
          </w:tcPr>
          <w:p w14:paraId="47AD55E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39</w:t>
            </w:r>
          </w:p>
        </w:tc>
        <w:tc>
          <w:tcPr>
            <w:tcW w:w="1259" w:type="dxa"/>
            <w:shd w:val="clear" w:color="auto" w:fill="auto"/>
            <w:vAlign w:val="center"/>
          </w:tcPr>
          <w:p w14:paraId="5FC5DD14" w14:textId="77777777" w:rsidR="00712618" w:rsidRPr="00712618" w:rsidRDefault="00712618" w:rsidP="00712618">
            <w:pPr>
              <w:spacing w:before="120" w:after="120"/>
              <w:jc w:val="both"/>
              <w:rPr>
                <w:rFonts w:ascii="Arial" w:hAnsi="Arial" w:cs="Arial"/>
                <w:sz w:val="14"/>
                <w:szCs w:val="14"/>
                <w:highlight w:val="red"/>
              </w:rPr>
            </w:pPr>
            <w:r w:rsidRPr="00712618">
              <w:rPr>
                <w:rFonts w:ascii="Arial" w:hAnsi="Arial" w:cs="Arial"/>
                <w:sz w:val="14"/>
                <w:szCs w:val="14"/>
              </w:rPr>
              <w:t>Universidad Tecnológica de la Riviera Maya</w:t>
            </w:r>
          </w:p>
        </w:tc>
        <w:tc>
          <w:tcPr>
            <w:tcW w:w="1437" w:type="dxa"/>
            <w:shd w:val="clear" w:color="auto" w:fill="auto"/>
            <w:vAlign w:val="center"/>
          </w:tcPr>
          <w:p w14:paraId="44BF37C2" w14:textId="77777777" w:rsidR="00712618" w:rsidRPr="00712618" w:rsidRDefault="00712618" w:rsidP="00712618">
            <w:pPr>
              <w:jc w:val="right"/>
              <w:rPr>
                <w:rFonts w:ascii="Arial" w:hAnsi="Arial" w:cs="Arial"/>
                <w:color w:val="000000"/>
                <w:sz w:val="14"/>
                <w:szCs w:val="14"/>
              </w:rPr>
            </w:pPr>
            <w:r w:rsidRPr="00712618">
              <w:rPr>
                <w:rFonts w:ascii="Arial" w:hAnsi="Arial" w:cs="Arial"/>
                <w:color w:val="000000"/>
                <w:sz w:val="14"/>
                <w:szCs w:val="14"/>
              </w:rPr>
              <w:t>62,231,407.00</w:t>
            </w:r>
          </w:p>
        </w:tc>
        <w:tc>
          <w:tcPr>
            <w:tcW w:w="1559" w:type="dxa"/>
            <w:shd w:val="clear" w:color="auto" w:fill="auto"/>
            <w:vAlign w:val="center"/>
          </w:tcPr>
          <w:p w14:paraId="76CAF21A" w14:textId="77777777" w:rsidR="00712618" w:rsidRPr="00712618" w:rsidRDefault="00712618" w:rsidP="00712618">
            <w:pPr>
              <w:jc w:val="right"/>
              <w:rPr>
                <w:rFonts w:ascii="Arial" w:hAnsi="Arial" w:cs="Arial"/>
                <w:color w:val="000000"/>
                <w:sz w:val="14"/>
                <w:szCs w:val="14"/>
              </w:rPr>
            </w:pPr>
            <w:r w:rsidRPr="00712618">
              <w:rPr>
                <w:rFonts w:ascii="Arial" w:hAnsi="Arial" w:cs="Arial"/>
                <w:color w:val="000000"/>
                <w:sz w:val="14"/>
                <w:szCs w:val="14"/>
              </w:rPr>
              <w:t>62,078,385.00</w:t>
            </w:r>
          </w:p>
        </w:tc>
        <w:tc>
          <w:tcPr>
            <w:tcW w:w="1276" w:type="dxa"/>
            <w:shd w:val="clear" w:color="auto" w:fill="auto"/>
            <w:vAlign w:val="center"/>
          </w:tcPr>
          <w:p w14:paraId="62B6CD79"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99.75</w:t>
            </w:r>
          </w:p>
        </w:tc>
        <w:tc>
          <w:tcPr>
            <w:tcW w:w="3672" w:type="dxa"/>
            <w:shd w:val="clear" w:color="auto" w:fill="auto"/>
            <w:vAlign w:val="center"/>
          </w:tcPr>
          <w:p w14:paraId="19F588E1"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 entidad no justifica la variación</w:t>
            </w:r>
          </w:p>
        </w:tc>
      </w:tr>
      <w:tr w:rsidR="00712618" w:rsidRPr="00712618" w14:paraId="1D65034F" w14:textId="77777777" w:rsidTr="009E04D5">
        <w:trPr>
          <w:trHeight w:val="462"/>
          <w:jc w:val="center"/>
        </w:trPr>
        <w:tc>
          <w:tcPr>
            <w:tcW w:w="418" w:type="dxa"/>
            <w:vAlign w:val="center"/>
          </w:tcPr>
          <w:p w14:paraId="00B2B7B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40</w:t>
            </w:r>
          </w:p>
        </w:tc>
        <w:tc>
          <w:tcPr>
            <w:tcW w:w="1259" w:type="dxa"/>
            <w:shd w:val="clear" w:color="auto" w:fill="auto"/>
            <w:vAlign w:val="center"/>
          </w:tcPr>
          <w:p w14:paraId="633FDA0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VIP Servicios Aéreos Ejecutivos S.A. de C.V.</w:t>
            </w:r>
          </w:p>
        </w:tc>
        <w:tc>
          <w:tcPr>
            <w:tcW w:w="1437" w:type="dxa"/>
            <w:shd w:val="clear" w:color="auto" w:fill="auto"/>
            <w:vAlign w:val="center"/>
          </w:tcPr>
          <w:p w14:paraId="239B1402"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45,731,389.00</w:t>
            </w:r>
          </w:p>
        </w:tc>
        <w:tc>
          <w:tcPr>
            <w:tcW w:w="1559" w:type="dxa"/>
            <w:shd w:val="clear" w:color="auto" w:fill="auto"/>
            <w:vAlign w:val="center"/>
          </w:tcPr>
          <w:p w14:paraId="0F5B6626" w14:textId="77777777" w:rsidR="00712618" w:rsidRPr="00712618" w:rsidRDefault="00712618" w:rsidP="00712618">
            <w:pPr>
              <w:spacing w:before="120" w:after="120"/>
              <w:jc w:val="right"/>
              <w:rPr>
                <w:rFonts w:ascii="Arial" w:hAnsi="Arial" w:cs="Arial"/>
                <w:color w:val="000000"/>
                <w:sz w:val="14"/>
                <w:szCs w:val="14"/>
              </w:rPr>
            </w:pPr>
            <w:r w:rsidRPr="00712618">
              <w:rPr>
                <w:rFonts w:ascii="Arial" w:hAnsi="Arial" w:cs="Arial"/>
                <w:color w:val="000000"/>
                <w:sz w:val="14"/>
                <w:szCs w:val="14"/>
              </w:rPr>
              <w:t>38,549,360.92</w:t>
            </w:r>
          </w:p>
        </w:tc>
        <w:tc>
          <w:tcPr>
            <w:tcW w:w="1276" w:type="dxa"/>
            <w:shd w:val="clear" w:color="auto" w:fill="auto"/>
            <w:vAlign w:val="center"/>
          </w:tcPr>
          <w:p w14:paraId="406A75FA"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84.30</w:t>
            </w:r>
          </w:p>
        </w:tc>
        <w:tc>
          <w:tcPr>
            <w:tcW w:w="3672" w:type="dxa"/>
            <w:shd w:val="clear" w:color="auto" w:fill="auto"/>
            <w:vAlign w:val="center"/>
          </w:tcPr>
          <w:p w14:paraId="4F3CDE2C" w14:textId="77777777" w:rsidR="00712618" w:rsidRPr="00712618" w:rsidRDefault="00712618" w:rsidP="00712618">
            <w:pPr>
              <w:spacing w:before="120" w:after="120"/>
              <w:jc w:val="both"/>
              <w:rPr>
                <w:rFonts w:ascii="Arial" w:hAnsi="Arial" w:cs="Arial"/>
                <w:color w:val="000000"/>
                <w:sz w:val="14"/>
                <w:szCs w:val="14"/>
              </w:rPr>
            </w:pPr>
          </w:p>
          <w:p w14:paraId="6D241C77" w14:textId="77777777" w:rsidR="00712618" w:rsidRPr="00712618" w:rsidRDefault="00712618" w:rsidP="00CC276C">
            <w:pPr>
              <w:spacing w:before="120" w:after="120"/>
              <w:jc w:val="both"/>
              <w:rPr>
                <w:rFonts w:ascii="Arial" w:hAnsi="Arial" w:cs="Arial"/>
                <w:color w:val="000000"/>
                <w:sz w:val="14"/>
                <w:szCs w:val="14"/>
              </w:rPr>
            </w:pPr>
            <w:r w:rsidRPr="00712618">
              <w:rPr>
                <w:rFonts w:ascii="Arial" w:hAnsi="Arial" w:cs="Arial"/>
                <w:color w:val="000000"/>
                <w:sz w:val="14"/>
                <w:szCs w:val="14"/>
              </w:rPr>
              <w:t>Ingresos que se generan mensualmente derivado de la cuenta de inversión; no se realizaron las operaciones necesarias y la disminución del contrato con SSP.</w:t>
            </w:r>
          </w:p>
        </w:tc>
      </w:tr>
      <w:tr w:rsidR="00712618" w:rsidRPr="00712618" w14:paraId="44FEBFDE" w14:textId="77777777" w:rsidTr="009E04D5">
        <w:trPr>
          <w:trHeight w:val="462"/>
          <w:jc w:val="center"/>
        </w:trPr>
        <w:tc>
          <w:tcPr>
            <w:tcW w:w="418" w:type="dxa"/>
            <w:vAlign w:val="center"/>
          </w:tcPr>
          <w:p w14:paraId="473CADC3" w14:textId="77777777" w:rsidR="00712618" w:rsidRPr="00712618" w:rsidRDefault="00712618" w:rsidP="00712618">
            <w:pPr>
              <w:spacing w:before="120" w:after="120"/>
              <w:jc w:val="both"/>
              <w:rPr>
                <w:rFonts w:ascii="Arial" w:hAnsi="Arial" w:cs="Arial"/>
                <w:sz w:val="14"/>
                <w:szCs w:val="14"/>
              </w:rPr>
            </w:pPr>
          </w:p>
        </w:tc>
        <w:tc>
          <w:tcPr>
            <w:tcW w:w="1259" w:type="dxa"/>
            <w:shd w:val="clear" w:color="auto" w:fill="auto"/>
            <w:vAlign w:val="center"/>
          </w:tcPr>
          <w:p w14:paraId="7DE2F74A" w14:textId="77777777" w:rsidR="00712618" w:rsidRPr="00712618" w:rsidRDefault="00712618" w:rsidP="00712618">
            <w:pPr>
              <w:spacing w:before="120" w:after="120"/>
              <w:jc w:val="both"/>
              <w:rPr>
                <w:rFonts w:ascii="Arial" w:hAnsi="Arial" w:cs="Arial"/>
                <w:sz w:val="14"/>
                <w:szCs w:val="14"/>
              </w:rPr>
            </w:pPr>
          </w:p>
        </w:tc>
        <w:tc>
          <w:tcPr>
            <w:tcW w:w="1437" w:type="dxa"/>
            <w:shd w:val="clear" w:color="auto" w:fill="auto"/>
            <w:vAlign w:val="center"/>
          </w:tcPr>
          <w:p w14:paraId="0735CFD7" w14:textId="77777777" w:rsidR="00712618" w:rsidRPr="00712618" w:rsidRDefault="00712618" w:rsidP="00712618">
            <w:pPr>
              <w:spacing w:before="120" w:after="120"/>
              <w:jc w:val="right"/>
              <w:rPr>
                <w:rFonts w:ascii="Arial" w:hAnsi="Arial" w:cs="Arial"/>
                <w:color w:val="000000"/>
                <w:sz w:val="14"/>
                <w:szCs w:val="14"/>
              </w:rPr>
            </w:pPr>
          </w:p>
        </w:tc>
        <w:tc>
          <w:tcPr>
            <w:tcW w:w="1559" w:type="dxa"/>
            <w:shd w:val="clear" w:color="auto" w:fill="auto"/>
            <w:vAlign w:val="center"/>
          </w:tcPr>
          <w:p w14:paraId="36732B9F" w14:textId="77777777" w:rsidR="00712618" w:rsidRPr="00712618" w:rsidRDefault="00712618" w:rsidP="00712618">
            <w:pPr>
              <w:spacing w:before="120" w:after="120"/>
              <w:jc w:val="right"/>
              <w:rPr>
                <w:rFonts w:ascii="Arial" w:hAnsi="Arial" w:cs="Arial"/>
                <w:color w:val="000000"/>
                <w:sz w:val="14"/>
                <w:szCs w:val="14"/>
              </w:rPr>
            </w:pPr>
          </w:p>
        </w:tc>
        <w:tc>
          <w:tcPr>
            <w:tcW w:w="1276" w:type="dxa"/>
            <w:shd w:val="clear" w:color="auto" w:fill="auto"/>
            <w:vAlign w:val="center"/>
          </w:tcPr>
          <w:p w14:paraId="7B5D354B" w14:textId="77777777" w:rsidR="00712618" w:rsidRPr="00712618" w:rsidRDefault="00712618" w:rsidP="00712618">
            <w:pPr>
              <w:spacing w:before="120" w:after="120"/>
              <w:jc w:val="center"/>
              <w:rPr>
                <w:rFonts w:ascii="Arial" w:hAnsi="Arial" w:cs="Arial"/>
                <w:color w:val="000000"/>
                <w:sz w:val="14"/>
                <w:szCs w:val="14"/>
              </w:rPr>
            </w:pPr>
          </w:p>
        </w:tc>
        <w:tc>
          <w:tcPr>
            <w:tcW w:w="3672" w:type="dxa"/>
            <w:shd w:val="clear" w:color="auto" w:fill="auto"/>
            <w:vAlign w:val="center"/>
          </w:tcPr>
          <w:p w14:paraId="41D289D6" w14:textId="77777777" w:rsidR="00712618" w:rsidRPr="00712618" w:rsidRDefault="00712618" w:rsidP="00712618">
            <w:pPr>
              <w:spacing w:before="120" w:after="120"/>
              <w:jc w:val="both"/>
              <w:rPr>
                <w:rFonts w:ascii="Arial" w:hAnsi="Arial" w:cs="Arial"/>
                <w:color w:val="000000"/>
                <w:sz w:val="14"/>
                <w:szCs w:val="14"/>
              </w:rPr>
            </w:pPr>
          </w:p>
        </w:tc>
      </w:tr>
      <w:tr w:rsidR="00712618" w:rsidRPr="00712618" w14:paraId="19F14850" w14:textId="77777777" w:rsidTr="009E04D5">
        <w:trPr>
          <w:trHeight w:val="462"/>
          <w:jc w:val="center"/>
        </w:trPr>
        <w:tc>
          <w:tcPr>
            <w:tcW w:w="418" w:type="dxa"/>
            <w:vAlign w:val="center"/>
          </w:tcPr>
          <w:p w14:paraId="7C137B6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41</w:t>
            </w:r>
          </w:p>
        </w:tc>
        <w:tc>
          <w:tcPr>
            <w:tcW w:w="1259" w:type="dxa"/>
            <w:shd w:val="clear" w:color="auto" w:fill="auto"/>
            <w:vAlign w:val="center"/>
          </w:tcPr>
          <w:p w14:paraId="1272948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Centro de Conciliación Laboral del Estado de Quintana Roo</w:t>
            </w:r>
          </w:p>
        </w:tc>
        <w:tc>
          <w:tcPr>
            <w:tcW w:w="1437" w:type="dxa"/>
            <w:shd w:val="clear" w:color="auto" w:fill="auto"/>
            <w:vAlign w:val="center"/>
          </w:tcPr>
          <w:p w14:paraId="50B9FFF3"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101,900,110.00</w:t>
            </w:r>
          </w:p>
        </w:tc>
        <w:tc>
          <w:tcPr>
            <w:tcW w:w="1559" w:type="dxa"/>
            <w:shd w:val="clear" w:color="auto" w:fill="auto"/>
            <w:vAlign w:val="center"/>
          </w:tcPr>
          <w:p w14:paraId="0A9CEA7E"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40,710,078.91</w:t>
            </w:r>
          </w:p>
        </w:tc>
        <w:tc>
          <w:tcPr>
            <w:tcW w:w="1276" w:type="dxa"/>
            <w:shd w:val="clear" w:color="auto" w:fill="auto"/>
            <w:vAlign w:val="center"/>
          </w:tcPr>
          <w:p w14:paraId="40DC95C0"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39.95</w:t>
            </w:r>
          </w:p>
        </w:tc>
        <w:tc>
          <w:tcPr>
            <w:tcW w:w="3672" w:type="dxa"/>
            <w:shd w:val="clear" w:color="auto" w:fill="auto"/>
            <w:vAlign w:val="center"/>
          </w:tcPr>
          <w:p w14:paraId="6969C68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El Centro de Conciliación Laboral dio inicio de labores el 03 de noviembre de 2021, por lo que, se encuentra en constante crecimiento y desarrollo, sin embargo al 31 de diciembre de 2022, aún no logra contar con todos los servicios y suministros que se necesitan para operar eficientemente, derivado de ello se generan las variaciones entre el Estimado y el recaudado, de igual manera, se menciona que de 220 plazas de personal, habían sido </w:t>
            </w:r>
            <w:r w:rsidRPr="00712618">
              <w:rPr>
                <w:rFonts w:ascii="Arial" w:hAnsi="Arial" w:cs="Arial"/>
                <w:sz w:val="14"/>
                <w:szCs w:val="14"/>
              </w:rPr>
              <w:lastRenderedPageBreak/>
              <w:t>ocupadas 105, por lo tanto existe una economía de más del 50% en el capítulo que corresponde.</w:t>
            </w:r>
          </w:p>
        </w:tc>
      </w:tr>
      <w:tr w:rsidR="00712618" w:rsidRPr="00712618" w14:paraId="58B5B691" w14:textId="77777777" w:rsidTr="009E04D5">
        <w:trPr>
          <w:trHeight w:val="467"/>
          <w:jc w:val="center"/>
        </w:trPr>
        <w:tc>
          <w:tcPr>
            <w:tcW w:w="9621" w:type="dxa"/>
            <w:gridSpan w:val="6"/>
            <w:tcBorders>
              <w:top w:val="single" w:sz="4" w:space="0" w:color="auto"/>
              <w:left w:val="single" w:sz="4" w:space="0" w:color="auto"/>
              <w:bottom w:val="single" w:sz="4" w:space="0" w:color="auto"/>
              <w:right w:val="single" w:sz="4" w:space="0" w:color="auto"/>
            </w:tcBorders>
            <w:shd w:val="clear" w:color="auto" w:fill="9E9142"/>
            <w:vAlign w:val="center"/>
          </w:tcPr>
          <w:p w14:paraId="586FEBCB" w14:textId="77777777" w:rsidR="00712618" w:rsidRPr="00712618" w:rsidRDefault="00712618" w:rsidP="00712618">
            <w:pPr>
              <w:spacing w:before="120" w:after="120"/>
              <w:ind w:right="18"/>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ÓRGANOS AUTÓNOMOS</w:t>
            </w:r>
          </w:p>
        </w:tc>
      </w:tr>
      <w:tr w:rsidR="00712618" w:rsidRPr="00712618" w14:paraId="5E531541" w14:textId="77777777" w:rsidTr="009E04D5">
        <w:trPr>
          <w:trHeight w:val="1056"/>
          <w:jc w:val="center"/>
        </w:trPr>
        <w:tc>
          <w:tcPr>
            <w:tcW w:w="418" w:type="dxa"/>
            <w:tcBorders>
              <w:top w:val="single" w:sz="4" w:space="0" w:color="auto"/>
            </w:tcBorders>
            <w:vAlign w:val="center"/>
          </w:tcPr>
          <w:p w14:paraId="4E29C12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42</w:t>
            </w:r>
          </w:p>
        </w:tc>
        <w:tc>
          <w:tcPr>
            <w:tcW w:w="1259" w:type="dxa"/>
            <w:tcBorders>
              <w:top w:val="single" w:sz="4" w:space="0" w:color="auto"/>
            </w:tcBorders>
            <w:shd w:val="clear" w:color="auto" w:fill="auto"/>
            <w:vAlign w:val="center"/>
          </w:tcPr>
          <w:p w14:paraId="32E2CA68" w14:textId="77777777" w:rsidR="00712618" w:rsidRPr="00712618" w:rsidRDefault="00712618" w:rsidP="00712618">
            <w:pPr>
              <w:adjustRightInd w:val="0"/>
              <w:spacing w:before="120" w:after="120"/>
              <w:jc w:val="both"/>
              <w:rPr>
                <w:rFonts w:ascii="Arial" w:hAnsi="Arial" w:cs="Arial"/>
                <w:sz w:val="14"/>
                <w:szCs w:val="14"/>
              </w:rPr>
            </w:pPr>
            <w:r w:rsidRPr="00712618">
              <w:rPr>
                <w:rFonts w:ascii="Arial" w:hAnsi="Arial" w:cs="Arial"/>
                <w:sz w:val="14"/>
                <w:szCs w:val="14"/>
              </w:rPr>
              <w:t>Comisión de Derechos Humanos del Estado de Quintana Roo</w:t>
            </w:r>
          </w:p>
        </w:tc>
        <w:tc>
          <w:tcPr>
            <w:tcW w:w="1437" w:type="dxa"/>
            <w:tcBorders>
              <w:top w:val="single" w:sz="4" w:space="0" w:color="auto"/>
            </w:tcBorders>
            <w:shd w:val="clear" w:color="000000" w:fill="auto"/>
            <w:vAlign w:val="center"/>
          </w:tcPr>
          <w:p w14:paraId="417BD332"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65,024,697.02</w:t>
            </w:r>
          </w:p>
        </w:tc>
        <w:tc>
          <w:tcPr>
            <w:tcW w:w="1559" w:type="dxa"/>
            <w:tcBorders>
              <w:top w:val="single" w:sz="4" w:space="0" w:color="auto"/>
            </w:tcBorders>
            <w:shd w:val="clear" w:color="000000" w:fill="auto"/>
            <w:vAlign w:val="center"/>
          </w:tcPr>
          <w:p w14:paraId="4661EFB8"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63,961,000.30</w:t>
            </w:r>
          </w:p>
        </w:tc>
        <w:tc>
          <w:tcPr>
            <w:tcW w:w="1276" w:type="dxa"/>
            <w:tcBorders>
              <w:top w:val="single" w:sz="4" w:space="0" w:color="auto"/>
            </w:tcBorders>
            <w:shd w:val="clear" w:color="auto" w:fill="auto"/>
            <w:vAlign w:val="center"/>
          </w:tcPr>
          <w:p w14:paraId="3636356B"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98.36</w:t>
            </w:r>
          </w:p>
        </w:tc>
        <w:tc>
          <w:tcPr>
            <w:tcW w:w="3672" w:type="dxa"/>
            <w:tcBorders>
              <w:top w:val="single" w:sz="4" w:space="0" w:color="auto"/>
            </w:tcBorders>
            <w:shd w:val="clear" w:color="auto" w:fill="auto"/>
            <w:vAlign w:val="center"/>
          </w:tcPr>
          <w:p w14:paraId="58AC1FF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Esta variación deriva de los rendimientos financieros generados por el banco por el manejo de la cuenta; a</w:t>
            </w:r>
            <w:r w:rsidR="001376C7">
              <w:rPr>
                <w:rFonts w:ascii="Arial" w:hAnsi="Arial" w:cs="Arial"/>
                <w:sz w:val="14"/>
                <w:szCs w:val="14"/>
              </w:rPr>
              <w:t xml:space="preserve"> </w:t>
            </w:r>
            <w:r w:rsidRPr="00712618">
              <w:rPr>
                <w:rFonts w:ascii="Arial" w:hAnsi="Arial" w:cs="Arial"/>
                <w:sz w:val="14"/>
                <w:szCs w:val="14"/>
              </w:rPr>
              <w:t>la reducción del ingreso estimado por los pagos de las cuotas de recuperación por cobrar</w:t>
            </w:r>
            <w:r w:rsidR="001376C7">
              <w:rPr>
                <w:rFonts w:ascii="Arial" w:hAnsi="Arial" w:cs="Arial"/>
                <w:sz w:val="14"/>
                <w:szCs w:val="14"/>
              </w:rPr>
              <w:t xml:space="preserve"> </w:t>
            </w:r>
            <w:r w:rsidRPr="00712618">
              <w:rPr>
                <w:rFonts w:ascii="Arial" w:hAnsi="Arial" w:cs="Arial"/>
                <w:sz w:val="14"/>
                <w:szCs w:val="14"/>
              </w:rPr>
              <w:t>por adeudos pendientes de pagos de los alumnos de la IV generación de la Maestría y de la Especialidad; recurso pendiente de ministrar por parte de la SEFIPLAN.</w:t>
            </w:r>
          </w:p>
        </w:tc>
      </w:tr>
      <w:tr w:rsidR="00712618" w:rsidRPr="00712618" w14:paraId="228FE7FF" w14:textId="77777777" w:rsidTr="009E04D5">
        <w:trPr>
          <w:trHeight w:val="1103"/>
          <w:jc w:val="center"/>
        </w:trPr>
        <w:tc>
          <w:tcPr>
            <w:tcW w:w="418" w:type="dxa"/>
            <w:vAlign w:val="center"/>
          </w:tcPr>
          <w:p w14:paraId="3463463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43</w:t>
            </w:r>
          </w:p>
        </w:tc>
        <w:tc>
          <w:tcPr>
            <w:tcW w:w="1259" w:type="dxa"/>
            <w:shd w:val="clear" w:color="auto" w:fill="auto"/>
            <w:vAlign w:val="center"/>
          </w:tcPr>
          <w:p w14:paraId="5F8A7404" w14:textId="77777777" w:rsidR="00712618" w:rsidRPr="00712618" w:rsidRDefault="00712618" w:rsidP="00712618">
            <w:pPr>
              <w:adjustRightInd w:val="0"/>
              <w:spacing w:before="120" w:after="120"/>
              <w:jc w:val="both"/>
              <w:rPr>
                <w:rFonts w:ascii="Arial" w:hAnsi="Arial" w:cs="Arial"/>
                <w:sz w:val="14"/>
                <w:szCs w:val="14"/>
              </w:rPr>
            </w:pPr>
            <w:r w:rsidRPr="00712618">
              <w:rPr>
                <w:rFonts w:ascii="Arial" w:hAnsi="Arial" w:cs="Arial"/>
                <w:sz w:val="14"/>
                <w:szCs w:val="14"/>
              </w:rPr>
              <w:t>Fiscalía General del Estado de Quintana Roo</w:t>
            </w:r>
          </w:p>
        </w:tc>
        <w:tc>
          <w:tcPr>
            <w:tcW w:w="1437" w:type="dxa"/>
            <w:shd w:val="clear" w:color="000000" w:fill="auto"/>
            <w:vAlign w:val="center"/>
          </w:tcPr>
          <w:p w14:paraId="5D919FD5"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965,094,586.00</w:t>
            </w:r>
          </w:p>
        </w:tc>
        <w:tc>
          <w:tcPr>
            <w:tcW w:w="1559" w:type="dxa"/>
            <w:shd w:val="clear" w:color="000000" w:fill="auto"/>
            <w:vAlign w:val="center"/>
          </w:tcPr>
          <w:p w14:paraId="36AD9B2D"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1,129,844,728.06</w:t>
            </w:r>
          </w:p>
        </w:tc>
        <w:tc>
          <w:tcPr>
            <w:tcW w:w="1276" w:type="dxa"/>
            <w:shd w:val="clear" w:color="auto" w:fill="auto"/>
            <w:vAlign w:val="center"/>
          </w:tcPr>
          <w:p w14:paraId="3D26DD4C"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117.07</w:t>
            </w:r>
          </w:p>
        </w:tc>
        <w:tc>
          <w:tcPr>
            <w:tcW w:w="3672" w:type="dxa"/>
            <w:shd w:val="clear" w:color="auto" w:fill="auto"/>
            <w:vAlign w:val="center"/>
          </w:tcPr>
          <w:p w14:paraId="17047F2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Incremento generado por rendimientos financieros de las cuentas bancarias; ingresos generados por la recaudación propia por conceptos de antecedentes registrables, copia autenticable, prueba de antidoping, certificado de extravío de documentos, entre otros; SEFIPLAN autorizó ampliaciones presupuestales.</w:t>
            </w:r>
          </w:p>
        </w:tc>
      </w:tr>
      <w:tr w:rsidR="00712618" w:rsidRPr="00712618" w14:paraId="291C4870" w14:textId="77777777" w:rsidTr="009E04D5">
        <w:trPr>
          <w:trHeight w:val="1163"/>
          <w:jc w:val="center"/>
        </w:trPr>
        <w:tc>
          <w:tcPr>
            <w:tcW w:w="418" w:type="dxa"/>
            <w:vAlign w:val="center"/>
          </w:tcPr>
          <w:p w14:paraId="05C3E4C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44</w:t>
            </w:r>
          </w:p>
        </w:tc>
        <w:tc>
          <w:tcPr>
            <w:tcW w:w="1259" w:type="dxa"/>
            <w:shd w:val="clear" w:color="auto" w:fill="auto"/>
            <w:vAlign w:val="center"/>
          </w:tcPr>
          <w:p w14:paraId="472C502E" w14:textId="77777777" w:rsidR="00712618" w:rsidRPr="00712618" w:rsidRDefault="00712618" w:rsidP="00712618">
            <w:pPr>
              <w:adjustRightInd w:val="0"/>
              <w:spacing w:before="120" w:after="120"/>
              <w:jc w:val="both"/>
              <w:rPr>
                <w:rFonts w:ascii="Arial" w:hAnsi="Arial" w:cs="Arial"/>
                <w:sz w:val="14"/>
                <w:szCs w:val="14"/>
              </w:rPr>
            </w:pPr>
            <w:r w:rsidRPr="00712618">
              <w:rPr>
                <w:rFonts w:ascii="Arial" w:hAnsi="Arial" w:cs="Arial"/>
                <w:sz w:val="14"/>
                <w:szCs w:val="14"/>
              </w:rPr>
              <w:t>Instituto de Acceso a la Información y Protección de Datos Personales de Quintana Roo</w:t>
            </w:r>
          </w:p>
        </w:tc>
        <w:tc>
          <w:tcPr>
            <w:tcW w:w="1437" w:type="dxa"/>
            <w:shd w:val="clear" w:color="000000" w:fill="auto"/>
            <w:vAlign w:val="center"/>
          </w:tcPr>
          <w:p w14:paraId="0A0CBCCC"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48,954,752.00</w:t>
            </w:r>
          </w:p>
        </w:tc>
        <w:tc>
          <w:tcPr>
            <w:tcW w:w="1559" w:type="dxa"/>
            <w:shd w:val="clear" w:color="000000" w:fill="auto"/>
            <w:vAlign w:val="center"/>
          </w:tcPr>
          <w:p w14:paraId="25B3878C"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50,322,628.22</w:t>
            </w:r>
          </w:p>
        </w:tc>
        <w:tc>
          <w:tcPr>
            <w:tcW w:w="1276" w:type="dxa"/>
            <w:shd w:val="clear" w:color="auto" w:fill="auto"/>
            <w:vAlign w:val="center"/>
          </w:tcPr>
          <w:p w14:paraId="7363CA7E"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102.79</w:t>
            </w:r>
          </w:p>
        </w:tc>
        <w:tc>
          <w:tcPr>
            <w:tcW w:w="3672" w:type="dxa"/>
            <w:shd w:val="clear" w:color="auto" w:fill="auto"/>
            <w:vAlign w:val="center"/>
          </w:tcPr>
          <w:p w14:paraId="565C2C4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SEFIPLAN autorizó una ampliación presupuestal para el pago de finiquito de personal.</w:t>
            </w:r>
          </w:p>
        </w:tc>
      </w:tr>
      <w:tr w:rsidR="00712618" w:rsidRPr="00712618" w14:paraId="3B2CF1C2" w14:textId="77777777" w:rsidTr="009E04D5">
        <w:trPr>
          <w:trHeight w:val="441"/>
          <w:jc w:val="center"/>
        </w:trPr>
        <w:tc>
          <w:tcPr>
            <w:tcW w:w="418" w:type="dxa"/>
            <w:vAlign w:val="center"/>
          </w:tcPr>
          <w:p w14:paraId="3D13A89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45</w:t>
            </w:r>
          </w:p>
        </w:tc>
        <w:tc>
          <w:tcPr>
            <w:tcW w:w="1259" w:type="dxa"/>
            <w:shd w:val="clear" w:color="auto" w:fill="auto"/>
            <w:vAlign w:val="center"/>
          </w:tcPr>
          <w:p w14:paraId="3637494D" w14:textId="77777777" w:rsidR="00712618" w:rsidRPr="00712618" w:rsidRDefault="00712618" w:rsidP="00712618">
            <w:pPr>
              <w:adjustRightInd w:val="0"/>
              <w:spacing w:before="120" w:after="120"/>
              <w:jc w:val="both"/>
              <w:rPr>
                <w:rFonts w:ascii="Arial" w:hAnsi="Arial" w:cs="Arial"/>
                <w:sz w:val="14"/>
                <w:szCs w:val="14"/>
              </w:rPr>
            </w:pPr>
            <w:r w:rsidRPr="00712618">
              <w:rPr>
                <w:rFonts w:ascii="Arial" w:hAnsi="Arial" w:cs="Arial"/>
                <w:sz w:val="14"/>
                <w:szCs w:val="14"/>
              </w:rPr>
              <w:t>Instituto Electoral de Quintana Roo</w:t>
            </w:r>
          </w:p>
        </w:tc>
        <w:tc>
          <w:tcPr>
            <w:tcW w:w="1437" w:type="dxa"/>
            <w:shd w:val="clear" w:color="000000" w:fill="auto"/>
            <w:vAlign w:val="center"/>
          </w:tcPr>
          <w:p w14:paraId="0203DB67"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408,522,319.00</w:t>
            </w:r>
          </w:p>
        </w:tc>
        <w:tc>
          <w:tcPr>
            <w:tcW w:w="1559" w:type="dxa"/>
            <w:shd w:val="clear" w:color="000000" w:fill="auto"/>
            <w:vAlign w:val="center"/>
          </w:tcPr>
          <w:p w14:paraId="6904BC62"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367,356,373.00</w:t>
            </w:r>
          </w:p>
        </w:tc>
        <w:tc>
          <w:tcPr>
            <w:tcW w:w="1276" w:type="dxa"/>
            <w:shd w:val="clear" w:color="auto" w:fill="auto"/>
            <w:vAlign w:val="center"/>
          </w:tcPr>
          <w:p w14:paraId="75BBDDC2"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89.92</w:t>
            </w:r>
          </w:p>
        </w:tc>
        <w:tc>
          <w:tcPr>
            <w:tcW w:w="3672" w:type="dxa"/>
            <w:shd w:val="clear" w:color="auto" w:fill="auto"/>
            <w:vAlign w:val="center"/>
          </w:tcPr>
          <w:p w14:paraId="43374A5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Menor recaudación por ministraciones tramitadas ante SEFIPLAN pero que están pendientes de pago</w:t>
            </w:r>
          </w:p>
        </w:tc>
      </w:tr>
      <w:tr w:rsidR="00712618" w:rsidRPr="00712618" w14:paraId="5EE0E1A1" w14:textId="77777777" w:rsidTr="009E04D5">
        <w:trPr>
          <w:trHeight w:val="317"/>
          <w:jc w:val="center"/>
        </w:trPr>
        <w:tc>
          <w:tcPr>
            <w:tcW w:w="418" w:type="dxa"/>
            <w:vAlign w:val="center"/>
          </w:tcPr>
          <w:p w14:paraId="464371B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46</w:t>
            </w:r>
          </w:p>
        </w:tc>
        <w:tc>
          <w:tcPr>
            <w:tcW w:w="1259" w:type="dxa"/>
            <w:shd w:val="clear" w:color="auto" w:fill="auto"/>
            <w:vAlign w:val="center"/>
          </w:tcPr>
          <w:p w14:paraId="246F9729" w14:textId="77777777" w:rsidR="00712618" w:rsidRPr="00712618" w:rsidRDefault="00712618" w:rsidP="00712618">
            <w:pPr>
              <w:adjustRightInd w:val="0"/>
              <w:spacing w:before="120" w:after="120"/>
              <w:jc w:val="both"/>
              <w:rPr>
                <w:rFonts w:ascii="Arial" w:hAnsi="Arial" w:cs="Arial"/>
                <w:sz w:val="14"/>
                <w:szCs w:val="14"/>
              </w:rPr>
            </w:pPr>
            <w:r w:rsidRPr="00712618">
              <w:rPr>
                <w:rFonts w:ascii="Arial" w:hAnsi="Arial" w:cs="Arial"/>
                <w:sz w:val="14"/>
                <w:szCs w:val="14"/>
              </w:rPr>
              <w:t>Tribunal de Justicia Administrativa</w:t>
            </w:r>
            <w:r w:rsidR="001376C7">
              <w:rPr>
                <w:rFonts w:ascii="Arial" w:hAnsi="Arial" w:cs="Arial"/>
                <w:sz w:val="14"/>
                <w:szCs w:val="14"/>
              </w:rPr>
              <w:t xml:space="preserve"> </w:t>
            </w:r>
            <w:r w:rsidRPr="00712618">
              <w:rPr>
                <w:rFonts w:ascii="Arial" w:hAnsi="Arial" w:cs="Arial"/>
                <w:sz w:val="14"/>
                <w:szCs w:val="14"/>
              </w:rPr>
              <w:t>del Estado de Quintana Roo</w:t>
            </w:r>
          </w:p>
        </w:tc>
        <w:tc>
          <w:tcPr>
            <w:tcW w:w="1437" w:type="dxa"/>
            <w:shd w:val="clear" w:color="000000" w:fill="auto"/>
            <w:vAlign w:val="center"/>
          </w:tcPr>
          <w:p w14:paraId="6806D383"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69,967,441.00</w:t>
            </w:r>
          </w:p>
        </w:tc>
        <w:tc>
          <w:tcPr>
            <w:tcW w:w="1559" w:type="dxa"/>
            <w:shd w:val="clear" w:color="000000" w:fill="auto"/>
            <w:vAlign w:val="center"/>
          </w:tcPr>
          <w:p w14:paraId="68ED3DB3"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67,075,138.00</w:t>
            </w:r>
          </w:p>
        </w:tc>
        <w:tc>
          <w:tcPr>
            <w:tcW w:w="1276" w:type="dxa"/>
            <w:shd w:val="clear" w:color="auto" w:fill="auto"/>
            <w:vAlign w:val="center"/>
          </w:tcPr>
          <w:p w14:paraId="7064F88E"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95.87</w:t>
            </w:r>
          </w:p>
        </w:tc>
        <w:tc>
          <w:tcPr>
            <w:tcW w:w="3672" w:type="dxa"/>
            <w:shd w:val="clear" w:color="auto" w:fill="auto"/>
            <w:vAlign w:val="center"/>
          </w:tcPr>
          <w:p w14:paraId="6CA05B7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Recibos que SEFIPLAN no ha ministrado, por lo que se observa un decremento en la recaudación.</w:t>
            </w:r>
          </w:p>
        </w:tc>
      </w:tr>
      <w:tr w:rsidR="00712618" w:rsidRPr="00712618" w14:paraId="140BCF45" w14:textId="77777777" w:rsidTr="009E04D5">
        <w:trPr>
          <w:trHeight w:val="690"/>
          <w:jc w:val="center"/>
        </w:trPr>
        <w:tc>
          <w:tcPr>
            <w:tcW w:w="418" w:type="dxa"/>
            <w:tcBorders>
              <w:bottom w:val="single" w:sz="4" w:space="0" w:color="auto"/>
            </w:tcBorders>
            <w:vAlign w:val="center"/>
          </w:tcPr>
          <w:p w14:paraId="743CC6C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47</w:t>
            </w:r>
          </w:p>
        </w:tc>
        <w:tc>
          <w:tcPr>
            <w:tcW w:w="1259" w:type="dxa"/>
            <w:tcBorders>
              <w:bottom w:val="single" w:sz="4" w:space="0" w:color="auto"/>
            </w:tcBorders>
            <w:shd w:val="clear" w:color="auto" w:fill="auto"/>
            <w:vAlign w:val="center"/>
          </w:tcPr>
          <w:p w14:paraId="5AA2088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Tribunal Electoral de Quintana Roo</w:t>
            </w:r>
          </w:p>
        </w:tc>
        <w:tc>
          <w:tcPr>
            <w:tcW w:w="1437" w:type="dxa"/>
            <w:tcBorders>
              <w:bottom w:val="single" w:sz="4" w:space="0" w:color="auto"/>
            </w:tcBorders>
            <w:shd w:val="clear" w:color="000000" w:fill="auto"/>
            <w:vAlign w:val="center"/>
          </w:tcPr>
          <w:p w14:paraId="152EB74E"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43,542,367.00</w:t>
            </w:r>
          </w:p>
        </w:tc>
        <w:tc>
          <w:tcPr>
            <w:tcW w:w="1559" w:type="dxa"/>
            <w:tcBorders>
              <w:bottom w:val="single" w:sz="4" w:space="0" w:color="auto"/>
            </w:tcBorders>
            <w:shd w:val="clear" w:color="000000" w:fill="auto"/>
            <w:vAlign w:val="center"/>
          </w:tcPr>
          <w:p w14:paraId="3C3AFA03"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41,864,122.00</w:t>
            </w:r>
          </w:p>
        </w:tc>
        <w:tc>
          <w:tcPr>
            <w:tcW w:w="1276" w:type="dxa"/>
            <w:tcBorders>
              <w:bottom w:val="single" w:sz="4" w:space="0" w:color="auto"/>
            </w:tcBorders>
            <w:shd w:val="clear" w:color="auto" w:fill="auto"/>
            <w:vAlign w:val="center"/>
          </w:tcPr>
          <w:p w14:paraId="3D96144A"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96.15</w:t>
            </w:r>
          </w:p>
        </w:tc>
        <w:tc>
          <w:tcPr>
            <w:tcW w:w="3672" w:type="dxa"/>
            <w:tcBorders>
              <w:bottom w:val="single" w:sz="4" w:space="0" w:color="auto"/>
            </w:tcBorders>
            <w:shd w:val="clear" w:color="auto" w:fill="auto"/>
            <w:vAlign w:val="center"/>
          </w:tcPr>
          <w:p w14:paraId="4195347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Recursos de la segunda parte de aguinaldo que la SEFIPLAN ministra hasta el mes de enero al Tribunal Electoral”</w:t>
            </w:r>
          </w:p>
        </w:tc>
      </w:tr>
      <w:tr w:rsidR="00712618" w:rsidRPr="00712618" w14:paraId="45DDDA9B" w14:textId="77777777" w:rsidTr="009E04D5">
        <w:trPr>
          <w:trHeight w:val="549"/>
          <w:jc w:val="center"/>
        </w:trPr>
        <w:tc>
          <w:tcPr>
            <w:tcW w:w="9621" w:type="dxa"/>
            <w:gridSpan w:val="6"/>
            <w:tcBorders>
              <w:top w:val="single" w:sz="4" w:space="0" w:color="auto"/>
              <w:left w:val="single" w:sz="4" w:space="0" w:color="auto"/>
              <w:bottom w:val="single" w:sz="4" w:space="0" w:color="auto"/>
              <w:right w:val="single" w:sz="4" w:space="0" w:color="auto"/>
            </w:tcBorders>
            <w:shd w:val="clear" w:color="auto" w:fill="9E9142"/>
            <w:vAlign w:val="center"/>
          </w:tcPr>
          <w:p w14:paraId="241B4975" w14:textId="77777777" w:rsidR="00712618" w:rsidRPr="00712618" w:rsidRDefault="00712618" w:rsidP="00712618">
            <w:pPr>
              <w:spacing w:before="120" w:after="120"/>
              <w:ind w:right="18"/>
              <w:jc w:val="center"/>
              <w:rPr>
                <w:rFonts w:ascii="Arial" w:hAnsi="Arial" w:cs="Arial"/>
                <w:b/>
                <w:sz w:val="14"/>
                <w:szCs w:val="14"/>
              </w:rPr>
            </w:pPr>
            <w:r w:rsidRPr="00712618">
              <w:rPr>
                <w:rFonts w:ascii="Arial" w:hAnsi="Arial" w:cs="Arial"/>
                <w:b/>
                <w:color w:val="FFFFFF" w:themeColor="background1"/>
                <w:sz w:val="14"/>
                <w:szCs w:val="14"/>
              </w:rPr>
              <w:t>AYUNTAMIENTOS</w:t>
            </w:r>
          </w:p>
        </w:tc>
      </w:tr>
      <w:tr w:rsidR="00712618" w:rsidRPr="00712618" w14:paraId="01C05212" w14:textId="77777777" w:rsidTr="009E04D5">
        <w:trPr>
          <w:trHeight w:val="441"/>
          <w:jc w:val="center"/>
        </w:trPr>
        <w:tc>
          <w:tcPr>
            <w:tcW w:w="418" w:type="dxa"/>
            <w:tcBorders>
              <w:top w:val="single" w:sz="4" w:space="0" w:color="auto"/>
            </w:tcBorders>
            <w:vAlign w:val="center"/>
          </w:tcPr>
          <w:p w14:paraId="6B1842A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48</w:t>
            </w:r>
          </w:p>
        </w:tc>
        <w:tc>
          <w:tcPr>
            <w:tcW w:w="1259" w:type="dxa"/>
            <w:tcBorders>
              <w:top w:val="single" w:sz="4" w:space="0" w:color="auto"/>
            </w:tcBorders>
            <w:shd w:val="clear" w:color="auto" w:fill="auto"/>
            <w:vAlign w:val="center"/>
          </w:tcPr>
          <w:p w14:paraId="1CC0D78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color w:val="000000"/>
                <w:sz w:val="14"/>
                <w:szCs w:val="14"/>
              </w:rPr>
              <w:t>Ayuntamiento del</w:t>
            </w:r>
            <w:r w:rsidRPr="00712618">
              <w:rPr>
                <w:rFonts w:ascii="Arial" w:hAnsi="Arial" w:cs="Arial"/>
                <w:sz w:val="14"/>
                <w:szCs w:val="14"/>
              </w:rPr>
              <w:t xml:space="preserve"> Municipio de Bacalar</w:t>
            </w:r>
          </w:p>
        </w:tc>
        <w:tc>
          <w:tcPr>
            <w:tcW w:w="1437" w:type="dxa"/>
            <w:tcBorders>
              <w:top w:val="single" w:sz="4" w:space="0" w:color="auto"/>
            </w:tcBorders>
            <w:shd w:val="clear" w:color="000000" w:fill="auto"/>
            <w:vAlign w:val="center"/>
          </w:tcPr>
          <w:p w14:paraId="2D1A3DED"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316,135,712.00</w:t>
            </w:r>
          </w:p>
        </w:tc>
        <w:tc>
          <w:tcPr>
            <w:tcW w:w="1559" w:type="dxa"/>
            <w:tcBorders>
              <w:top w:val="single" w:sz="4" w:space="0" w:color="auto"/>
            </w:tcBorders>
            <w:shd w:val="clear" w:color="000000" w:fill="auto"/>
            <w:vAlign w:val="center"/>
          </w:tcPr>
          <w:p w14:paraId="62C670AE"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321,101,472.00</w:t>
            </w:r>
          </w:p>
        </w:tc>
        <w:tc>
          <w:tcPr>
            <w:tcW w:w="1276" w:type="dxa"/>
            <w:tcBorders>
              <w:top w:val="single" w:sz="4" w:space="0" w:color="auto"/>
            </w:tcBorders>
            <w:shd w:val="clear" w:color="auto" w:fill="auto"/>
            <w:vAlign w:val="center"/>
          </w:tcPr>
          <w:p w14:paraId="71DDBD44"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101.57</w:t>
            </w:r>
          </w:p>
        </w:tc>
        <w:tc>
          <w:tcPr>
            <w:tcW w:w="3672" w:type="dxa"/>
            <w:tcBorders>
              <w:top w:val="single" w:sz="4" w:space="0" w:color="auto"/>
            </w:tcBorders>
            <w:shd w:val="clear" w:color="auto" w:fill="auto"/>
            <w:vAlign w:val="center"/>
          </w:tcPr>
          <w:p w14:paraId="62B2D5C8" w14:textId="77777777" w:rsidR="00712618" w:rsidRPr="00712618" w:rsidRDefault="00712618" w:rsidP="00712618">
            <w:pPr>
              <w:spacing w:before="120" w:after="120"/>
              <w:jc w:val="both"/>
              <w:rPr>
                <w:rFonts w:ascii="Arial" w:hAnsi="Arial" w:cs="Arial"/>
                <w:b/>
                <w:sz w:val="14"/>
                <w:szCs w:val="14"/>
              </w:rPr>
            </w:pPr>
            <w:r w:rsidRPr="00712618">
              <w:rPr>
                <w:rFonts w:ascii="Arial" w:hAnsi="Arial" w:cs="Arial"/>
                <w:sz w:val="14"/>
                <w:szCs w:val="14"/>
              </w:rPr>
              <w:t>Se incrementó la recaudación de impuesto predial en comunidades rurales; Se realizaron ampliaciones debido a que algunas cuentas presupuestales se excedieron como lo es el caso de licencias de construcción, anuncios, uso de la vía pública; incremento en</w:t>
            </w:r>
            <w:r w:rsidR="001376C7">
              <w:rPr>
                <w:rFonts w:ascii="Arial" w:hAnsi="Arial" w:cs="Arial"/>
                <w:sz w:val="14"/>
                <w:szCs w:val="14"/>
              </w:rPr>
              <w:t xml:space="preserve"> </w:t>
            </w:r>
            <w:r w:rsidRPr="00712618">
              <w:rPr>
                <w:rFonts w:ascii="Arial" w:hAnsi="Arial" w:cs="Arial"/>
                <w:sz w:val="14"/>
                <w:szCs w:val="14"/>
              </w:rPr>
              <w:t>rendimientos bancarios de las cuentas municipales; se aumentó la recaudación por el rubro de explotación de bienes inmuebles del Ayuntamiento; mayor recaudación porque son recursos que deposita Gobierno del Estado correspondiente al ramo 28 y 33; se recibieron ingresos del programa peso por peso.</w:t>
            </w:r>
          </w:p>
        </w:tc>
      </w:tr>
      <w:tr w:rsidR="00712618" w:rsidRPr="00712618" w14:paraId="78F676BB" w14:textId="77777777" w:rsidTr="009E04D5">
        <w:trPr>
          <w:trHeight w:val="606"/>
          <w:jc w:val="center"/>
        </w:trPr>
        <w:tc>
          <w:tcPr>
            <w:tcW w:w="418" w:type="dxa"/>
            <w:vAlign w:val="center"/>
          </w:tcPr>
          <w:p w14:paraId="4A192C0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49</w:t>
            </w:r>
          </w:p>
        </w:tc>
        <w:tc>
          <w:tcPr>
            <w:tcW w:w="1259" w:type="dxa"/>
            <w:shd w:val="clear" w:color="auto" w:fill="auto"/>
            <w:vAlign w:val="center"/>
          </w:tcPr>
          <w:p w14:paraId="42BB81F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color w:val="000000"/>
                <w:sz w:val="14"/>
                <w:szCs w:val="14"/>
              </w:rPr>
              <w:t>Ayuntamiento del</w:t>
            </w:r>
            <w:r w:rsidRPr="00712618">
              <w:rPr>
                <w:rFonts w:ascii="Arial" w:hAnsi="Arial" w:cs="Arial"/>
                <w:sz w:val="14"/>
                <w:szCs w:val="14"/>
              </w:rPr>
              <w:t xml:space="preserve"> Municipio de Benito Juárez</w:t>
            </w:r>
          </w:p>
        </w:tc>
        <w:tc>
          <w:tcPr>
            <w:tcW w:w="1437" w:type="dxa"/>
            <w:shd w:val="clear" w:color="000000" w:fill="auto"/>
            <w:vAlign w:val="center"/>
          </w:tcPr>
          <w:p w14:paraId="2E765ED0"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4,476,387,383.00</w:t>
            </w:r>
          </w:p>
        </w:tc>
        <w:tc>
          <w:tcPr>
            <w:tcW w:w="1559" w:type="dxa"/>
            <w:shd w:val="clear" w:color="000000" w:fill="auto"/>
            <w:vAlign w:val="center"/>
          </w:tcPr>
          <w:p w14:paraId="0E20293B"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5,527,377,623.00</w:t>
            </w:r>
          </w:p>
        </w:tc>
        <w:tc>
          <w:tcPr>
            <w:tcW w:w="1276" w:type="dxa"/>
            <w:shd w:val="clear" w:color="auto" w:fill="auto"/>
            <w:vAlign w:val="center"/>
          </w:tcPr>
          <w:p w14:paraId="02DA83D8"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123.48</w:t>
            </w:r>
          </w:p>
        </w:tc>
        <w:tc>
          <w:tcPr>
            <w:tcW w:w="3672" w:type="dxa"/>
            <w:shd w:val="clear" w:color="auto" w:fill="auto"/>
            <w:vAlign w:val="center"/>
          </w:tcPr>
          <w:p w14:paraId="1400ACE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El comportamiento del flujo recaudatorio al cierre del ejercicio fiscal 2022, reflejó resultados positivos con una variación óptima, en la mayoría de sus capítulos de ingresos en las contribuciones municipales; derivado de las siguientes acciones recaudatorias: Ejecución de líneas de acción instauradas por la Tesorería Municipal bajo políticas generales de índole fiscal y administrativo, con enfoque a la regularización y concientización al contribuyente moroso, ampliando las Jornadas de estímulos fiscales; Mecanismos de agilización en trámites y servicios mediante el uso de plataformas digitales, instrumentadas en gran parte de las dependencias generadoras de ingresos, esto, en apoyo a la reactivación de los sectores comerciales, industriales y de servicios de este municipio por la repercusión económica a causa de la Pandemia Covid-19; Diversificación de formas de pago; Mejora en la comunicación con la ciudadanía mediante medios electrónicos; Capacitación continua del personal operativo, supervisión y de atención al contribuyente; Interoperabilidad del sistema catastral en conjunto con el Padrón del Impuesto Predial; Adecuación a las políticas hacendarias para la ampliación de la base gravable del padrón general de contribuyentes para obtención de efectos recaudatorios; Programa de actualización y depuración del padrón de impuesto predial con la Dirección de Catastro.</w:t>
            </w:r>
          </w:p>
        </w:tc>
      </w:tr>
      <w:tr w:rsidR="00712618" w:rsidRPr="00712618" w14:paraId="08A77A3C" w14:textId="77777777" w:rsidTr="009E04D5">
        <w:trPr>
          <w:trHeight w:val="690"/>
          <w:jc w:val="center"/>
        </w:trPr>
        <w:tc>
          <w:tcPr>
            <w:tcW w:w="418" w:type="dxa"/>
            <w:vAlign w:val="center"/>
          </w:tcPr>
          <w:p w14:paraId="2235E01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50</w:t>
            </w:r>
          </w:p>
        </w:tc>
        <w:tc>
          <w:tcPr>
            <w:tcW w:w="1259" w:type="dxa"/>
            <w:shd w:val="clear" w:color="auto" w:fill="auto"/>
            <w:vAlign w:val="center"/>
          </w:tcPr>
          <w:p w14:paraId="07E2AB7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color w:val="000000"/>
                <w:sz w:val="14"/>
                <w:szCs w:val="14"/>
              </w:rPr>
              <w:t>Ayuntamiento del</w:t>
            </w:r>
            <w:r w:rsidRPr="00712618">
              <w:rPr>
                <w:rFonts w:ascii="Arial" w:hAnsi="Arial" w:cs="Arial"/>
                <w:sz w:val="14"/>
                <w:szCs w:val="14"/>
              </w:rPr>
              <w:t xml:space="preserve"> Municipio de Cozumel</w:t>
            </w:r>
          </w:p>
        </w:tc>
        <w:tc>
          <w:tcPr>
            <w:tcW w:w="1437" w:type="dxa"/>
            <w:shd w:val="clear" w:color="000000" w:fill="auto"/>
            <w:vAlign w:val="center"/>
          </w:tcPr>
          <w:p w14:paraId="1DD80D22"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648,484,780.00</w:t>
            </w:r>
          </w:p>
        </w:tc>
        <w:tc>
          <w:tcPr>
            <w:tcW w:w="1559" w:type="dxa"/>
            <w:shd w:val="clear" w:color="000000" w:fill="auto"/>
            <w:vAlign w:val="center"/>
          </w:tcPr>
          <w:p w14:paraId="047C873B"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763,563,552.33</w:t>
            </w:r>
          </w:p>
        </w:tc>
        <w:tc>
          <w:tcPr>
            <w:tcW w:w="1276" w:type="dxa"/>
            <w:shd w:val="clear" w:color="auto" w:fill="auto"/>
            <w:vAlign w:val="center"/>
          </w:tcPr>
          <w:p w14:paraId="385C868D"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117.75</w:t>
            </w:r>
          </w:p>
        </w:tc>
        <w:tc>
          <w:tcPr>
            <w:tcW w:w="3672" w:type="dxa"/>
            <w:shd w:val="clear" w:color="auto" w:fill="auto"/>
            <w:vAlign w:val="center"/>
          </w:tcPr>
          <w:p w14:paraId="50A297D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Derivado de la reactivación económica se ha tenido un mayor incremento en el arribo de cruceros así como de visitantes nacionales e internacionales; la población se ha acercado al Ayuntamiento para ir cumpliendo con sus obligaciones en los pagos del Impuesto Predial; el Ayuntamiento ofreció descuento del 20% en el mes de diciembre para el pago del impuesto predial correspondiente al ejercicio 2022; incremento en la alza en la cuestión turística; hubo mayor arribo de turistas internacionales y nacionales, aunado a lo anterior, el turismo visitó más la isla por lo que la ocupación hotelera se incrementó; los cruceros actualmente tienen aperturado mas fechas para su arribo a Cozumel; se obtuvo una mayor recaudación en los conceptos de Derechos de desarrollo urbano y de funcionamiento municipal también la mayoría de los contribuyentes se acercaron actualizar sus licencias de funcionamiento municipal que no estaban al día; se tuvo un avance debido a una buena respuesta al ponerse al corriente en los pagos de rentas los locatarios de bienes inmuebles propiedad del municipio; aprovechamiento de la población en el pago de multas corrientes, así como el trámite de renovación de licencias de conducir; recurso extraordinario del Gobierno del Estado de Quintana Roo para la celebración del "CARNAVAL 2022" y "FERIA DEL CEDRAL 2022”.</w:t>
            </w:r>
          </w:p>
        </w:tc>
      </w:tr>
      <w:tr w:rsidR="00712618" w:rsidRPr="00712618" w14:paraId="361621FD" w14:textId="77777777" w:rsidTr="009E04D5">
        <w:trPr>
          <w:trHeight w:val="1477"/>
          <w:jc w:val="center"/>
        </w:trPr>
        <w:tc>
          <w:tcPr>
            <w:tcW w:w="418" w:type="dxa"/>
            <w:vAlign w:val="center"/>
          </w:tcPr>
          <w:p w14:paraId="1C08F79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51</w:t>
            </w:r>
          </w:p>
        </w:tc>
        <w:tc>
          <w:tcPr>
            <w:tcW w:w="1259" w:type="dxa"/>
            <w:shd w:val="clear" w:color="auto" w:fill="auto"/>
            <w:vAlign w:val="center"/>
          </w:tcPr>
          <w:p w14:paraId="1F0EFA4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color w:val="000000"/>
                <w:sz w:val="14"/>
                <w:szCs w:val="14"/>
              </w:rPr>
              <w:t>Ayuntamiento del</w:t>
            </w:r>
            <w:r w:rsidRPr="00712618">
              <w:rPr>
                <w:rFonts w:ascii="Arial" w:hAnsi="Arial" w:cs="Arial"/>
                <w:sz w:val="14"/>
                <w:szCs w:val="14"/>
              </w:rPr>
              <w:t xml:space="preserve"> Municipio de Felipe Carrillo Puerto</w:t>
            </w:r>
          </w:p>
        </w:tc>
        <w:tc>
          <w:tcPr>
            <w:tcW w:w="1437" w:type="dxa"/>
            <w:shd w:val="clear" w:color="000000" w:fill="auto"/>
            <w:vAlign w:val="center"/>
          </w:tcPr>
          <w:p w14:paraId="1CA445E5"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572,007,892.00</w:t>
            </w:r>
          </w:p>
        </w:tc>
        <w:tc>
          <w:tcPr>
            <w:tcW w:w="1559" w:type="dxa"/>
            <w:shd w:val="clear" w:color="000000" w:fill="auto"/>
            <w:vAlign w:val="center"/>
          </w:tcPr>
          <w:p w14:paraId="651A1C55"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623,620,634.71</w:t>
            </w:r>
          </w:p>
        </w:tc>
        <w:tc>
          <w:tcPr>
            <w:tcW w:w="1276" w:type="dxa"/>
            <w:shd w:val="clear" w:color="auto" w:fill="auto"/>
            <w:vAlign w:val="center"/>
          </w:tcPr>
          <w:p w14:paraId="35BDE749"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109.02</w:t>
            </w:r>
          </w:p>
        </w:tc>
        <w:tc>
          <w:tcPr>
            <w:tcW w:w="3672" w:type="dxa"/>
            <w:shd w:val="clear" w:color="auto" w:fill="auto"/>
            <w:vAlign w:val="center"/>
          </w:tcPr>
          <w:p w14:paraId="515E9F6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Derivado a los convenios establecidos con diferentes sindicatos del municipio, así como el interés de los contribuyentes en actualizar sus pagos en el Impuesto Predial permitió rebasar la meta establecida en el presupuesto anual; incremento en los servicios de transito así como los convenios establecidos con diferentes sindicatos; incremento en los servicios del Mercado municipal; cobros realizados por concepto de multas de tránsito.</w:t>
            </w:r>
          </w:p>
        </w:tc>
      </w:tr>
      <w:tr w:rsidR="00712618" w:rsidRPr="00712618" w14:paraId="58E227ED" w14:textId="77777777" w:rsidTr="009E04D5">
        <w:trPr>
          <w:trHeight w:val="690"/>
          <w:jc w:val="center"/>
        </w:trPr>
        <w:tc>
          <w:tcPr>
            <w:tcW w:w="418" w:type="dxa"/>
            <w:vAlign w:val="center"/>
          </w:tcPr>
          <w:p w14:paraId="0A22AC2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52</w:t>
            </w:r>
          </w:p>
        </w:tc>
        <w:tc>
          <w:tcPr>
            <w:tcW w:w="1259" w:type="dxa"/>
            <w:shd w:val="clear" w:color="auto" w:fill="auto"/>
            <w:vAlign w:val="center"/>
          </w:tcPr>
          <w:p w14:paraId="6F32DAF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color w:val="000000"/>
                <w:sz w:val="14"/>
                <w:szCs w:val="14"/>
              </w:rPr>
              <w:t>Ayuntamiento del</w:t>
            </w:r>
            <w:r w:rsidRPr="00712618">
              <w:rPr>
                <w:rFonts w:ascii="Arial" w:hAnsi="Arial" w:cs="Arial"/>
                <w:sz w:val="14"/>
                <w:szCs w:val="14"/>
              </w:rPr>
              <w:t xml:space="preserve"> Municipio de Isla Mujeres</w:t>
            </w:r>
          </w:p>
        </w:tc>
        <w:tc>
          <w:tcPr>
            <w:tcW w:w="1437" w:type="dxa"/>
            <w:shd w:val="clear" w:color="000000" w:fill="auto"/>
            <w:vAlign w:val="center"/>
          </w:tcPr>
          <w:p w14:paraId="0D07E3B2"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437,800,322.00</w:t>
            </w:r>
          </w:p>
        </w:tc>
        <w:tc>
          <w:tcPr>
            <w:tcW w:w="1559" w:type="dxa"/>
            <w:shd w:val="clear" w:color="000000" w:fill="auto"/>
            <w:vAlign w:val="center"/>
          </w:tcPr>
          <w:p w14:paraId="02B6D7BE"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724,022,705.93</w:t>
            </w:r>
          </w:p>
        </w:tc>
        <w:tc>
          <w:tcPr>
            <w:tcW w:w="1276" w:type="dxa"/>
            <w:shd w:val="clear" w:color="auto" w:fill="auto"/>
            <w:vAlign w:val="center"/>
          </w:tcPr>
          <w:p w14:paraId="3B7F50B7"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165.38</w:t>
            </w:r>
          </w:p>
        </w:tc>
        <w:tc>
          <w:tcPr>
            <w:tcW w:w="3672" w:type="dxa"/>
            <w:shd w:val="clear" w:color="auto" w:fill="auto"/>
            <w:vAlign w:val="center"/>
          </w:tcPr>
          <w:p w14:paraId="1E485B4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Derivado de todas las iniciativas para incentivar el pago de las contribuciones fiscales municipales, la ciudadanía ha respondido favorablemente al pago de Impuesto Predial, regularizando su Patrimonio, de esta forma superando lo presupuestado desde el segundo mes de recaudación; derivado de la derrama económica, toda vez que el Municipio de Isla Mujeres se encuentra en el primer lugar en ocupación hotelera estatal y de la implementación de los programas de estímulos fiscales en los servicios de recolección, transportación, tratamiento y destino final de residuos sólidos; derechos por la estancia de corralón y multas de tránsito y en expedición, renovación y dotación por robo de licencias de conducir; el H. Ayuntamiento de Isla Mujeres se encuentra en proceso de regularización de los pagos de los mercados y otros sitios con la finalidad de que puedan estar al corriente; el rendimiento financiero de las diferentes cuentas bancarias del H. Ayuntamiento, ha generado de igual manera el incremento en la cuenta de productos financieros;</w:t>
            </w:r>
            <w:r w:rsidRPr="00712618">
              <w:rPr>
                <w:rFonts w:ascii="Arial" w:hAnsi="Arial" w:cs="Arial"/>
                <w:b/>
                <w:sz w:val="14"/>
                <w:szCs w:val="14"/>
              </w:rPr>
              <w:t xml:space="preserve"> </w:t>
            </w:r>
            <w:r w:rsidRPr="00712618">
              <w:rPr>
                <w:rFonts w:ascii="Arial" w:hAnsi="Arial" w:cs="Arial"/>
                <w:sz w:val="14"/>
                <w:szCs w:val="14"/>
              </w:rPr>
              <w:t>hubieron situaciones extraordinarias en las que se aplicaron sanciones que rebasan lo presupuestado en el periodo. La recaudación de Aprovechamientos Patrimoniales, se obtuvo una recaudación superior a lo estimado derivada del pago de la Contraprestación de Promotora Xel-Ha.</w:t>
            </w:r>
          </w:p>
        </w:tc>
      </w:tr>
      <w:tr w:rsidR="00712618" w:rsidRPr="00712618" w14:paraId="4540B36A" w14:textId="77777777" w:rsidTr="009E04D5">
        <w:trPr>
          <w:trHeight w:val="456"/>
          <w:jc w:val="center"/>
        </w:trPr>
        <w:tc>
          <w:tcPr>
            <w:tcW w:w="418" w:type="dxa"/>
            <w:vAlign w:val="center"/>
          </w:tcPr>
          <w:p w14:paraId="7722A25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53</w:t>
            </w:r>
          </w:p>
        </w:tc>
        <w:tc>
          <w:tcPr>
            <w:tcW w:w="1259" w:type="dxa"/>
            <w:shd w:val="clear" w:color="auto" w:fill="auto"/>
            <w:vAlign w:val="center"/>
          </w:tcPr>
          <w:p w14:paraId="06BAA506" w14:textId="77777777" w:rsidR="00712618" w:rsidRPr="00712618" w:rsidRDefault="00712618" w:rsidP="00712618">
            <w:pPr>
              <w:spacing w:before="120" w:after="120"/>
              <w:jc w:val="both"/>
              <w:rPr>
                <w:rFonts w:ascii="Arial" w:hAnsi="Arial" w:cs="Arial"/>
                <w:color w:val="FF0000"/>
                <w:sz w:val="14"/>
                <w:szCs w:val="14"/>
              </w:rPr>
            </w:pPr>
            <w:r w:rsidRPr="00712618">
              <w:rPr>
                <w:rFonts w:ascii="Arial" w:hAnsi="Arial" w:cs="Arial"/>
                <w:sz w:val="14"/>
                <w:szCs w:val="14"/>
              </w:rPr>
              <w:t>Ayuntamiento del Municipio de José María Morelos</w:t>
            </w:r>
          </w:p>
        </w:tc>
        <w:tc>
          <w:tcPr>
            <w:tcW w:w="1437" w:type="dxa"/>
            <w:shd w:val="clear" w:color="000000" w:fill="auto"/>
            <w:vAlign w:val="center"/>
          </w:tcPr>
          <w:p w14:paraId="41597A52"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77,801,287.02</w:t>
            </w:r>
          </w:p>
        </w:tc>
        <w:tc>
          <w:tcPr>
            <w:tcW w:w="1559" w:type="dxa"/>
            <w:shd w:val="clear" w:color="000000" w:fill="auto"/>
            <w:vAlign w:val="center"/>
          </w:tcPr>
          <w:p w14:paraId="20B67CE6"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59,452,280.76</w:t>
            </w:r>
          </w:p>
        </w:tc>
        <w:tc>
          <w:tcPr>
            <w:tcW w:w="1276" w:type="dxa"/>
            <w:shd w:val="clear" w:color="auto" w:fill="auto"/>
            <w:vAlign w:val="center"/>
          </w:tcPr>
          <w:p w14:paraId="13E2469E"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76.42</w:t>
            </w:r>
          </w:p>
        </w:tc>
        <w:tc>
          <w:tcPr>
            <w:tcW w:w="3672" w:type="dxa"/>
            <w:shd w:val="clear" w:color="auto" w:fill="auto"/>
            <w:vAlign w:val="center"/>
          </w:tcPr>
          <w:p w14:paraId="6ABBE4AD" w14:textId="77777777" w:rsidR="00712618" w:rsidRPr="00712618" w:rsidRDefault="00712618" w:rsidP="00712618">
            <w:pPr>
              <w:spacing w:before="120" w:after="120"/>
              <w:jc w:val="both"/>
              <w:rPr>
                <w:rFonts w:ascii="Arial" w:hAnsi="Arial" w:cs="Arial"/>
                <w:sz w:val="14"/>
                <w:szCs w:val="14"/>
                <w:highlight w:val="yellow"/>
              </w:rPr>
            </w:pPr>
            <w:r w:rsidRPr="00712618">
              <w:rPr>
                <w:rFonts w:ascii="Arial" w:hAnsi="Arial" w:cs="Arial"/>
                <w:sz w:val="14"/>
                <w:szCs w:val="14"/>
              </w:rPr>
              <w:t>Los ingresos obtenidos en los rubros del impuesto predial rustico y urbano, y sobre adquisiciones de bienes inmuebles (cambio de propietario); incrementos en rubros de licencias de chofer; licencias de motociclistas, licencia de automovilistas, licencia de servicio público estatal; permisos de cristales polarizados, permiso para circular sin licencia por 30 dias; permiso para circular mototaxi , expedición de actas de nacimiento y licencias para construcción,</w:t>
            </w:r>
            <w:r w:rsidR="001376C7">
              <w:rPr>
                <w:rFonts w:ascii="Arial" w:hAnsi="Arial" w:cs="Arial"/>
                <w:sz w:val="14"/>
                <w:szCs w:val="14"/>
              </w:rPr>
              <w:t xml:space="preserve"> </w:t>
            </w:r>
            <w:r w:rsidRPr="00712618">
              <w:rPr>
                <w:rFonts w:ascii="Arial" w:hAnsi="Arial" w:cs="Arial"/>
                <w:sz w:val="14"/>
                <w:szCs w:val="14"/>
              </w:rPr>
              <w:t>alineamientos de predios: licencias y refrendos de funcionamiento; rastro e inspección sanitaria; servicios prestados en materia de protección civil, servicio de recolección, transportación (recolecta de basura en comercios); aportación extraordinaria para la contratación de un grupo musical que actúa para la feria EXPOMOR 2022 la cual fue otorgada por el gobierno del estado.</w:t>
            </w:r>
          </w:p>
        </w:tc>
      </w:tr>
      <w:tr w:rsidR="00712618" w:rsidRPr="00712618" w14:paraId="422E1678" w14:textId="77777777" w:rsidTr="009E04D5">
        <w:trPr>
          <w:trHeight w:val="690"/>
          <w:jc w:val="center"/>
        </w:trPr>
        <w:tc>
          <w:tcPr>
            <w:tcW w:w="418" w:type="dxa"/>
            <w:vAlign w:val="center"/>
          </w:tcPr>
          <w:p w14:paraId="5E2FB8EE"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54</w:t>
            </w:r>
          </w:p>
        </w:tc>
        <w:tc>
          <w:tcPr>
            <w:tcW w:w="1259" w:type="dxa"/>
            <w:shd w:val="clear" w:color="auto" w:fill="auto"/>
            <w:vAlign w:val="center"/>
          </w:tcPr>
          <w:p w14:paraId="67D670F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color w:val="000000"/>
                <w:sz w:val="14"/>
                <w:szCs w:val="14"/>
              </w:rPr>
              <w:t>Ayuntamiento del</w:t>
            </w:r>
            <w:r w:rsidRPr="00712618">
              <w:rPr>
                <w:rFonts w:ascii="Arial" w:hAnsi="Arial" w:cs="Arial"/>
                <w:sz w:val="14"/>
                <w:szCs w:val="14"/>
              </w:rPr>
              <w:t xml:space="preserve"> Municipio de Lázaro Cárdenas</w:t>
            </w:r>
          </w:p>
        </w:tc>
        <w:tc>
          <w:tcPr>
            <w:tcW w:w="1437" w:type="dxa"/>
            <w:shd w:val="clear" w:color="000000" w:fill="auto"/>
            <w:vAlign w:val="center"/>
          </w:tcPr>
          <w:p w14:paraId="28B923F4"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318,991,846.00</w:t>
            </w:r>
          </w:p>
        </w:tc>
        <w:tc>
          <w:tcPr>
            <w:tcW w:w="1559" w:type="dxa"/>
            <w:shd w:val="clear" w:color="000000" w:fill="auto"/>
            <w:vAlign w:val="center"/>
          </w:tcPr>
          <w:p w14:paraId="61A50827"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304,796,993.90</w:t>
            </w:r>
          </w:p>
        </w:tc>
        <w:tc>
          <w:tcPr>
            <w:tcW w:w="1276" w:type="dxa"/>
            <w:shd w:val="clear" w:color="auto" w:fill="auto"/>
            <w:vAlign w:val="center"/>
          </w:tcPr>
          <w:p w14:paraId="1336A912"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95.55</w:t>
            </w:r>
          </w:p>
        </w:tc>
        <w:tc>
          <w:tcPr>
            <w:tcW w:w="3672" w:type="dxa"/>
            <w:shd w:val="clear" w:color="auto" w:fill="auto"/>
            <w:vAlign w:val="center"/>
          </w:tcPr>
          <w:p w14:paraId="3300D66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No se alcanzó el porcentaje, ya que se contaba con el pago de la Isla grande de Holbox predios rústicos que hasta el momento no lo han hecho, los de la comunidad de solferino que harían trámites para empezar el traspaso de sus terrenos que están vendiendo. al pasar la tarifas de SMG a UMAS hubo una reducción en el costo de los derechos que expide desarrollo urbano; no se recaudó lo presupuestado, ya que el papel que se expide del registro civil no se está cobrando solo el derecho; lo que se cobra en licencias de funcionamiento se envía al rubro de otros ingresos; existe una mala clasificación de cuentas, ya que se tienen registrado cuentas de rezagos de prediales de años anteriores.</w:t>
            </w:r>
          </w:p>
        </w:tc>
      </w:tr>
      <w:tr w:rsidR="00712618" w:rsidRPr="00712618" w14:paraId="37AE936A" w14:textId="77777777" w:rsidTr="009E04D5">
        <w:trPr>
          <w:trHeight w:val="1150"/>
          <w:jc w:val="center"/>
        </w:trPr>
        <w:tc>
          <w:tcPr>
            <w:tcW w:w="418" w:type="dxa"/>
            <w:vAlign w:val="center"/>
          </w:tcPr>
          <w:p w14:paraId="7D20C66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55</w:t>
            </w:r>
          </w:p>
        </w:tc>
        <w:tc>
          <w:tcPr>
            <w:tcW w:w="1259" w:type="dxa"/>
            <w:shd w:val="clear" w:color="auto" w:fill="auto"/>
            <w:vAlign w:val="center"/>
          </w:tcPr>
          <w:p w14:paraId="6D67F17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color w:val="000000"/>
                <w:sz w:val="14"/>
                <w:szCs w:val="14"/>
              </w:rPr>
              <w:t>Ayuntamiento del</w:t>
            </w:r>
            <w:r w:rsidRPr="00712618">
              <w:rPr>
                <w:rFonts w:ascii="Arial" w:hAnsi="Arial" w:cs="Arial"/>
                <w:sz w:val="14"/>
                <w:szCs w:val="14"/>
              </w:rPr>
              <w:t xml:space="preserve"> Municipio de Othón P. Blanco</w:t>
            </w:r>
          </w:p>
        </w:tc>
        <w:tc>
          <w:tcPr>
            <w:tcW w:w="1437" w:type="dxa"/>
            <w:shd w:val="clear" w:color="000000" w:fill="auto"/>
            <w:vAlign w:val="center"/>
          </w:tcPr>
          <w:p w14:paraId="47A8890D"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976,130,808.00</w:t>
            </w:r>
          </w:p>
        </w:tc>
        <w:tc>
          <w:tcPr>
            <w:tcW w:w="1559" w:type="dxa"/>
            <w:shd w:val="clear" w:color="000000" w:fill="auto"/>
            <w:vAlign w:val="center"/>
          </w:tcPr>
          <w:p w14:paraId="279E9190"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1,091,369,548.39</w:t>
            </w:r>
          </w:p>
        </w:tc>
        <w:tc>
          <w:tcPr>
            <w:tcW w:w="1276" w:type="dxa"/>
            <w:shd w:val="clear" w:color="auto" w:fill="auto"/>
            <w:vAlign w:val="center"/>
          </w:tcPr>
          <w:p w14:paraId="094312FD"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111.81</w:t>
            </w:r>
          </w:p>
        </w:tc>
        <w:tc>
          <w:tcPr>
            <w:tcW w:w="3672" w:type="dxa"/>
            <w:shd w:val="clear" w:color="auto" w:fill="auto"/>
            <w:vAlign w:val="center"/>
          </w:tcPr>
          <w:p w14:paraId="6D3C26E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Incremento recaudatorio de Impuesto Predial e Impuesto sobre Adquisiciones de Inmuebles. Se realizó una ampliación presupuestal de partidas específicas; recaudación esporádica dentro del rubro de Contribuciones de Mejoras; incremento del rubro de ocupación de la vía pública; recaudación de Productos de Mercados y otros sitios y Rendimientos financieros; aumento de Participaciones en las ministraciones del Fondo de Fomento Municipal, Fondo de Fiscalización y Recaudación y 0.136% de la recaudación participable y recuperaciones por parte del Fondo del Impuesto Sobre la Renta. Así también, por la ministración por rubro de Convenios del CONAFOR no estimados; Multas Administrativas Federales no Fiscales; recaudación esporádica dentro del rubro de Subsidios y Subvenciones correspondiente a la ministración de Subsidio extraordinario.</w:t>
            </w:r>
          </w:p>
        </w:tc>
      </w:tr>
      <w:tr w:rsidR="00712618" w:rsidRPr="00712618" w14:paraId="01A4FF1B" w14:textId="77777777" w:rsidTr="009E04D5">
        <w:trPr>
          <w:trHeight w:val="597"/>
          <w:jc w:val="center"/>
        </w:trPr>
        <w:tc>
          <w:tcPr>
            <w:tcW w:w="418" w:type="dxa"/>
            <w:vAlign w:val="center"/>
          </w:tcPr>
          <w:p w14:paraId="3F5A154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56</w:t>
            </w:r>
          </w:p>
        </w:tc>
        <w:tc>
          <w:tcPr>
            <w:tcW w:w="1259" w:type="dxa"/>
            <w:shd w:val="clear" w:color="auto" w:fill="auto"/>
            <w:vAlign w:val="center"/>
          </w:tcPr>
          <w:p w14:paraId="7DEE775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color w:val="000000"/>
                <w:sz w:val="14"/>
                <w:szCs w:val="14"/>
              </w:rPr>
              <w:t>Ayuntamiento del</w:t>
            </w:r>
            <w:r w:rsidRPr="00712618">
              <w:rPr>
                <w:rFonts w:ascii="Arial" w:hAnsi="Arial" w:cs="Arial"/>
                <w:sz w:val="14"/>
                <w:szCs w:val="14"/>
              </w:rPr>
              <w:t xml:space="preserve"> Municipio de Puerto Morelos</w:t>
            </w:r>
          </w:p>
        </w:tc>
        <w:tc>
          <w:tcPr>
            <w:tcW w:w="1437" w:type="dxa"/>
            <w:shd w:val="clear" w:color="000000" w:fill="auto"/>
            <w:vAlign w:val="center"/>
          </w:tcPr>
          <w:p w14:paraId="40643F4F"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493,955,974.00</w:t>
            </w:r>
          </w:p>
        </w:tc>
        <w:tc>
          <w:tcPr>
            <w:tcW w:w="1559" w:type="dxa"/>
            <w:shd w:val="clear" w:color="000000" w:fill="auto"/>
            <w:vAlign w:val="center"/>
          </w:tcPr>
          <w:p w14:paraId="60DD8E4B"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545,772,128.55</w:t>
            </w:r>
          </w:p>
        </w:tc>
        <w:tc>
          <w:tcPr>
            <w:tcW w:w="1276" w:type="dxa"/>
            <w:shd w:val="clear" w:color="auto" w:fill="auto"/>
            <w:vAlign w:val="center"/>
          </w:tcPr>
          <w:p w14:paraId="2EA8AFDC"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110.49</w:t>
            </w:r>
          </w:p>
        </w:tc>
        <w:tc>
          <w:tcPr>
            <w:tcW w:w="3672" w:type="dxa"/>
            <w:shd w:val="clear" w:color="auto" w:fill="auto"/>
            <w:vAlign w:val="center"/>
          </w:tcPr>
          <w:p w14:paraId="186F51E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Aumento del pago de impuesto predial y los impuestos sobre la adquisición de inmuebles; contribuciones adquiridas mediante la renovación de las licencias de funcionamiento de los contribuyentes; pago de derecho por comercio en la vía publica así como también por el manejo de las cuentas bancarias del H. Ayuntamiento de Puerto Morelos; multas desarrollo urbano y fiscalización; aumento del presupuesto asignado por la federación para el H. Ayuntamiento de Puerto Morelos.</w:t>
            </w:r>
          </w:p>
        </w:tc>
      </w:tr>
      <w:tr w:rsidR="00712618" w:rsidRPr="00712618" w14:paraId="2D8DC140" w14:textId="77777777" w:rsidTr="009E04D5">
        <w:trPr>
          <w:trHeight w:val="690"/>
          <w:jc w:val="center"/>
        </w:trPr>
        <w:tc>
          <w:tcPr>
            <w:tcW w:w="418" w:type="dxa"/>
            <w:vAlign w:val="center"/>
          </w:tcPr>
          <w:p w14:paraId="31DB648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57</w:t>
            </w:r>
          </w:p>
        </w:tc>
        <w:tc>
          <w:tcPr>
            <w:tcW w:w="1259" w:type="dxa"/>
            <w:shd w:val="clear" w:color="auto" w:fill="auto"/>
            <w:vAlign w:val="center"/>
          </w:tcPr>
          <w:p w14:paraId="48AC985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color w:val="000000"/>
                <w:sz w:val="14"/>
                <w:szCs w:val="14"/>
              </w:rPr>
              <w:t>Ayuntamiento del</w:t>
            </w:r>
            <w:r w:rsidRPr="00712618">
              <w:rPr>
                <w:rFonts w:ascii="Arial" w:hAnsi="Arial" w:cs="Arial"/>
                <w:sz w:val="14"/>
                <w:szCs w:val="14"/>
              </w:rPr>
              <w:t xml:space="preserve"> Municipio de Solidaridad</w:t>
            </w:r>
          </w:p>
        </w:tc>
        <w:tc>
          <w:tcPr>
            <w:tcW w:w="1437" w:type="dxa"/>
            <w:shd w:val="clear" w:color="000000" w:fill="auto"/>
            <w:vAlign w:val="center"/>
          </w:tcPr>
          <w:p w14:paraId="205C116A"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2,707,986,462.00</w:t>
            </w:r>
          </w:p>
        </w:tc>
        <w:tc>
          <w:tcPr>
            <w:tcW w:w="1559" w:type="dxa"/>
            <w:shd w:val="clear" w:color="000000" w:fill="auto"/>
            <w:vAlign w:val="center"/>
          </w:tcPr>
          <w:p w14:paraId="0714D14C"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3,235,134,596.27</w:t>
            </w:r>
          </w:p>
        </w:tc>
        <w:tc>
          <w:tcPr>
            <w:tcW w:w="1276" w:type="dxa"/>
            <w:shd w:val="clear" w:color="auto" w:fill="auto"/>
            <w:vAlign w:val="center"/>
          </w:tcPr>
          <w:p w14:paraId="44AE1684"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119.47</w:t>
            </w:r>
          </w:p>
        </w:tc>
        <w:tc>
          <w:tcPr>
            <w:tcW w:w="3672" w:type="dxa"/>
            <w:shd w:val="clear" w:color="auto" w:fill="auto"/>
            <w:vAlign w:val="center"/>
          </w:tcPr>
          <w:p w14:paraId="65A2B1D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Se continúa con la declaración por parte de las notarías en relación a la compraventa de bienes inmuebles; de igual manera se disminuyó la cartera vencida de los traslados de dominio, de las distintas notarías que tenían iniciado trámite y no habían efectuado el pago del impuesto correspondiente; la Dirección de Catastro, realizó 2,151 altas de predios en el Municipio de Solidaridad; incremento del programa de incentivos fiscales de fin de año y buen fin; se realizaron invitaciones a los contribuyentes para regularizar el pago por el derecho de Saneamiento Ambiental, teniendo una respuesta positiva e incrementando la recaudación ; se obtuvo un incremento en los intereses ganados de las cuentas bancarias; </w:t>
            </w:r>
            <w:r w:rsidRPr="00712618">
              <w:rPr>
                <w:rFonts w:ascii="Arial" w:hAnsi="Arial" w:cs="Arial"/>
                <w:sz w:val="14"/>
                <w:szCs w:val="14"/>
              </w:rPr>
              <w:lastRenderedPageBreak/>
              <w:t>se rebasó la meta establecida de las participaciones federales e incentivos derivados de la colaboración fiscal.</w:t>
            </w:r>
          </w:p>
        </w:tc>
      </w:tr>
      <w:tr w:rsidR="00712618" w:rsidRPr="00712618" w14:paraId="222BE05F" w14:textId="77777777" w:rsidTr="009E04D5">
        <w:trPr>
          <w:trHeight w:val="690"/>
          <w:jc w:val="center"/>
        </w:trPr>
        <w:tc>
          <w:tcPr>
            <w:tcW w:w="418" w:type="dxa"/>
            <w:tcBorders>
              <w:bottom w:val="single" w:sz="4" w:space="0" w:color="auto"/>
            </w:tcBorders>
            <w:vAlign w:val="center"/>
          </w:tcPr>
          <w:p w14:paraId="323B91E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58</w:t>
            </w:r>
          </w:p>
        </w:tc>
        <w:tc>
          <w:tcPr>
            <w:tcW w:w="1259" w:type="dxa"/>
            <w:tcBorders>
              <w:bottom w:val="single" w:sz="4" w:space="0" w:color="auto"/>
            </w:tcBorders>
            <w:shd w:val="clear" w:color="auto" w:fill="auto"/>
            <w:vAlign w:val="center"/>
          </w:tcPr>
          <w:p w14:paraId="3259736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color w:val="000000"/>
                <w:sz w:val="14"/>
                <w:szCs w:val="14"/>
              </w:rPr>
              <w:t>Ayuntamiento del</w:t>
            </w:r>
            <w:r w:rsidRPr="00712618">
              <w:rPr>
                <w:rFonts w:ascii="Arial" w:hAnsi="Arial" w:cs="Arial"/>
                <w:sz w:val="14"/>
                <w:szCs w:val="14"/>
              </w:rPr>
              <w:t xml:space="preserve"> Municipio de Tulum</w:t>
            </w:r>
          </w:p>
        </w:tc>
        <w:tc>
          <w:tcPr>
            <w:tcW w:w="1437" w:type="dxa"/>
            <w:tcBorders>
              <w:bottom w:val="single" w:sz="4" w:space="0" w:color="auto"/>
            </w:tcBorders>
            <w:shd w:val="clear" w:color="000000" w:fill="auto"/>
            <w:vAlign w:val="center"/>
          </w:tcPr>
          <w:p w14:paraId="2CAE305C"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871,815,534.00</w:t>
            </w:r>
          </w:p>
        </w:tc>
        <w:tc>
          <w:tcPr>
            <w:tcW w:w="1559" w:type="dxa"/>
            <w:tcBorders>
              <w:bottom w:val="single" w:sz="4" w:space="0" w:color="auto"/>
            </w:tcBorders>
            <w:shd w:val="clear" w:color="000000" w:fill="auto"/>
            <w:vAlign w:val="center"/>
          </w:tcPr>
          <w:p w14:paraId="3181F464"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1,086,519,485.53</w:t>
            </w:r>
          </w:p>
        </w:tc>
        <w:tc>
          <w:tcPr>
            <w:tcW w:w="1276" w:type="dxa"/>
            <w:tcBorders>
              <w:bottom w:val="single" w:sz="4" w:space="0" w:color="auto"/>
            </w:tcBorders>
            <w:shd w:val="clear" w:color="auto" w:fill="auto"/>
            <w:vAlign w:val="center"/>
          </w:tcPr>
          <w:p w14:paraId="6189784B"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124.63</w:t>
            </w:r>
          </w:p>
        </w:tc>
        <w:tc>
          <w:tcPr>
            <w:tcW w:w="3672" w:type="dxa"/>
            <w:tcBorders>
              <w:bottom w:val="single" w:sz="4" w:space="0" w:color="auto"/>
            </w:tcBorders>
            <w:shd w:val="clear" w:color="auto" w:fill="auto"/>
            <w:vAlign w:val="center"/>
          </w:tcPr>
          <w:p w14:paraId="71D8B88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Incremento en la recaudación del impuesto sobre adquisición de bienes y el pago del predial por los descuentos aplicados; pago de derechos sobre recolección de basura, desarrollo urbano para su regularización, entre otros; se ha logrado que las participaciones, aportaciones, convenios se registren cuando se generan en el mes correspondiente”.</w:t>
            </w:r>
          </w:p>
        </w:tc>
      </w:tr>
      <w:tr w:rsidR="00712618" w:rsidRPr="00712618" w14:paraId="4EE35094" w14:textId="77777777" w:rsidTr="009E04D5">
        <w:trPr>
          <w:trHeight w:val="573"/>
          <w:jc w:val="center"/>
        </w:trPr>
        <w:tc>
          <w:tcPr>
            <w:tcW w:w="9621" w:type="dxa"/>
            <w:gridSpan w:val="6"/>
            <w:tcBorders>
              <w:top w:val="single" w:sz="4" w:space="0" w:color="auto"/>
              <w:left w:val="single" w:sz="4" w:space="0" w:color="auto"/>
              <w:bottom w:val="single" w:sz="4" w:space="0" w:color="auto"/>
              <w:right w:val="single" w:sz="4" w:space="0" w:color="auto"/>
            </w:tcBorders>
            <w:shd w:val="clear" w:color="auto" w:fill="9E9142"/>
            <w:vAlign w:val="center"/>
          </w:tcPr>
          <w:p w14:paraId="084B6160" w14:textId="77777777" w:rsidR="00712618" w:rsidRPr="00712618" w:rsidRDefault="00712618" w:rsidP="00712618">
            <w:pPr>
              <w:tabs>
                <w:tab w:val="left" w:pos="1530"/>
              </w:tabs>
              <w:spacing w:before="120" w:after="120"/>
              <w:jc w:val="center"/>
              <w:rPr>
                <w:rFonts w:ascii="Arial" w:hAnsi="Arial" w:cs="Arial"/>
                <w:sz w:val="14"/>
                <w:szCs w:val="14"/>
              </w:rPr>
            </w:pPr>
            <w:r w:rsidRPr="00712618">
              <w:rPr>
                <w:rFonts w:ascii="Arial" w:hAnsi="Arial" w:cs="Arial"/>
                <w:b/>
                <w:color w:val="FFFFFF" w:themeColor="background1"/>
                <w:sz w:val="14"/>
                <w:szCs w:val="14"/>
              </w:rPr>
              <w:t>ENTIDADES PARAMUNICIPALES</w:t>
            </w:r>
          </w:p>
        </w:tc>
      </w:tr>
      <w:tr w:rsidR="00712618" w:rsidRPr="00712618" w14:paraId="287017B5" w14:textId="77777777" w:rsidTr="009E04D5">
        <w:trPr>
          <w:trHeight w:val="690"/>
          <w:jc w:val="center"/>
        </w:trPr>
        <w:tc>
          <w:tcPr>
            <w:tcW w:w="418" w:type="dxa"/>
            <w:tcBorders>
              <w:top w:val="single" w:sz="4" w:space="0" w:color="auto"/>
            </w:tcBorders>
            <w:vAlign w:val="center"/>
          </w:tcPr>
          <w:p w14:paraId="01971A2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59</w:t>
            </w:r>
          </w:p>
        </w:tc>
        <w:tc>
          <w:tcPr>
            <w:tcW w:w="1259" w:type="dxa"/>
            <w:tcBorders>
              <w:top w:val="single" w:sz="4" w:space="0" w:color="auto"/>
            </w:tcBorders>
            <w:shd w:val="clear" w:color="auto" w:fill="auto"/>
            <w:vAlign w:val="center"/>
          </w:tcPr>
          <w:p w14:paraId="1CD3229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Asociación de Futbol Pioneros, A.C.</w:t>
            </w:r>
          </w:p>
        </w:tc>
        <w:tc>
          <w:tcPr>
            <w:tcW w:w="1437" w:type="dxa"/>
            <w:tcBorders>
              <w:top w:val="single" w:sz="4" w:space="0" w:color="auto"/>
            </w:tcBorders>
            <w:shd w:val="clear" w:color="auto" w:fill="auto"/>
            <w:vAlign w:val="center"/>
          </w:tcPr>
          <w:p w14:paraId="6AE294DB"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10,241,838.00</w:t>
            </w:r>
          </w:p>
        </w:tc>
        <w:tc>
          <w:tcPr>
            <w:tcW w:w="1559" w:type="dxa"/>
            <w:tcBorders>
              <w:top w:val="single" w:sz="4" w:space="0" w:color="auto"/>
            </w:tcBorders>
            <w:shd w:val="clear" w:color="auto" w:fill="auto"/>
            <w:vAlign w:val="center"/>
          </w:tcPr>
          <w:p w14:paraId="11757C07"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10,390,600.00</w:t>
            </w:r>
          </w:p>
        </w:tc>
        <w:tc>
          <w:tcPr>
            <w:tcW w:w="1276" w:type="dxa"/>
            <w:tcBorders>
              <w:top w:val="single" w:sz="4" w:space="0" w:color="auto"/>
            </w:tcBorders>
            <w:shd w:val="clear" w:color="auto" w:fill="auto"/>
            <w:vAlign w:val="center"/>
          </w:tcPr>
          <w:p w14:paraId="6323C7F9"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101.45</w:t>
            </w:r>
          </w:p>
        </w:tc>
        <w:tc>
          <w:tcPr>
            <w:tcW w:w="3672" w:type="dxa"/>
            <w:tcBorders>
              <w:top w:val="single" w:sz="4" w:space="0" w:color="auto"/>
            </w:tcBorders>
            <w:shd w:val="clear" w:color="auto" w:fill="auto"/>
            <w:vAlign w:val="center"/>
          </w:tcPr>
          <w:p w14:paraId="6EBB747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la variación corresponde al remanente del ejercicio 2022.</w:t>
            </w:r>
          </w:p>
        </w:tc>
      </w:tr>
      <w:tr w:rsidR="00712618" w:rsidRPr="00712618" w14:paraId="34AF1836" w14:textId="77777777" w:rsidTr="009E04D5">
        <w:trPr>
          <w:trHeight w:val="690"/>
          <w:jc w:val="center"/>
        </w:trPr>
        <w:tc>
          <w:tcPr>
            <w:tcW w:w="418" w:type="dxa"/>
            <w:vAlign w:val="center"/>
          </w:tcPr>
          <w:p w14:paraId="6F4A34D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60</w:t>
            </w:r>
          </w:p>
        </w:tc>
        <w:tc>
          <w:tcPr>
            <w:tcW w:w="1259" w:type="dxa"/>
            <w:shd w:val="clear" w:color="auto" w:fill="auto"/>
            <w:vAlign w:val="center"/>
          </w:tcPr>
          <w:p w14:paraId="0CD953B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de la Cultura y las Artes del Municipio de Benito Juárez</w:t>
            </w:r>
          </w:p>
        </w:tc>
        <w:tc>
          <w:tcPr>
            <w:tcW w:w="1437" w:type="dxa"/>
            <w:shd w:val="clear" w:color="auto" w:fill="auto"/>
            <w:vAlign w:val="center"/>
          </w:tcPr>
          <w:p w14:paraId="086DCEBB"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18,800,000.00</w:t>
            </w:r>
          </w:p>
        </w:tc>
        <w:tc>
          <w:tcPr>
            <w:tcW w:w="1559" w:type="dxa"/>
            <w:shd w:val="clear" w:color="auto" w:fill="auto"/>
            <w:vAlign w:val="center"/>
          </w:tcPr>
          <w:p w14:paraId="77A08C56"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12,536,916.00</w:t>
            </w:r>
          </w:p>
        </w:tc>
        <w:tc>
          <w:tcPr>
            <w:tcW w:w="1276" w:type="dxa"/>
            <w:shd w:val="clear" w:color="auto" w:fill="auto"/>
            <w:vAlign w:val="center"/>
          </w:tcPr>
          <w:p w14:paraId="6534A61E"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66.69</w:t>
            </w:r>
          </w:p>
        </w:tc>
        <w:tc>
          <w:tcPr>
            <w:tcW w:w="3672" w:type="dxa"/>
            <w:shd w:val="clear" w:color="auto" w:fill="auto"/>
          </w:tcPr>
          <w:p w14:paraId="2FD5B5E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Ingresos provenientes de los intereses ganados por las cuentas bancarias; ingresos provenientes de las actividades que se realizan en el Teatro 8 de octubre; quedó pendiente que transfieran los recursos de los meses de noviembre y diciembre”.</w:t>
            </w:r>
          </w:p>
        </w:tc>
      </w:tr>
      <w:tr w:rsidR="00712618" w:rsidRPr="00712618" w14:paraId="5C1D4C51" w14:textId="77777777" w:rsidTr="009E04D5">
        <w:trPr>
          <w:trHeight w:val="690"/>
          <w:jc w:val="center"/>
        </w:trPr>
        <w:tc>
          <w:tcPr>
            <w:tcW w:w="418" w:type="dxa"/>
            <w:vAlign w:val="center"/>
          </w:tcPr>
          <w:p w14:paraId="3C408E2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61</w:t>
            </w:r>
          </w:p>
        </w:tc>
        <w:tc>
          <w:tcPr>
            <w:tcW w:w="1259" w:type="dxa"/>
            <w:shd w:val="clear" w:color="auto" w:fill="auto"/>
            <w:vAlign w:val="center"/>
          </w:tcPr>
          <w:p w14:paraId="139B6E4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de la Juventud del Municipio de Solidaridad</w:t>
            </w:r>
          </w:p>
        </w:tc>
        <w:tc>
          <w:tcPr>
            <w:tcW w:w="1437" w:type="dxa"/>
            <w:shd w:val="clear" w:color="auto" w:fill="auto"/>
            <w:vAlign w:val="center"/>
          </w:tcPr>
          <w:p w14:paraId="4CE16A89"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9,071,259.00</w:t>
            </w:r>
          </w:p>
        </w:tc>
        <w:tc>
          <w:tcPr>
            <w:tcW w:w="1559" w:type="dxa"/>
            <w:shd w:val="clear" w:color="auto" w:fill="auto"/>
            <w:vAlign w:val="center"/>
          </w:tcPr>
          <w:p w14:paraId="7EC0E913"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9,071,491.78</w:t>
            </w:r>
          </w:p>
        </w:tc>
        <w:tc>
          <w:tcPr>
            <w:tcW w:w="1276" w:type="dxa"/>
            <w:shd w:val="clear" w:color="auto" w:fill="auto"/>
            <w:vAlign w:val="center"/>
          </w:tcPr>
          <w:p w14:paraId="49BA7FE7"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100.00</w:t>
            </w:r>
          </w:p>
        </w:tc>
        <w:tc>
          <w:tcPr>
            <w:tcW w:w="3672" w:type="dxa"/>
            <w:shd w:val="clear" w:color="auto" w:fill="auto"/>
            <w:vAlign w:val="center"/>
          </w:tcPr>
          <w:p w14:paraId="12C9A07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Reconocimiento de los intereses a favor de la cuenta bancaria del instituto”.</w:t>
            </w:r>
          </w:p>
        </w:tc>
      </w:tr>
      <w:tr w:rsidR="00712618" w:rsidRPr="00712618" w14:paraId="3CFBD4D9" w14:textId="77777777" w:rsidTr="009E04D5">
        <w:trPr>
          <w:trHeight w:val="300"/>
          <w:jc w:val="center"/>
        </w:trPr>
        <w:tc>
          <w:tcPr>
            <w:tcW w:w="418" w:type="dxa"/>
            <w:vAlign w:val="center"/>
          </w:tcPr>
          <w:p w14:paraId="6B05B8E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62</w:t>
            </w:r>
          </w:p>
        </w:tc>
        <w:tc>
          <w:tcPr>
            <w:tcW w:w="1259" w:type="dxa"/>
            <w:shd w:val="clear" w:color="auto" w:fill="auto"/>
            <w:vAlign w:val="center"/>
          </w:tcPr>
          <w:p w14:paraId="5592A0C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de las Mujeres del Municipio de Solidaridad</w:t>
            </w:r>
          </w:p>
        </w:tc>
        <w:tc>
          <w:tcPr>
            <w:tcW w:w="1437" w:type="dxa"/>
            <w:shd w:val="clear" w:color="auto" w:fill="auto"/>
            <w:vAlign w:val="center"/>
          </w:tcPr>
          <w:p w14:paraId="752FA51F"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9,950,702.00</w:t>
            </w:r>
          </w:p>
        </w:tc>
        <w:tc>
          <w:tcPr>
            <w:tcW w:w="1559" w:type="dxa"/>
            <w:shd w:val="clear" w:color="auto" w:fill="auto"/>
            <w:vAlign w:val="center"/>
          </w:tcPr>
          <w:p w14:paraId="3FDE8F7F"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10,126,610.68</w:t>
            </w:r>
          </w:p>
        </w:tc>
        <w:tc>
          <w:tcPr>
            <w:tcW w:w="1276" w:type="dxa"/>
            <w:shd w:val="clear" w:color="auto" w:fill="auto"/>
            <w:vAlign w:val="center"/>
          </w:tcPr>
          <w:p w14:paraId="5833D114"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101.77</w:t>
            </w:r>
          </w:p>
        </w:tc>
        <w:tc>
          <w:tcPr>
            <w:tcW w:w="3672" w:type="dxa"/>
            <w:shd w:val="clear" w:color="auto" w:fill="auto"/>
            <w:vAlign w:val="center"/>
          </w:tcPr>
          <w:p w14:paraId="56E8D33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Rendimientos de una cuenta productiva para utilización de un proyecto en convenio; se realizó un convenio para llevar a cabo el programa de fortalecimiento a la transversalidad de la perspectiva de género; no se comprometió la operación. las ampliaciones de remanentes del ejercicio 2021.</w:t>
            </w:r>
          </w:p>
        </w:tc>
      </w:tr>
      <w:tr w:rsidR="00712618" w:rsidRPr="00712618" w14:paraId="497A3A06" w14:textId="77777777" w:rsidTr="009E04D5">
        <w:trPr>
          <w:trHeight w:val="568"/>
          <w:jc w:val="center"/>
        </w:trPr>
        <w:tc>
          <w:tcPr>
            <w:tcW w:w="418" w:type="dxa"/>
            <w:vAlign w:val="center"/>
          </w:tcPr>
          <w:p w14:paraId="242169F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63</w:t>
            </w:r>
          </w:p>
        </w:tc>
        <w:tc>
          <w:tcPr>
            <w:tcW w:w="1259" w:type="dxa"/>
            <w:shd w:val="clear" w:color="auto" w:fill="auto"/>
            <w:vAlign w:val="center"/>
          </w:tcPr>
          <w:p w14:paraId="30EA059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de Planeación para el Desarrollo Urbano del Municipio de Benito Juárez</w:t>
            </w:r>
          </w:p>
        </w:tc>
        <w:tc>
          <w:tcPr>
            <w:tcW w:w="1437" w:type="dxa"/>
            <w:shd w:val="clear" w:color="auto" w:fill="auto"/>
            <w:vAlign w:val="center"/>
          </w:tcPr>
          <w:p w14:paraId="1CE62151"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1,800,000.00</w:t>
            </w:r>
          </w:p>
        </w:tc>
        <w:tc>
          <w:tcPr>
            <w:tcW w:w="1559" w:type="dxa"/>
            <w:shd w:val="clear" w:color="auto" w:fill="auto"/>
            <w:vAlign w:val="center"/>
          </w:tcPr>
          <w:p w14:paraId="4398ECA1"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2,522,572.00</w:t>
            </w:r>
          </w:p>
        </w:tc>
        <w:tc>
          <w:tcPr>
            <w:tcW w:w="1276" w:type="dxa"/>
            <w:shd w:val="clear" w:color="auto" w:fill="auto"/>
            <w:vAlign w:val="center"/>
          </w:tcPr>
          <w:p w14:paraId="5CBAABE9"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140.14</w:t>
            </w:r>
          </w:p>
        </w:tc>
        <w:tc>
          <w:tcPr>
            <w:tcW w:w="3672" w:type="dxa"/>
            <w:shd w:val="clear" w:color="auto" w:fill="auto"/>
            <w:vAlign w:val="center"/>
          </w:tcPr>
          <w:p w14:paraId="0061F82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Remanente correspondiente al Ejercicio Fiscal 2021; en el mes de abril se recalendarizó del presupuesto para los meses noviembre y diciembre; se gestionó la ampliación al presupuesto.</w:t>
            </w:r>
          </w:p>
        </w:tc>
      </w:tr>
      <w:tr w:rsidR="00712618" w:rsidRPr="00712618" w14:paraId="6E844384" w14:textId="77777777" w:rsidTr="009E04D5">
        <w:trPr>
          <w:trHeight w:val="690"/>
          <w:jc w:val="center"/>
        </w:trPr>
        <w:tc>
          <w:tcPr>
            <w:tcW w:w="418" w:type="dxa"/>
            <w:vAlign w:val="center"/>
          </w:tcPr>
          <w:p w14:paraId="7110DF0E"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64</w:t>
            </w:r>
          </w:p>
        </w:tc>
        <w:tc>
          <w:tcPr>
            <w:tcW w:w="1259" w:type="dxa"/>
            <w:shd w:val="clear" w:color="auto" w:fill="auto"/>
            <w:vAlign w:val="center"/>
          </w:tcPr>
          <w:p w14:paraId="2F4A136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del Deporte del Municipio de Benito Juárez, Quintana Roo</w:t>
            </w:r>
          </w:p>
        </w:tc>
        <w:tc>
          <w:tcPr>
            <w:tcW w:w="1437" w:type="dxa"/>
            <w:shd w:val="clear" w:color="auto" w:fill="auto"/>
            <w:vAlign w:val="center"/>
          </w:tcPr>
          <w:p w14:paraId="47D603F2"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13,718,722.00</w:t>
            </w:r>
          </w:p>
        </w:tc>
        <w:tc>
          <w:tcPr>
            <w:tcW w:w="1559" w:type="dxa"/>
            <w:shd w:val="clear" w:color="auto" w:fill="auto"/>
            <w:vAlign w:val="center"/>
          </w:tcPr>
          <w:p w14:paraId="78622BFC"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11,763,017.44</w:t>
            </w:r>
          </w:p>
        </w:tc>
        <w:tc>
          <w:tcPr>
            <w:tcW w:w="1276" w:type="dxa"/>
            <w:shd w:val="clear" w:color="auto" w:fill="auto"/>
            <w:vAlign w:val="center"/>
          </w:tcPr>
          <w:p w14:paraId="693E50EA"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85.74</w:t>
            </w:r>
          </w:p>
        </w:tc>
        <w:tc>
          <w:tcPr>
            <w:tcW w:w="3672" w:type="dxa"/>
            <w:shd w:val="clear" w:color="auto" w:fill="auto"/>
            <w:vAlign w:val="center"/>
          </w:tcPr>
          <w:p w14:paraId="16B3104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El uso de instalaciones deportivas se registró en una nueva subcuenta denominada otros ingresos de acuerdo al plan de cuentas y al clasificador por rubro de ingresos; ingresos son aportaciones o donaciones de uso de espacio en las Instalaciones deportivas; se redujo el presupuesto de 2022 resultante de la etapa de recuperación económica que ha afectado la economía del Municipio de Benito Juárez.</w:t>
            </w:r>
          </w:p>
        </w:tc>
      </w:tr>
      <w:tr w:rsidR="00712618" w:rsidRPr="00712618" w14:paraId="34E19BFC" w14:textId="77777777" w:rsidTr="009E04D5">
        <w:trPr>
          <w:trHeight w:val="690"/>
          <w:jc w:val="center"/>
        </w:trPr>
        <w:tc>
          <w:tcPr>
            <w:tcW w:w="418" w:type="dxa"/>
            <w:vAlign w:val="center"/>
          </w:tcPr>
          <w:p w14:paraId="631F02F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65</w:t>
            </w:r>
          </w:p>
        </w:tc>
        <w:tc>
          <w:tcPr>
            <w:tcW w:w="1259" w:type="dxa"/>
            <w:shd w:val="clear" w:color="auto" w:fill="auto"/>
            <w:vAlign w:val="center"/>
          </w:tcPr>
          <w:p w14:paraId="37C243E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del Deporte del Municipio de Solidaridad</w:t>
            </w:r>
          </w:p>
        </w:tc>
        <w:tc>
          <w:tcPr>
            <w:tcW w:w="1437" w:type="dxa"/>
            <w:shd w:val="clear" w:color="auto" w:fill="auto"/>
            <w:vAlign w:val="center"/>
          </w:tcPr>
          <w:p w14:paraId="32B3E443"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56,409,362.00</w:t>
            </w:r>
          </w:p>
        </w:tc>
        <w:tc>
          <w:tcPr>
            <w:tcW w:w="1559" w:type="dxa"/>
            <w:shd w:val="clear" w:color="auto" w:fill="auto"/>
            <w:vAlign w:val="center"/>
          </w:tcPr>
          <w:p w14:paraId="3A48B508"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72,661,544.00</w:t>
            </w:r>
          </w:p>
        </w:tc>
        <w:tc>
          <w:tcPr>
            <w:tcW w:w="1276" w:type="dxa"/>
            <w:shd w:val="clear" w:color="auto" w:fill="auto"/>
            <w:vAlign w:val="center"/>
          </w:tcPr>
          <w:p w14:paraId="1255D3D1"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128.81</w:t>
            </w:r>
          </w:p>
        </w:tc>
        <w:tc>
          <w:tcPr>
            <w:tcW w:w="3672" w:type="dxa"/>
            <w:shd w:val="clear" w:color="auto" w:fill="auto"/>
            <w:vAlign w:val="center"/>
          </w:tcPr>
          <w:p w14:paraId="01ABBF9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Los espacios deportivos obtuvieron mayor afluencia de usuarios en las diferentes disciplinas ,por lo que a su vez se ha recaudado mayor importe de lo estimado; ampliaciones</w:t>
            </w:r>
            <w:r w:rsidR="001376C7">
              <w:rPr>
                <w:rFonts w:ascii="Arial" w:hAnsi="Arial" w:cs="Arial"/>
                <w:sz w:val="14"/>
                <w:szCs w:val="14"/>
              </w:rPr>
              <w:t xml:space="preserve"> </w:t>
            </w:r>
            <w:r w:rsidRPr="00712618">
              <w:rPr>
                <w:rFonts w:ascii="Arial" w:hAnsi="Arial" w:cs="Arial"/>
                <w:sz w:val="14"/>
                <w:szCs w:val="14"/>
              </w:rPr>
              <w:t>presupuestales que se realizaron para poder cubrir</w:t>
            </w:r>
            <w:r w:rsidR="001376C7">
              <w:rPr>
                <w:rFonts w:ascii="Arial" w:hAnsi="Arial" w:cs="Arial"/>
                <w:sz w:val="14"/>
                <w:szCs w:val="14"/>
              </w:rPr>
              <w:t xml:space="preserve"> </w:t>
            </w:r>
            <w:r w:rsidRPr="00712618">
              <w:rPr>
                <w:rFonts w:ascii="Arial" w:hAnsi="Arial" w:cs="Arial"/>
                <w:sz w:val="14"/>
                <w:szCs w:val="14"/>
              </w:rPr>
              <w:t xml:space="preserve">gastos de </w:t>
            </w:r>
            <w:r w:rsidRPr="00712618">
              <w:rPr>
                <w:rFonts w:ascii="Arial" w:hAnsi="Arial" w:cs="Arial"/>
                <w:sz w:val="14"/>
                <w:szCs w:val="14"/>
              </w:rPr>
              <w:lastRenderedPageBreak/>
              <w:t>operación del club de futbol Inter Playa del Carmen, así como gastos de operación del Instituto del Deporte.</w:t>
            </w:r>
          </w:p>
        </w:tc>
      </w:tr>
      <w:tr w:rsidR="00712618" w:rsidRPr="00712618" w14:paraId="6CD021B9" w14:textId="77777777" w:rsidTr="009E04D5">
        <w:trPr>
          <w:trHeight w:val="690"/>
          <w:jc w:val="center"/>
        </w:trPr>
        <w:tc>
          <w:tcPr>
            <w:tcW w:w="418" w:type="dxa"/>
            <w:vAlign w:val="center"/>
          </w:tcPr>
          <w:p w14:paraId="4E29D8C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66</w:t>
            </w:r>
          </w:p>
        </w:tc>
        <w:tc>
          <w:tcPr>
            <w:tcW w:w="1259" w:type="dxa"/>
            <w:shd w:val="clear" w:color="auto" w:fill="auto"/>
            <w:vAlign w:val="center"/>
          </w:tcPr>
          <w:p w14:paraId="366D5C8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Municipal Contra las Adicciones de Benito Juárez</w:t>
            </w:r>
          </w:p>
        </w:tc>
        <w:tc>
          <w:tcPr>
            <w:tcW w:w="1437" w:type="dxa"/>
            <w:shd w:val="clear" w:color="auto" w:fill="auto"/>
            <w:vAlign w:val="center"/>
          </w:tcPr>
          <w:p w14:paraId="1C83568D"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5,800,000.00</w:t>
            </w:r>
          </w:p>
        </w:tc>
        <w:tc>
          <w:tcPr>
            <w:tcW w:w="1559" w:type="dxa"/>
            <w:shd w:val="clear" w:color="auto" w:fill="auto"/>
            <w:vAlign w:val="center"/>
          </w:tcPr>
          <w:p w14:paraId="759C18D7"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6,708,740.00</w:t>
            </w:r>
          </w:p>
        </w:tc>
        <w:tc>
          <w:tcPr>
            <w:tcW w:w="1276" w:type="dxa"/>
            <w:shd w:val="clear" w:color="auto" w:fill="auto"/>
            <w:vAlign w:val="center"/>
          </w:tcPr>
          <w:p w14:paraId="0071E419"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115.67</w:t>
            </w:r>
          </w:p>
        </w:tc>
        <w:tc>
          <w:tcPr>
            <w:tcW w:w="3672" w:type="dxa"/>
            <w:shd w:val="clear" w:color="auto" w:fill="auto"/>
            <w:vAlign w:val="center"/>
          </w:tcPr>
          <w:p w14:paraId="2C484D7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La variación proviene de los intereses bancarios que la cuenta institucional genera; donativo que fue realizado por el Instituto Cesare al impartir una plática de sensibilización en materia de Adicciones; se registró un remanente que por economía a través de la sesión de consejo directivo se consideró para el presupuesto del ejercicio fiscal 2022; se solicitó a la tesorería municipal una ampliación al presupuesto aprobado y recaudado en el mes de diciembre.</w:t>
            </w:r>
          </w:p>
        </w:tc>
      </w:tr>
      <w:tr w:rsidR="00712618" w:rsidRPr="00712618" w14:paraId="16ABFDD4" w14:textId="77777777" w:rsidTr="009E04D5">
        <w:trPr>
          <w:trHeight w:val="1144"/>
          <w:jc w:val="center"/>
        </w:trPr>
        <w:tc>
          <w:tcPr>
            <w:tcW w:w="418" w:type="dxa"/>
            <w:vAlign w:val="center"/>
          </w:tcPr>
          <w:p w14:paraId="07AA9F9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67</w:t>
            </w:r>
          </w:p>
        </w:tc>
        <w:tc>
          <w:tcPr>
            <w:tcW w:w="1259" w:type="dxa"/>
            <w:shd w:val="clear" w:color="auto" w:fill="auto"/>
            <w:vAlign w:val="center"/>
          </w:tcPr>
          <w:p w14:paraId="37B9634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Municipal de Desarrollo Administrativo e Innovación de Benito Juárez</w:t>
            </w:r>
          </w:p>
        </w:tc>
        <w:tc>
          <w:tcPr>
            <w:tcW w:w="1437" w:type="dxa"/>
            <w:shd w:val="clear" w:color="auto" w:fill="auto"/>
            <w:vAlign w:val="center"/>
          </w:tcPr>
          <w:p w14:paraId="5E23A66A"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3,000,000.00</w:t>
            </w:r>
          </w:p>
        </w:tc>
        <w:tc>
          <w:tcPr>
            <w:tcW w:w="1559" w:type="dxa"/>
            <w:shd w:val="clear" w:color="auto" w:fill="auto"/>
            <w:vAlign w:val="center"/>
          </w:tcPr>
          <w:p w14:paraId="18B40CBF"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3,000,000.00</w:t>
            </w:r>
          </w:p>
        </w:tc>
        <w:tc>
          <w:tcPr>
            <w:tcW w:w="1276" w:type="dxa"/>
            <w:shd w:val="clear" w:color="auto" w:fill="auto"/>
            <w:vAlign w:val="center"/>
          </w:tcPr>
          <w:p w14:paraId="4E59C5DD"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100.00</w:t>
            </w:r>
          </w:p>
        </w:tc>
        <w:tc>
          <w:tcPr>
            <w:tcW w:w="3672" w:type="dxa"/>
            <w:shd w:val="clear" w:color="auto" w:fill="auto"/>
            <w:vAlign w:val="center"/>
          </w:tcPr>
          <w:p w14:paraId="65089E4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 recaudó del 100.00% del presupuesto estimado mediante las ministraciones solicitadas del mes de enero a diciembre del 2022.</w:t>
            </w:r>
          </w:p>
        </w:tc>
      </w:tr>
      <w:tr w:rsidR="00712618" w:rsidRPr="00712618" w14:paraId="0E91248A" w14:textId="77777777" w:rsidTr="009E04D5">
        <w:trPr>
          <w:trHeight w:val="268"/>
          <w:jc w:val="center"/>
        </w:trPr>
        <w:tc>
          <w:tcPr>
            <w:tcW w:w="418" w:type="dxa"/>
            <w:vAlign w:val="center"/>
          </w:tcPr>
          <w:p w14:paraId="5F357C2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68</w:t>
            </w:r>
          </w:p>
        </w:tc>
        <w:tc>
          <w:tcPr>
            <w:tcW w:w="1259" w:type="dxa"/>
            <w:shd w:val="clear" w:color="auto" w:fill="auto"/>
            <w:vAlign w:val="center"/>
          </w:tcPr>
          <w:p w14:paraId="21E9426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Municipal de la Cultura y las Artes de Solidaridad</w:t>
            </w:r>
          </w:p>
        </w:tc>
        <w:tc>
          <w:tcPr>
            <w:tcW w:w="1437" w:type="dxa"/>
            <w:shd w:val="clear" w:color="auto" w:fill="auto"/>
            <w:vAlign w:val="center"/>
          </w:tcPr>
          <w:p w14:paraId="0CA55FE2"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20,819,528.00</w:t>
            </w:r>
          </w:p>
        </w:tc>
        <w:tc>
          <w:tcPr>
            <w:tcW w:w="1559" w:type="dxa"/>
            <w:shd w:val="clear" w:color="auto" w:fill="auto"/>
            <w:vAlign w:val="center"/>
          </w:tcPr>
          <w:p w14:paraId="3F5C1B3F"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21,956,806.17</w:t>
            </w:r>
          </w:p>
        </w:tc>
        <w:tc>
          <w:tcPr>
            <w:tcW w:w="1276" w:type="dxa"/>
            <w:shd w:val="clear" w:color="auto" w:fill="auto"/>
            <w:vAlign w:val="center"/>
          </w:tcPr>
          <w:p w14:paraId="4B8E17ED"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105.46</w:t>
            </w:r>
          </w:p>
        </w:tc>
        <w:tc>
          <w:tcPr>
            <w:tcW w:w="3672" w:type="dxa"/>
            <w:shd w:val="clear" w:color="auto" w:fill="auto"/>
            <w:vAlign w:val="center"/>
          </w:tcPr>
          <w:p w14:paraId="2538C95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La variación</w:t>
            </w:r>
            <w:r w:rsidR="001376C7">
              <w:rPr>
                <w:rFonts w:ascii="Arial" w:hAnsi="Arial" w:cs="Arial"/>
                <w:sz w:val="14"/>
                <w:szCs w:val="14"/>
              </w:rPr>
              <w:t xml:space="preserve"> </w:t>
            </w:r>
            <w:r w:rsidRPr="00712618">
              <w:rPr>
                <w:rFonts w:ascii="Arial" w:hAnsi="Arial" w:cs="Arial"/>
                <w:sz w:val="14"/>
                <w:szCs w:val="14"/>
              </w:rPr>
              <w:t>de ingreso es derivado de</w:t>
            </w:r>
            <w:r w:rsidR="001376C7">
              <w:rPr>
                <w:rFonts w:ascii="Arial" w:hAnsi="Arial" w:cs="Arial"/>
                <w:sz w:val="14"/>
                <w:szCs w:val="14"/>
              </w:rPr>
              <w:t xml:space="preserve"> </w:t>
            </w:r>
            <w:r w:rsidRPr="00712618">
              <w:rPr>
                <w:rFonts w:ascii="Arial" w:hAnsi="Arial" w:cs="Arial"/>
                <w:sz w:val="14"/>
                <w:szCs w:val="14"/>
              </w:rPr>
              <w:t>las presentaciones que se llevaron en el teatro y foro, así como también los talleres autosustentables, cursos de verano</w:t>
            </w:r>
            <w:r w:rsidR="001376C7">
              <w:rPr>
                <w:rFonts w:ascii="Arial" w:hAnsi="Arial" w:cs="Arial"/>
                <w:sz w:val="14"/>
                <w:szCs w:val="14"/>
              </w:rPr>
              <w:t xml:space="preserve"> </w:t>
            </w:r>
            <w:r w:rsidRPr="00712618">
              <w:rPr>
                <w:rFonts w:ascii="Arial" w:hAnsi="Arial" w:cs="Arial"/>
                <w:sz w:val="14"/>
                <w:szCs w:val="14"/>
              </w:rPr>
              <w:t>impartido en las instalaciones de la casa de la cultura y el curso de verano impartido en las instalaciones de</w:t>
            </w:r>
            <w:r w:rsidR="001376C7">
              <w:rPr>
                <w:rFonts w:ascii="Arial" w:hAnsi="Arial" w:cs="Arial"/>
                <w:sz w:val="14"/>
                <w:szCs w:val="14"/>
              </w:rPr>
              <w:t xml:space="preserve"> </w:t>
            </w:r>
            <w:r w:rsidRPr="00712618">
              <w:rPr>
                <w:rFonts w:ascii="Arial" w:hAnsi="Arial" w:cs="Arial"/>
                <w:sz w:val="14"/>
                <w:szCs w:val="14"/>
              </w:rPr>
              <w:t>la escuela del INBAL de bellavista, nuevo ciclo escolar de talleres, escuela iniciación artística INBAL y casa de la cultura puerto aventuras</w:t>
            </w:r>
            <w:r w:rsidR="001376C7">
              <w:rPr>
                <w:rFonts w:ascii="Arial" w:hAnsi="Arial" w:cs="Arial"/>
                <w:sz w:val="14"/>
                <w:szCs w:val="14"/>
              </w:rPr>
              <w:t xml:space="preserve"> </w:t>
            </w:r>
            <w:r w:rsidRPr="00712618">
              <w:rPr>
                <w:rFonts w:ascii="Arial" w:hAnsi="Arial" w:cs="Arial"/>
                <w:sz w:val="14"/>
                <w:szCs w:val="14"/>
              </w:rPr>
              <w:t>lo que genero inscripciones de las ofertas que se tuvieron; modificación en la parte de ingresos por remanentes.</w:t>
            </w:r>
          </w:p>
        </w:tc>
      </w:tr>
      <w:tr w:rsidR="00712618" w:rsidRPr="00712618" w14:paraId="6C4B0074" w14:textId="77777777" w:rsidTr="009E04D5">
        <w:trPr>
          <w:trHeight w:val="690"/>
          <w:jc w:val="center"/>
        </w:trPr>
        <w:tc>
          <w:tcPr>
            <w:tcW w:w="418" w:type="dxa"/>
            <w:vAlign w:val="center"/>
          </w:tcPr>
          <w:p w14:paraId="7133875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69</w:t>
            </w:r>
          </w:p>
        </w:tc>
        <w:tc>
          <w:tcPr>
            <w:tcW w:w="1259" w:type="dxa"/>
            <w:shd w:val="clear" w:color="auto" w:fill="auto"/>
            <w:vAlign w:val="center"/>
          </w:tcPr>
          <w:p w14:paraId="60DCF4B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Municipal de la Juventud de Benito Juárez</w:t>
            </w:r>
          </w:p>
        </w:tc>
        <w:tc>
          <w:tcPr>
            <w:tcW w:w="1437" w:type="dxa"/>
            <w:shd w:val="clear" w:color="auto" w:fill="auto"/>
            <w:vAlign w:val="center"/>
          </w:tcPr>
          <w:p w14:paraId="17A41886"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3,000,000.00</w:t>
            </w:r>
          </w:p>
        </w:tc>
        <w:tc>
          <w:tcPr>
            <w:tcW w:w="1559" w:type="dxa"/>
            <w:shd w:val="clear" w:color="auto" w:fill="auto"/>
            <w:vAlign w:val="center"/>
          </w:tcPr>
          <w:p w14:paraId="0D4D8794"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3,067,511.26</w:t>
            </w:r>
          </w:p>
        </w:tc>
        <w:tc>
          <w:tcPr>
            <w:tcW w:w="1276" w:type="dxa"/>
            <w:shd w:val="clear" w:color="auto" w:fill="auto"/>
            <w:vAlign w:val="center"/>
          </w:tcPr>
          <w:p w14:paraId="7256E366"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102.25</w:t>
            </w:r>
          </w:p>
        </w:tc>
        <w:tc>
          <w:tcPr>
            <w:tcW w:w="3672" w:type="dxa"/>
            <w:shd w:val="clear" w:color="auto" w:fill="auto"/>
            <w:vAlign w:val="center"/>
          </w:tcPr>
          <w:p w14:paraId="0A5EA77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 realizó una modificación al ingreso de la multa percibida por el IMSS; ampliación presupuestal correspondiente al sub ejercicio 2021.</w:t>
            </w:r>
          </w:p>
        </w:tc>
      </w:tr>
      <w:tr w:rsidR="00712618" w:rsidRPr="00712618" w14:paraId="39C12E8E" w14:textId="77777777" w:rsidTr="009E04D5">
        <w:trPr>
          <w:trHeight w:val="690"/>
          <w:jc w:val="center"/>
        </w:trPr>
        <w:tc>
          <w:tcPr>
            <w:tcW w:w="418" w:type="dxa"/>
            <w:vAlign w:val="center"/>
          </w:tcPr>
          <w:p w14:paraId="145D50E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70</w:t>
            </w:r>
          </w:p>
        </w:tc>
        <w:tc>
          <w:tcPr>
            <w:tcW w:w="1259" w:type="dxa"/>
            <w:shd w:val="clear" w:color="auto" w:fill="auto"/>
            <w:vAlign w:val="center"/>
          </w:tcPr>
          <w:p w14:paraId="5AF4D9E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Municipal de la Mujer de Benito Juárez</w:t>
            </w:r>
          </w:p>
        </w:tc>
        <w:tc>
          <w:tcPr>
            <w:tcW w:w="1437" w:type="dxa"/>
            <w:shd w:val="clear" w:color="auto" w:fill="auto"/>
            <w:vAlign w:val="center"/>
          </w:tcPr>
          <w:p w14:paraId="7E591B2E"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12,000,000.00</w:t>
            </w:r>
          </w:p>
        </w:tc>
        <w:tc>
          <w:tcPr>
            <w:tcW w:w="1559" w:type="dxa"/>
            <w:shd w:val="clear" w:color="auto" w:fill="auto"/>
            <w:vAlign w:val="center"/>
          </w:tcPr>
          <w:p w14:paraId="3B74BBDB"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13,822,300.00</w:t>
            </w:r>
          </w:p>
        </w:tc>
        <w:tc>
          <w:tcPr>
            <w:tcW w:w="1276" w:type="dxa"/>
            <w:shd w:val="clear" w:color="auto" w:fill="auto"/>
            <w:vAlign w:val="center"/>
          </w:tcPr>
          <w:p w14:paraId="08579C0D"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115.19</w:t>
            </w:r>
          </w:p>
        </w:tc>
        <w:tc>
          <w:tcPr>
            <w:tcW w:w="3672" w:type="dxa"/>
            <w:shd w:val="clear" w:color="auto" w:fill="auto"/>
            <w:vAlign w:val="center"/>
          </w:tcPr>
          <w:p w14:paraId="240A49E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Venta de bases de licitaciones para este ejercicio 2022; se obtuvo la totalidad de los recursos solicitados durante el ejercicio fiscal 2022.</w:t>
            </w:r>
          </w:p>
        </w:tc>
      </w:tr>
      <w:tr w:rsidR="00712618" w:rsidRPr="00712618" w14:paraId="6C9D44D4" w14:textId="77777777" w:rsidTr="009E04D5">
        <w:trPr>
          <w:trHeight w:val="690"/>
          <w:jc w:val="center"/>
        </w:trPr>
        <w:tc>
          <w:tcPr>
            <w:tcW w:w="418" w:type="dxa"/>
            <w:vAlign w:val="center"/>
          </w:tcPr>
          <w:p w14:paraId="4323D40E"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71</w:t>
            </w:r>
          </w:p>
        </w:tc>
        <w:tc>
          <w:tcPr>
            <w:tcW w:w="1259" w:type="dxa"/>
            <w:shd w:val="clear" w:color="auto" w:fill="auto"/>
            <w:vAlign w:val="center"/>
          </w:tcPr>
          <w:p w14:paraId="508AE81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Operadora y Administradora de Bienes Municipales, S.A. de C.V.</w:t>
            </w:r>
          </w:p>
        </w:tc>
        <w:tc>
          <w:tcPr>
            <w:tcW w:w="1437" w:type="dxa"/>
            <w:shd w:val="clear" w:color="auto" w:fill="auto"/>
            <w:vAlign w:val="center"/>
          </w:tcPr>
          <w:p w14:paraId="7BF68D5F"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24,150,665.04</w:t>
            </w:r>
          </w:p>
        </w:tc>
        <w:tc>
          <w:tcPr>
            <w:tcW w:w="1559" w:type="dxa"/>
            <w:shd w:val="clear" w:color="auto" w:fill="auto"/>
            <w:vAlign w:val="center"/>
          </w:tcPr>
          <w:p w14:paraId="3C9A7F9B"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15,537,582.51</w:t>
            </w:r>
          </w:p>
        </w:tc>
        <w:tc>
          <w:tcPr>
            <w:tcW w:w="1276" w:type="dxa"/>
            <w:shd w:val="clear" w:color="auto" w:fill="auto"/>
            <w:vAlign w:val="center"/>
          </w:tcPr>
          <w:p w14:paraId="0E1E2E29"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64.34</w:t>
            </w:r>
          </w:p>
        </w:tc>
        <w:tc>
          <w:tcPr>
            <w:tcW w:w="3672" w:type="dxa"/>
            <w:shd w:val="clear" w:color="auto" w:fill="auto"/>
            <w:vAlign w:val="center"/>
          </w:tcPr>
          <w:p w14:paraId="36DD8DF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 nota una modificación en presupuesto debido a los descuentos que se han otorgado como apoyo a la ciudadanía del municipio de Benito Juárez.</w:t>
            </w:r>
          </w:p>
        </w:tc>
      </w:tr>
      <w:tr w:rsidR="00712618" w:rsidRPr="00712618" w14:paraId="65B7F92E" w14:textId="77777777" w:rsidTr="009E04D5">
        <w:trPr>
          <w:trHeight w:val="690"/>
          <w:jc w:val="center"/>
        </w:trPr>
        <w:tc>
          <w:tcPr>
            <w:tcW w:w="418" w:type="dxa"/>
            <w:vAlign w:val="center"/>
          </w:tcPr>
          <w:p w14:paraId="6866670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72</w:t>
            </w:r>
          </w:p>
        </w:tc>
        <w:tc>
          <w:tcPr>
            <w:tcW w:w="1259" w:type="dxa"/>
            <w:shd w:val="clear" w:color="auto" w:fill="auto"/>
            <w:vAlign w:val="center"/>
          </w:tcPr>
          <w:p w14:paraId="3B8AAA7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Radio Cultural Ayuntamiento de Benito Juárez</w:t>
            </w:r>
          </w:p>
        </w:tc>
        <w:tc>
          <w:tcPr>
            <w:tcW w:w="1437" w:type="dxa"/>
            <w:shd w:val="clear" w:color="auto" w:fill="auto"/>
            <w:vAlign w:val="center"/>
          </w:tcPr>
          <w:p w14:paraId="51B98E69"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2,775,250.00</w:t>
            </w:r>
          </w:p>
        </w:tc>
        <w:tc>
          <w:tcPr>
            <w:tcW w:w="1559" w:type="dxa"/>
            <w:shd w:val="clear" w:color="auto" w:fill="auto"/>
            <w:vAlign w:val="center"/>
          </w:tcPr>
          <w:p w14:paraId="5699386C"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2,776,527.96</w:t>
            </w:r>
          </w:p>
        </w:tc>
        <w:tc>
          <w:tcPr>
            <w:tcW w:w="1276" w:type="dxa"/>
            <w:shd w:val="clear" w:color="auto" w:fill="auto"/>
            <w:vAlign w:val="center"/>
          </w:tcPr>
          <w:p w14:paraId="4F165EC0"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100.05</w:t>
            </w:r>
          </w:p>
        </w:tc>
        <w:tc>
          <w:tcPr>
            <w:tcW w:w="3672" w:type="dxa"/>
            <w:shd w:val="clear" w:color="auto" w:fill="auto"/>
            <w:vAlign w:val="center"/>
          </w:tcPr>
          <w:p w14:paraId="283DCB9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 tiene etiquetado recurso para el equipamiento por lo que impacto en los intereses bancarios que se proyectaron.</w:t>
            </w:r>
          </w:p>
        </w:tc>
      </w:tr>
      <w:tr w:rsidR="00712618" w:rsidRPr="00712618" w14:paraId="73224036" w14:textId="77777777" w:rsidTr="009E04D5">
        <w:trPr>
          <w:trHeight w:val="585"/>
          <w:jc w:val="center"/>
        </w:trPr>
        <w:tc>
          <w:tcPr>
            <w:tcW w:w="418" w:type="dxa"/>
            <w:vAlign w:val="center"/>
          </w:tcPr>
          <w:p w14:paraId="5DDF42A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73</w:t>
            </w:r>
          </w:p>
        </w:tc>
        <w:tc>
          <w:tcPr>
            <w:tcW w:w="1259" w:type="dxa"/>
            <w:shd w:val="clear" w:color="auto" w:fill="auto"/>
            <w:vAlign w:val="center"/>
          </w:tcPr>
          <w:p w14:paraId="590E1FC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Sistema para el Desarrollo Integral de la Familia del Municipio de Benito Juárez</w:t>
            </w:r>
          </w:p>
        </w:tc>
        <w:tc>
          <w:tcPr>
            <w:tcW w:w="1437" w:type="dxa"/>
            <w:shd w:val="clear" w:color="auto" w:fill="auto"/>
            <w:vAlign w:val="center"/>
          </w:tcPr>
          <w:p w14:paraId="0DE5AD80"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40,657,760.35</w:t>
            </w:r>
          </w:p>
        </w:tc>
        <w:tc>
          <w:tcPr>
            <w:tcW w:w="1559" w:type="dxa"/>
            <w:shd w:val="clear" w:color="auto" w:fill="auto"/>
            <w:vAlign w:val="center"/>
          </w:tcPr>
          <w:p w14:paraId="3F3DAE50"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39,923,531.37</w:t>
            </w:r>
          </w:p>
        </w:tc>
        <w:tc>
          <w:tcPr>
            <w:tcW w:w="1276" w:type="dxa"/>
            <w:shd w:val="clear" w:color="auto" w:fill="auto"/>
            <w:vAlign w:val="center"/>
          </w:tcPr>
          <w:p w14:paraId="3C551059"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98.19</w:t>
            </w:r>
          </w:p>
        </w:tc>
        <w:tc>
          <w:tcPr>
            <w:tcW w:w="3672" w:type="dxa"/>
            <w:shd w:val="clear" w:color="auto" w:fill="auto"/>
            <w:vAlign w:val="center"/>
          </w:tcPr>
          <w:p w14:paraId="266105A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Se obtuvo un incremento por la venta de servicios integrales del sistema DIF tomando en cuenta las cuotas de recuperación de la de la delegación de la Procuraduría de la Defensa del Menor, Dirección Médica, Centros de Desarrollo Comunitario, Coordinación de Atención a la Discapacidad, donativos en efectivo en apoyo a los diferentes programas del sistema DIF Benito Juárez, entre otros; se hizo una reducción </w:t>
            </w:r>
            <w:r w:rsidRPr="00712618">
              <w:rPr>
                <w:rFonts w:ascii="Arial" w:hAnsi="Arial" w:cs="Arial"/>
                <w:sz w:val="14"/>
                <w:szCs w:val="14"/>
              </w:rPr>
              <w:lastRenderedPageBreak/>
              <w:t>presupuestal por parte del Municipio de Benito Juárez.</w:t>
            </w:r>
          </w:p>
        </w:tc>
      </w:tr>
      <w:tr w:rsidR="00712618" w:rsidRPr="00712618" w14:paraId="0E3AE976" w14:textId="77777777" w:rsidTr="009E04D5">
        <w:trPr>
          <w:trHeight w:val="690"/>
          <w:jc w:val="center"/>
        </w:trPr>
        <w:tc>
          <w:tcPr>
            <w:tcW w:w="418" w:type="dxa"/>
            <w:vAlign w:val="center"/>
          </w:tcPr>
          <w:p w14:paraId="04065D7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74</w:t>
            </w:r>
          </w:p>
        </w:tc>
        <w:tc>
          <w:tcPr>
            <w:tcW w:w="1259" w:type="dxa"/>
            <w:shd w:val="clear" w:color="auto" w:fill="auto"/>
            <w:vAlign w:val="center"/>
          </w:tcPr>
          <w:p w14:paraId="033B7B6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Sistema para el Desarrollo Integral de la Familia del Municipio de Cozumel</w:t>
            </w:r>
          </w:p>
        </w:tc>
        <w:tc>
          <w:tcPr>
            <w:tcW w:w="1437" w:type="dxa"/>
            <w:shd w:val="clear" w:color="auto" w:fill="auto"/>
            <w:vAlign w:val="center"/>
          </w:tcPr>
          <w:p w14:paraId="1BFA504D"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8,064,998.52</w:t>
            </w:r>
          </w:p>
        </w:tc>
        <w:tc>
          <w:tcPr>
            <w:tcW w:w="1559" w:type="dxa"/>
            <w:shd w:val="clear" w:color="auto" w:fill="auto"/>
            <w:vAlign w:val="center"/>
          </w:tcPr>
          <w:p w14:paraId="6CE755B1"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8,040,589.52</w:t>
            </w:r>
          </w:p>
        </w:tc>
        <w:tc>
          <w:tcPr>
            <w:tcW w:w="1276" w:type="dxa"/>
            <w:shd w:val="clear" w:color="auto" w:fill="auto"/>
            <w:vAlign w:val="center"/>
          </w:tcPr>
          <w:p w14:paraId="01CF4F3B"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99.70</w:t>
            </w:r>
          </w:p>
        </w:tc>
        <w:tc>
          <w:tcPr>
            <w:tcW w:w="3672" w:type="dxa"/>
            <w:shd w:val="clear" w:color="auto" w:fill="auto"/>
            <w:vAlign w:val="center"/>
          </w:tcPr>
          <w:p w14:paraId="091F3B8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 cumplió con el objetivo de recaudación estimada, con una variación del 1% sin recaudar y se cumplió con el objetivo de recaudación estimada.</w:t>
            </w:r>
          </w:p>
        </w:tc>
      </w:tr>
      <w:tr w:rsidR="00712618" w:rsidRPr="00712618" w14:paraId="70D0AA7E" w14:textId="77777777" w:rsidTr="009E04D5">
        <w:trPr>
          <w:trHeight w:val="690"/>
          <w:jc w:val="center"/>
        </w:trPr>
        <w:tc>
          <w:tcPr>
            <w:tcW w:w="418" w:type="dxa"/>
            <w:vAlign w:val="center"/>
          </w:tcPr>
          <w:p w14:paraId="051B085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75</w:t>
            </w:r>
          </w:p>
        </w:tc>
        <w:tc>
          <w:tcPr>
            <w:tcW w:w="1259" w:type="dxa"/>
            <w:shd w:val="clear" w:color="auto" w:fill="auto"/>
            <w:vAlign w:val="center"/>
          </w:tcPr>
          <w:p w14:paraId="791A8EF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Sistema para el Desarrollo Integral de la Familia del Municipio de Isla Mujeres</w:t>
            </w:r>
          </w:p>
        </w:tc>
        <w:tc>
          <w:tcPr>
            <w:tcW w:w="1437" w:type="dxa"/>
            <w:shd w:val="clear" w:color="auto" w:fill="auto"/>
            <w:vAlign w:val="center"/>
          </w:tcPr>
          <w:p w14:paraId="0AEC384C"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8,422,979.74</w:t>
            </w:r>
          </w:p>
        </w:tc>
        <w:tc>
          <w:tcPr>
            <w:tcW w:w="1559" w:type="dxa"/>
            <w:shd w:val="clear" w:color="auto" w:fill="auto"/>
            <w:vAlign w:val="center"/>
          </w:tcPr>
          <w:p w14:paraId="23387648"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25,771,214.97</w:t>
            </w:r>
          </w:p>
        </w:tc>
        <w:tc>
          <w:tcPr>
            <w:tcW w:w="1276" w:type="dxa"/>
            <w:shd w:val="clear" w:color="auto" w:fill="auto"/>
            <w:vAlign w:val="center"/>
          </w:tcPr>
          <w:p w14:paraId="481E6440"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305.96</w:t>
            </w:r>
          </w:p>
        </w:tc>
        <w:tc>
          <w:tcPr>
            <w:tcW w:w="3672" w:type="dxa"/>
            <w:shd w:val="clear" w:color="auto" w:fill="auto"/>
            <w:vAlign w:val="center"/>
          </w:tcPr>
          <w:p w14:paraId="50F8B8A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Donaciones realizadas al Sistema DIF del municipio que no estaban contempladas en nuestro presupuesto; las participaciones que proporciona el H. Ayuntamiento se incrementó por las prestaciones que normalmente se pagan en el capítulo 1000”.</w:t>
            </w:r>
          </w:p>
        </w:tc>
      </w:tr>
      <w:tr w:rsidR="00712618" w:rsidRPr="00712618" w14:paraId="0AF2605C" w14:textId="77777777" w:rsidTr="009E04D5">
        <w:trPr>
          <w:trHeight w:val="370"/>
          <w:jc w:val="center"/>
        </w:trPr>
        <w:tc>
          <w:tcPr>
            <w:tcW w:w="418" w:type="dxa"/>
            <w:vAlign w:val="center"/>
          </w:tcPr>
          <w:p w14:paraId="10299D1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76</w:t>
            </w:r>
          </w:p>
        </w:tc>
        <w:tc>
          <w:tcPr>
            <w:tcW w:w="1259" w:type="dxa"/>
            <w:shd w:val="clear" w:color="auto" w:fill="auto"/>
            <w:vAlign w:val="center"/>
          </w:tcPr>
          <w:p w14:paraId="277C0B7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Sistema para el Desarrollo Integral de la Familia del Municipio de Othón P. Blanco</w:t>
            </w:r>
          </w:p>
        </w:tc>
        <w:tc>
          <w:tcPr>
            <w:tcW w:w="1437" w:type="dxa"/>
            <w:shd w:val="clear" w:color="auto" w:fill="auto"/>
            <w:vAlign w:val="center"/>
          </w:tcPr>
          <w:p w14:paraId="5CD0B017"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3,269,616.25</w:t>
            </w:r>
          </w:p>
        </w:tc>
        <w:tc>
          <w:tcPr>
            <w:tcW w:w="1559" w:type="dxa"/>
            <w:shd w:val="clear" w:color="auto" w:fill="auto"/>
            <w:vAlign w:val="center"/>
          </w:tcPr>
          <w:p w14:paraId="4D0056B8"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2,565,887.49</w:t>
            </w:r>
          </w:p>
        </w:tc>
        <w:tc>
          <w:tcPr>
            <w:tcW w:w="1276" w:type="dxa"/>
            <w:shd w:val="clear" w:color="auto" w:fill="auto"/>
            <w:vAlign w:val="center"/>
          </w:tcPr>
          <w:p w14:paraId="210BAE0F"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78.48</w:t>
            </w:r>
          </w:p>
        </w:tc>
        <w:tc>
          <w:tcPr>
            <w:tcW w:w="3672" w:type="dxa"/>
            <w:shd w:val="clear" w:color="auto" w:fill="auto"/>
            <w:vAlign w:val="center"/>
          </w:tcPr>
          <w:p w14:paraId="5821276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El Programa Desayunos Escolares tuvo el retraso de entrega del producto y por lo tanto el cobro del mismo, en el mes de diciembre hubo el periodo de vacaciones y no se pudo cobrar al 100% de lo programado, recaudación; resultado por cambio de precios, se pagó con el importe de la cotización y al momento de facturar unos días posteriores ya habían variado los precios;</w:t>
            </w:r>
            <w:r w:rsidRPr="00712618">
              <w:rPr>
                <w:rFonts w:ascii="Arial" w:hAnsi="Arial" w:cs="Arial"/>
                <w:b/>
                <w:sz w:val="14"/>
                <w:szCs w:val="14"/>
              </w:rPr>
              <w:t xml:space="preserve"> </w:t>
            </w:r>
            <w:r w:rsidRPr="00712618">
              <w:rPr>
                <w:rFonts w:ascii="Arial" w:hAnsi="Arial" w:cs="Arial"/>
                <w:sz w:val="14"/>
                <w:szCs w:val="14"/>
              </w:rPr>
              <w:t>por falta de liquidez del H. Ayuntamiento no transfirió el</w:t>
            </w:r>
            <w:r w:rsidR="001376C7">
              <w:rPr>
                <w:rFonts w:ascii="Arial" w:hAnsi="Arial" w:cs="Arial"/>
                <w:sz w:val="14"/>
                <w:szCs w:val="14"/>
              </w:rPr>
              <w:t xml:space="preserve"> </w:t>
            </w:r>
            <w:r w:rsidRPr="00712618">
              <w:rPr>
                <w:rFonts w:ascii="Arial" w:hAnsi="Arial" w:cs="Arial"/>
                <w:sz w:val="14"/>
                <w:szCs w:val="14"/>
              </w:rPr>
              <w:t>recursos de los meses noviembre y diciembre del 2022.</w:t>
            </w:r>
          </w:p>
        </w:tc>
      </w:tr>
      <w:tr w:rsidR="00712618" w:rsidRPr="00712618" w14:paraId="5B908584" w14:textId="77777777" w:rsidTr="009E04D5">
        <w:trPr>
          <w:trHeight w:val="1034"/>
          <w:jc w:val="center"/>
        </w:trPr>
        <w:tc>
          <w:tcPr>
            <w:tcW w:w="418" w:type="dxa"/>
            <w:vAlign w:val="center"/>
          </w:tcPr>
          <w:p w14:paraId="0F67622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77</w:t>
            </w:r>
          </w:p>
        </w:tc>
        <w:tc>
          <w:tcPr>
            <w:tcW w:w="1259" w:type="dxa"/>
            <w:shd w:val="clear" w:color="auto" w:fill="auto"/>
            <w:vAlign w:val="center"/>
          </w:tcPr>
          <w:p w14:paraId="0C2CEC2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Sistema para el Desarrollo Integral de la Familia del Municipio de Solidaridad</w:t>
            </w:r>
          </w:p>
        </w:tc>
        <w:tc>
          <w:tcPr>
            <w:tcW w:w="1437" w:type="dxa"/>
            <w:shd w:val="clear" w:color="auto" w:fill="auto"/>
            <w:vAlign w:val="center"/>
          </w:tcPr>
          <w:p w14:paraId="326D3FCF"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122,723,435.00</w:t>
            </w:r>
          </w:p>
        </w:tc>
        <w:tc>
          <w:tcPr>
            <w:tcW w:w="1559" w:type="dxa"/>
            <w:shd w:val="clear" w:color="auto" w:fill="auto"/>
            <w:vAlign w:val="center"/>
          </w:tcPr>
          <w:p w14:paraId="2435AA4A"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123,677,791.42</w:t>
            </w:r>
          </w:p>
        </w:tc>
        <w:tc>
          <w:tcPr>
            <w:tcW w:w="1276" w:type="dxa"/>
            <w:shd w:val="clear" w:color="auto" w:fill="auto"/>
            <w:vAlign w:val="center"/>
          </w:tcPr>
          <w:p w14:paraId="39D2944D"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100.78</w:t>
            </w:r>
          </w:p>
        </w:tc>
        <w:tc>
          <w:tcPr>
            <w:tcW w:w="3672" w:type="dxa"/>
            <w:shd w:val="clear" w:color="auto" w:fill="auto"/>
            <w:vAlign w:val="center"/>
          </w:tcPr>
          <w:p w14:paraId="5E90296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 alcanzó el monto estimado a recaudar debido a que se empezaron cobrar los servicios que brinda el Sistema DIF Municipal de Solidaridad, así también, se tuvo un incremento atípico en los donativos en efectivo ya que se recibió por parte de la empresa OXXO.</w:t>
            </w:r>
          </w:p>
        </w:tc>
      </w:tr>
      <w:tr w:rsidR="00712618" w:rsidRPr="00712618" w14:paraId="0F3A27FF" w14:textId="77777777" w:rsidTr="009E04D5">
        <w:trPr>
          <w:trHeight w:val="690"/>
          <w:jc w:val="center"/>
        </w:trPr>
        <w:tc>
          <w:tcPr>
            <w:tcW w:w="418" w:type="dxa"/>
            <w:vAlign w:val="center"/>
          </w:tcPr>
          <w:p w14:paraId="525F0EE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78</w:t>
            </w:r>
          </w:p>
        </w:tc>
        <w:tc>
          <w:tcPr>
            <w:tcW w:w="1259" w:type="dxa"/>
            <w:shd w:val="clear" w:color="auto" w:fill="auto"/>
            <w:vAlign w:val="center"/>
          </w:tcPr>
          <w:p w14:paraId="23CB16E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Sistema para el Desarrollo Integral de la Familia del Municipio de Tulum</w:t>
            </w:r>
          </w:p>
        </w:tc>
        <w:tc>
          <w:tcPr>
            <w:tcW w:w="1437" w:type="dxa"/>
            <w:shd w:val="clear" w:color="auto" w:fill="auto"/>
            <w:vAlign w:val="center"/>
          </w:tcPr>
          <w:p w14:paraId="413B2A42"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12,014,590.00</w:t>
            </w:r>
          </w:p>
        </w:tc>
        <w:tc>
          <w:tcPr>
            <w:tcW w:w="1559" w:type="dxa"/>
            <w:shd w:val="clear" w:color="auto" w:fill="auto"/>
            <w:vAlign w:val="center"/>
          </w:tcPr>
          <w:p w14:paraId="15D10D9B"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35,678,135.22</w:t>
            </w:r>
          </w:p>
        </w:tc>
        <w:tc>
          <w:tcPr>
            <w:tcW w:w="1276" w:type="dxa"/>
            <w:shd w:val="clear" w:color="auto" w:fill="auto"/>
            <w:vAlign w:val="center"/>
          </w:tcPr>
          <w:p w14:paraId="1003AECE"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296.96</w:t>
            </w:r>
          </w:p>
        </w:tc>
        <w:tc>
          <w:tcPr>
            <w:tcW w:w="3672" w:type="dxa"/>
            <w:shd w:val="clear" w:color="auto" w:fill="auto"/>
            <w:vAlign w:val="center"/>
          </w:tcPr>
          <w:p w14:paraId="7855D0D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Con otros servicios se obtuvieron más ingresos de los presupuestados a principios de año; hubo una modificación del presupuesto y el H. Ayuntamiento suministró más recurso, esto debido al paso de la nómina al DIF”</w:t>
            </w:r>
          </w:p>
        </w:tc>
      </w:tr>
      <w:tr w:rsidR="00712618" w:rsidRPr="00712618" w14:paraId="2A327390" w14:textId="77777777" w:rsidTr="009E04D5">
        <w:trPr>
          <w:trHeight w:val="690"/>
          <w:jc w:val="center"/>
        </w:trPr>
        <w:tc>
          <w:tcPr>
            <w:tcW w:w="418" w:type="dxa"/>
            <w:vAlign w:val="center"/>
          </w:tcPr>
          <w:p w14:paraId="451D0B3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79</w:t>
            </w:r>
          </w:p>
        </w:tc>
        <w:tc>
          <w:tcPr>
            <w:tcW w:w="1259" w:type="dxa"/>
            <w:shd w:val="clear" w:color="auto" w:fill="auto"/>
            <w:vAlign w:val="center"/>
          </w:tcPr>
          <w:p w14:paraId="06445C4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Solución Integral de Residuos Sólidos Cancún</w:t>
            </w:r>
          </w:p>
        </w:tc>
        <w:tc>
          <w:tcPr>
            <w:tcW w:w="1437" w:type="dxa"/>
            <w:shd w:val="clear" w:color="auto" w:fill="auto"/>
            <w:vAlign w:val="center"/>
          </w:tcPr>
          <w:p w14:paraId="0794F014"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493,209,121.93</w:t>
            </w:r>
          </w:p>
        </w:tc>
        <w:tc>
          <w:tcPr>
            <w:tcW w:w="1559" w:type="dxa"/>
            <w:shd w:val="clear" w:color="auto" w:fill="auto"/>
            <w:vAlign w:val="center"/>
          </w:tcPr>
          <w:p w14:paraId="77CAF266" w14:textId="77777777" w:rsidR="00712618" w:rsidRPr="00712618" w:rsidRDefault="00712618" w:rsidP="00712618">
            <w:pPr>
              <w:spacing w:before="120" w:after="120"/>
              <w:jc w:val="right"/>
              <w:rPr>
                <w:rFonts w:ascii="Arial" w:hAnsi="Arial" w:cs="Arial"/>
                <w:sz w:val="14"/>
                <w:szCs w:val="14"/>
              </w:rPr>
            </w:pPr>
            <w:r w:rsidRPr="00712618">
              <w:rPr>
                <w:rFonts w:ascii="Arial" w:hAnsi="Arial" w:cs="Arial"/>
                <w:sz w:val="14"/>
                <w:szCs w:val="14"/>
              </w:rPr>
              <w:t>596,009,948.46</w:t>
            </w:r>
          </w:p>
        </w:tc>
        <w:tc>
          <w:tcPr>
            <w:tcW w:w="1276" w:type="dxa"/>
            <w:shd w:val="clear" w:color="auto" w:fill="auto"/>
            <w:vAlign w:val="center"/>
          </w:tcPr>
          <w:p w14:paraId="3FC229AB"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sz w:val="14"/>
                <w:szCs w:val="14"/>
              </w:rPr>
              <w:t>120.84</w:t>
            </w:r>
          </w:p>
        </w:tc>
        <w:tc>
          <w:tcPr>
            <w:tcW w:w="3672" w:type="dxa"/>
            <w:shd w:val="clear" w:color="auto" w:fill="auto"/>
            <w:vAlign w:val="center"/>
          </w:tcPr>
          <w:p w14:paraId="16C54D4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 tuvo más pagos por partes de los grandes generadores. En cuanto al monto de la ampliación representa la forma de cómo fue presentándose el ingreso de derechos; se realizaron los depósitos de la ministración pendiente de 2021, y se realizó una ampliación presupuestal.</w:t>
            </w:r>
          </w:p>
        </w:tc>
      </w:tr>
    </w:tbl>
    <w:p w14:paraId="6C881BD3" w14:textId="77777777" w:rsidR="00712618" w:rsidRPr="00712618" w:rsidRDefault="00712618" w:rsidP="00712618">
      <w:pPr>
        <w:ind w:right="1065"/>
        <w:jc w:val="both"/>
        <w:rPr>
          <w:sz w:val="24"/>
          <w:szCs w:val="24"/>
        </w:rPr>
      </w:pPr>
      <w:r w:rsidRPr="00712618">
        <w:rPr>
          <w:sz w:val="24"/>
          <w:szCs w:val="24"/>
        </w:rPr>
        <w:t xml:space="preserve"> </w:t>
      </w:r>
    </w:p>
    <w:p w14:paraId="3CA0568D" w14:textId="77777777" w:rsidR="00712618" w:rsidRPr="00712618" w:rsidRDefault="00712618" w:rsidP="00712618">
      <w:pPr>
        <w:ind w:right="49"/>
        <w:rPr>
          <w:rFonts w:ascii="Arial" w:hAnsi="Arial" w:cs="Arial"/>
          <w:b/>
          <w:szCs w:val="24"/>
        </w:rPr>
      </w:pPr>
    </w:p>
    <w:p w14:paraId="6E254473" w14:textId="77777777" w:rsidR="00CC276C" w:rsidRDefault="00CC276C" w:rsidP="00712618">
      <w:pPr>
        <w:ind w:right="49"/>
        <w:rPr>
          <w:rFonts w:ascii="Arial" w:hAnsi="Arial" w:cs="Arial"/>
          <w:b/>
          <w:szCs w:val="24"/>
        </w:rPr>
      </w:pPr>
    </w:p>
    <w:p w14:paraId="26BFD8D4" w14:textId="77777777" w:rsidR="00CC276C" w:rsidRDefault="00CC276C" w:rsidP="00712618">
      <w:pPr>
        <w:ind w:right="49"/>
        <w:rPr>
          <w:rFonts w:ascii="Arial" w:hAnsi="Arial" w:cs="Arial"/>
          <w:b/>
          <w:szCs w:val="24"/>
        </w:rPr>
      </w:pPr>
    </w:p>
    <w:p w14:paraId="28EE09F8" w14:textId="77777777" w:rsidR="00CC276C" w:rsidRDefault="00CC276C" w:rsidP="00712618">
      <w:pPr>
        <w:ind w:right="49"/>
        <w:rPr>
          <w:rFonts w:ascii="Arial" w:hAnsi="Arial" w:cs="Arial"/>
          <w:b/>
          <w:szCs w:val="24"/>
        </w:rPr>
      </w:pPr>
    </w:p>
    <w:p w14:paraId="4F013779" w14:textId="77777777" w:rsidR="00712618" w:rsidRPr="00712618" w:rsidRDefault="00712618" w:rsidP="00712618">
      <w:pPr>
        <w:ind w:right="49"/>
        <w:rPr>
          <w:rFonts w:ascii="Arial" w:hAnsi="Arial" w:cs="Arial"/>
          <w:b/>
          <w:szCs w:val="24"/>
        </w:rPr>
      </w:pPr>
      <w:r w:rsidRPr="00712618">
        <w:rPr>
          <w:rFonts w:ascii="Arial" w:hAnsi="Arial" w:cs="Arial"/>
          <w:b/>
          <w:szCs w:val="24"/>
        </w:rPr>
        <w:lastRenderedPageBreak/>
        <w:t>Información correspondiente al flujo contable de egresos:</w:t>
      </w:r>
    </w:p>
    <w:p w14:paraId="7CBA08A0" w14:textId="77777777" w:rsidR="00712618" w:rsidRPr="00712618" w:rsidRDefault="00712618" w:rsidP="00712618">
      <w:pPr>
        <w:ind w:right="49"/>
        <w:jc w:val="both"/>
        <w:rPr>
          <w:b/>
          <w:sz w:val="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
        <w:gridCol w:w="1246"/>
        <w:gridCol w:w="13"/>
        <w:gridCol w:w="1418"/>
        <w:gridCol w:w="10"/>
        <w:gridCol w:w="1418"/>
        <w:gridCol w:w="10"/>
        <w:gridCol w:w="913"/>
        <w:gridCol w:w="7"/>
        <w:gridCol w:w="3421"/>
      </w:tblGrid>
      <w:tr w:rsidR="00712618" w:rsidRPr="00712618" w14:paraId="32B66106" w14:textId="77777777" w:rsidTr="00CC276C">
        <w:trPr>
          <w:trHeight w:val="477"/>
          <w:tblHeader/>
          <w:jc w:val="center"/>
        </w:trPr>
        <w:tc>
          <w:tcPr>
            <w:tcW w:w="8828" w:type="dxa"/>
            <w:gridSpan w:val="10"/>
            <w:tcBorders>
              <w:top w:val="single" w:sz="4" w:space="0" w:color="auto"/>
              <w:left w:val="single" w:sz="4" w:space="0" w:color="auto"/>
              <w:bottom w:val="single" w:sz="4" w:space="0" w:color="auto"/>
              <w:right w:val="single" w:sz="4" w:space="0" w:color="auto"/>
            </w:tcBorders>
            <w:shd w:val="clear" w:color="auto" w:fill="9E9142"/>
            <w:vAlign w:val="center"/>
          </w:tcPr>
          <w:p w14:paraId="07E9E301" w14:textId="77777777" w:rsidR="00712618" w:rsidRPr="00712618" w:rsidRDefault="00712618" w:rsidP="00712618">
            <w:pPr>
              <w:tabs>
                <w:tab w:val="left" w:pos="1530"/>
              </w:tabs>
              <w:ind w:left="-91" w:right="-106"/>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RESUMEN DE AVANCE DE GESTIÓN FINANCIERA DE LOS EGRESOS DEL EJERCICIO FISCAL 2022</w:t>
            </w:r>
          </w:p>
        </w:tc>
      </w:tr>
      <w:tr w:rsidR="00712618" w:rsidRPr="00712618" w14:paraId="75910F6E" w14:textId="77777777" w:rsidTr="00CC276C">
        <w:trPr>
          <w:trHeight w:val="645"/>
          <w:tblHeader/>
          <w:jc w:val="center"/>
        </w:trPr>
        <w:tc>
          <w:tcPr>
            <w:tcW w:w="372" w:type="dxa"/>
            <w:tcBorders>
              <w:top w:val="single" w:sz="4" w:space="0" w:color="auto"/>
              <w:left w:val="single" w:sz="4" w:space="0" w:color="auto"/>
              <w:bottom w:val="single" w:sz="4" w:space="0" w:color="auto"/>
              <w:right w:val="single" w:sz="4" w:space="0" w:color="auto"/>
            </w:tcBorders>
            <w:shd w:val="clear" w:color="auto" w:fill="9E9142"/>
            <w:vAlign w:val="center"/>
          </w:tcPr>
          <w:p w14:paraId="19B4FDD8" w14:textId="77777777" w:rsidR="00712618" w:rsidRPr="00712618" w:rsidRDefault="00712618" w:rsidP="00712618">
            <w:pPr>
              <w:tabs>
                <w:tab w:val="left" w:pos="1530"/>
              </w:tabs>
              <w:spacing w:before="120" w:after="120"/>
              <w:ind w:left="-115" w:right="-132"/>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No.</w:t>
            </w:r>
          </w:p>
        </w:tc>
        <w:tc>
          <w:tcPr>
            <w:tcW w:w="1246" w:type="dxa"/>
            <w:tcBorders>
              <w:top w:val="single" w:sz="4" w:space="0" w:color="auto"/>
              <w:left w:val="single" w:sz="4" w:space="0" w:color="auto"/>
              <w:bottom w:val="single" w:sz="4" w:space="0" w:color="auto"/>
              <w:right w:val="single" w:sz="4" w:space="0" w:color="auto"/>
            </w:tcBorders>
            <w:shd w:val="clear" w:color="auto" w:fill="9E9142"/>
            <w:vAlign w:val="center"/>
          </w:tcPr>
          <w:p w14:paraId="4F7B1911" w14:textId="77777777" w:rsidR="00712618" w:rsidRPr="00712618" w:rsidRDefault="00712618" w:rsidP="00712618">
            <w:pPr>
              <w:tabs>
                <w:tab w:val="left" w:pos="1530"/>
              </w:tabs>
              <w:ind w:right="-132"/>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Entidad</w:t>
            </w:r>
          </w:p>
        </w:tc>
        <w:tc>
          <w:tcPr>
            <w:tcW w:w="1431" w:type="dxa"/>
            <w:gridSpan w:val="2"/>
            <w:tcBorders>
              <w:top w:val="single" w:sz="4" w:space="0" w:color="auto"/>
              <w:left w:val="single" w:sz="4" w:space="0" w:color="auto"/>
              <w:bottom w:val="single" w:sz="4" w:space="0" w:color="auto"/>
              <w:right w:val="single" w:sz="4" w:space="0" w:color="auto"/>
            </w:tcBorders>
            <w:shd w:val="clear" w:color="auto" w:fill="9E9142"/>
            <w:vAlign w:val="center"/>
          </w:tcPr>
          <w:p w14:paraId="407D7399" w14:textId="77777777" w:rsidR="00712618" w:rsidRPr="00712618" w:rsidRDefault="00712618" w:rsidP="00712618">
            <w:pPr>
              <w:tabs>
                <w:tab w:val="left" w:pos="1530"/>
              </w:tabs>
              <w:ind w:right="-155"/>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Egreso Modificado</w:t>
            </w:r>
          </w:p>
        </w:tc>
        <w:tc>
          <w:tcPr>
            <w:tcW w:w="1428" w:type="dxa"/>
            <w:gridSpan w:val="2"/>
            <w:tcBorders>
              <w:top w:val="single" w:sz="4" w:space="0" w:color="auto"/>
              <w:left w:val="single" w:sz="4" w:space="0" w:color="auto"/>
              <w:bottom w:val="single" w:sz="4" w:space="0" w:color="auto"/>
              <w:right w:val="single" w:sz="4" w:space="0" w:color="auto"/>
            </w:tcBorders>
            <w:shd w:val="clear" w:color="auto" w:fill="9E9142"/>
            <w:vAlign w:val="center"/>
          </w:tcPr>
          <w:p w14:paraId="27C886EE" w14:textId="77777777" w:rsidR="00712618" w:rsidRPr="00712618" w:rsidRDefault="00712618" w:rsidP="00712618">
            <w:pPr>
              <w:tabs>
                <w:tab w:val="left" w:pos="1530"/>
              </w:tabs>
              <w:ind w:right="-129"/>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Egreso Devengado</w:t>
            </w:r>
          </w:p>
        </w:tc>
        <w:tc>
          <w:tcPr>
            <w:tcW w:w="923" w:type="dxa"/>
            <w:gridSpan w:val="2"/>
            <w:tcBorders>
              <w:top w:val="single" w:sz="4" w:space="0" w:color="auto"/>
              <w:left w:val="single" w:sz="4" w:space="0" w:color="auto"/>
              <w:bottom w:val="single" w:sz="4" w:space="0" w:color="auto"/>
              <w:right w:val="single" w:sz="4" w:space="0" w:color="auto"/>
            </w:tcBorders>
            <w:shd w:val="clear" w:color="auto" w:fill="9E9142"/>
            <w:vAlign w:val="center"/>
          </w:tcPr>
          <w:p w14:paraId="52ED23D7" w14:textId="77777777" w:rsidR="00712618" w:rsidRPr="00712618" w:rsidRDefault="00712618" w:rsidP="00712618">
            <w:pPr>
              <w:tabs>
                <w:tab w:val="left" w:pos="1530"/>
              </w:tabs>
              <w:ind w:left="-91" w:right="-106"/>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Avance en la Captación (%)</w:t>
            </w:r>
          </w:p>
        </w:tc>
        <w:tc>
          <w:tcPr>
            <w:tcW w:w="3428" w:type="dxa"/>
            <w:gridSpan w:val="2"/>
            <w:tcBorders>
              <w:top w:val="single" w:sz="4" w:space="0" w:color="auto"/>
              <w:left w:val="single" w:sz="4" w:space="0" w:color="auto"/>
              <w:bottom w:val="single" w:sz="4" w:space="0" w:color="auto"/>
              <w:right w:val="single" w:sz="4" w:space="0" w:color="auto"/>
            </w:tcBorders>
            <w:shd w:val="clear" w:color="auto" w:fill="9E9142"/>
            <w:vAlign w:val="center"/>
          </w:tcPr>
          <w:p w14:paraId="6E84BE9A" w14:textId="77777777" w:rsidR="00712618" w:rsidRPr="00712618" w:rsidRDefault="00712618" w:rsidP="00712618">
            <w:pPr>
              <w:tabs>
                <w:tab w:val="left" w:pos="1530"/>
              </w:tabs>
              <w:ind w:right="-37"/>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Comentarios a Justificaciones</w:t>
            </w:r>
          </w:p>
        </w:tc>
      </w:tr>
      <w:tr w:rsidR="00712618" w:rsidRPr="00712618" w14:paraId="6C14FC6B" w14:textId="77777777" w:rsidTr="00CC276C">
        <w:tblPrEx>
          <w:jc w:val="left"/>
        </w:tblPrEx>
        <w:trPr>
          <w:trHeight w:val="556"/>
        </w:trPr>
        <w:tc>
          <w:tcPr>
            <w:tcW w:w="8828" w:type="dxa"/>
            <w:gridSpan w:val="10"/>
            <w:tcBorders>
              <w:top w:val="single" w:sz="4" w:space="0" w:color="auto"/>
              <w:left w:val="single" w:sz="4" w:space="0" w:color="auto"/>
              <w:bottom w:val="single" w:sz="4" w:space="0" w:color="auto"/>
              <w:right w:val="single" w:sz="4" w:space="0" w:color="auto"/>
            </w:tcBorders>
            <w:shd w:val="clear" w:color="auto" w:fill="9E9142"/>
            <w:vAlign w:val="center"/>
          </w:tcPr>
          <w:p w14:paraId="5909E7F8" w14:textId="77777777" w:rsidR="00712618" w:rsidRPr="00712618" w:rsidRDefault="00712618" w:rsidP="00712618">
            <w:pPr>
              <w:spacing w:before="120" w:after="120"/>
              <w:ind w:right="18"/>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PODERES</w:t>
            </w:r>
          </w:p>
        </w:tc>
      </w:tr>
      <w:tr w:rsidR="00712618" w:rsidRPr="00712618" w14:paraId="4A567B5A" w14:textId="77777777" w:rsidTr="00CC276C">
        <w:trPr>
          <w:trHeight w:val="690"/>
          <w:jc w:val="center"/>
        </w:trPr>
        <w:tc>
          <w:tcPr>
            <w:tcW w:w="372" w:type="dxa"/>
            <w:tcBorders>
              <w:top w:val="single" w:sz="4" w:space="0" w:color="auto"/>
            </w:tcBorders>
            <w:shd w:val="clear" w:color="auto" w:fill="auto"/>
            <w:vAlign w:val="center"/>
          </w:tcPr>
          <w:p w14:paraId="7C248137"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1</w:t>
            </w:r>
          </w:p>
        </w:tc>
        <w:tc>
          <w:tcPr>
            <w:tcW w:w="1259" w:type="dxa"/>
            <w:gridSpan w:val="2"/>
            <w:tcBorders>
              <w:top w:val="single" w:sz="4" w:space="0" w:color="auto"/>
            </w:tcBorders>
            <w:shd w:val="clear" w:color="auto" w:fill="auto"/>
            <w:vAlign w:val="center"/>
          </w:tcPr>
          <w:p w14:paraId="1F7E0DFF"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 xml:space="preserve">H. Poder Ejecutivo </w:t>
            </w:r>
          </w:p>
        </w:tc>
        <w:tc>
          <w:tcPr>
            <w:tcW w:w="1428" w:type="dxa"/>
            <w:gridSpan w:val="2"/>
            <w:tcBorders>
              <w:top w:val="single" w:sz="4" w:space="0" w:color="auto"/>
            </w:tcBorders>
            <w:shd w:val="clear" w:color="auto" w:fill="auto"/>
            <w:vAlign w:val="center"/>
          </w:tcPr>
          <w:p w14:paraId="41EBC29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42,800,921,416.93</w:t>
            </w:r>
          </w:p>
        </w:tc>
        <w:tc>
          <w:tcPr>
            <w:tcW w:w="1428" w:type="dxa"/>
            <w:gridSpan w:val="2"/>
            <w:tcBorders>
              <w:top w:val="single" w:sz="4" w:space="0" w:color="auto"/>
            </w:tcBorders>
            <w:shd w:val="clear" w:color="auto" w:fill="auto"/>
            <w:vAlign w:val="center"/>
          </w:tcPr>
          <w:p w14:paraId="0C94AAE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42,602,074,451.21</w:t>
            </w:r>
          </w:p>
        </w:tc>
        <w:tc>
          <w:tcPr>
            <w:tcW w:w="920" w:type="dxa"/>
            <w:gridSpan w:val="2"/>
            <w:tcBorders>
              <w:top w:val="single" w:sz="4" w:space="0" w:color="auto"/>
            </w:tcBorders>
            <w:shd w:val="clear" w:color="auto" w:fill="auto"/>
            <w:vAlign w:val="center"/>
          </w:tcPr>
          <w:p w14:paraId="3E6CC1B9"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99.54</w:t>
            </w:r>
          </w:p>
        </w:tc>
        <w:tc>
          <w:tcPr>
            <w:tcW w:w="3421" w:type="dxa"/>
            <w:tcBorders>
              <w:top w:val="single" w:sz="4" w:space="0" w:color="auto"/>
            </w:tcBorders>
            <w:shd w:val="clear" w:color="auto" w:fill="auto"/>
            <w:vAlign w:val="center"/>
          </w:tcPr>
          <w:p w14:paraId="6D50A85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Algunas plazas quedaron vacantes provocando que no se ejerza la totalidad del presupuesto en el ejercicio 2022. Así mismo, por cuestión de las necesidades operativas y administrativas, no se activaron todas las plazas del personal eventual (trabajadores por tiempo determinado y honorarios asimilables a salario). También, hay prestaciones relacionadas con la antigüedad del trabajador cuya aplicación a beneficio del colaborador dependió del cumplimiento de requisitos legales (quinquenios, primas de antigüedad y homologaciones); entre otros; los diferentes ejecutores no finalizaron el proceso de devengo de sus documentos, Al menos el 68% de la variación es por concepto de mantenimiento de bien inmueble (SEQ y SEFIPLAN);</w:t>
            </w:r>
            <w:r w:rsidR="001376C7">
              <w:rPr>
                <w:rFonts w:ascii="Arial" w:hAnsi="Arial" w:cs="Arial"/>
                <w:color w:val="000000"/>
                <w:sz w:val="14"/>
                <w:szCs w:val="14"/>
              </w:rPr>
              <w:t xml:space="preserve"> </w:t>
            </w:r>
            <w:r w:rsidRPr="00712618">
              <w:rPr>
                <w:rFonts w:ascii="Arial" w:hAnsi="Arial" w:cs="Arial"/>
                <w:color w:val="000000"/>
                <w:sz w:val="14"/>
                <w:szCs w:val="14"/>
              </w:rPr>
              <w:t>recursos de obras que serán refrendadas para el siguiente ejercicio fiscal; el Programa Impulso PYME no fue devengado por la Secretaría de Desarrollo Económico; gastos de la deuda e intereses que no se ejercieron”.</w:t>
            </w:r>
          </w:p>
        </w:tc>
      </w:tr>
      <w:tr w:rsidR="00712618" w:rsidRPr="00712618" w14:paraId="257595B0" w14:textId="77777777" w:rsidTr="00CC276C">
        <w:trPr>
          <w:trHeight w:val="349"/>
          <w:jc w:val="center"/>
        </w:trPr>
        <w:tc>
          <w:tcPr>
            <w:tcW w:w="372" w:type="dxa"/>
            <w:shd w:val="clear" w:color="auto" w:fill="auto"/>
            <w:vAlign w:val="center"/>
          </w:tcPr>
          <w:p w14:paraId="72C707A1"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2</w:t>
            </w:r>
          </w:p>
        </w:tc>
        <w:tc>
          <w:tcPr>
            <w:tcW w:w="1259" w:type="dxa"/>
            <w:gridSpan w:val="2"/>
            <w:shd w:val="clear" w:color="auto" w:fill="auto"/>
            <w:vAlign w:val="center"/>
          </w:tcPr>
          <w:p w14:paraId="587CA6D2"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H. Poder Judicial</w:t>
            </w:r>
          </w:p>
        </w:tc>
        <w:tc>
          <w:tcPr>
            <w:tcW w:w="1428" w:type="dxa"/>
            <w:gridSpan w:val="2"/>
            <w:shd w:val="clear" w:color="auto" w:fill="auto"/>
            <w:vAlign w:val="center"/>
          </w:tcPr>
          <w:p w14:paraId="41189F8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770,432,448.54</w:t>
            </w:r>
          </w:p>
        </w:tc>
        <w:tc>
          <w:tcPr>
            <w:tcW w:w="1428" w:type="dxa"/>
            <w:gridSpan w:val="2"/>
            <w:shd w:val="clear" w:color="auto" w:fill="auto"/>
            <w:vAlign w:val="center"/>
          </w:tcPr>
          <w:p w14:paraId="68ACE4B1"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764,659,334.45</w:t>
            </w:r>
          </w:p>
        </w:tc>
        <w:tc>
          <w:tcPr>
            <w:tcW w:w="920" w:type="dxa"/>
            <w:gridSpan w:val="2"/>
            <w:shd w:val="clear" w:color="auto" w:fill="auto"/>
            <w:vAlign w:val="center"/>
          </w:tcPr>
          <w:p w14:paraId="4BCE54A9"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99.25</w:t>
            </w:r>
          </w:p>
        </w:tc>
        <w:tc>
          <w:tcPr>
            <w:tcW w:w="3421" w:type="dxa"/>
            <w:shd w:val="clear" w:color="auto" w:fill="auto"/>
            <w:vAlign w:val="center"/>
          </w:tcPr>
          <w:p w14:paraId="4592A29F"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Pendientes de pago que se tienen que cubrir posterior al cierre como los Impuestos, SAR, cuotas del ISSSTE, ETC.; así mismo se observa una Ampliación Presupuestal provenientes del Fondo de Mejoramiento de la Administración de Justicia para el pago de Nómina de su personal; montos contratados, fueron menor a lo proyectado; la "tercera etapa de implementación de reforma al sistema de justicia laboral", fue contratada por importes menores a los proyectados; derivado de la ampliación por recursos provenientes al</w:t>
            </w:r>
            <w:r w:rsidR="001376C7">
              <w:rPr>
                <w:rFonts w:ascii="Arial" w:hAnsi="Arial" w:cs="Arial"/>
                <w:color w:val="000000"/>
                <w:sz w:val="14"/>
                <w:szCs w:val="14"/>
              </w:rPr>
              <w:t xml:space="preserve"> </w:t>
            </w:r>
            <w:r w:rsidRPr="00712618">
              <w:rPr>
                <w:rFonts w:ascii="Arial" w:hAnsi="Arial" w:cs="Arial"/>
                <w:color w:val="000000"/>
                <w:sz w:val="14"/>
                <w:szCs w:val="14"/>
              </w:rPr>
              <w:t>convenio de Coordinación para el otorgamiento del subsidio para la "tercera etapa de implementación de reforma al sistema de justicia laboral", se tuvieron contratos por importes menores a los proyectados;</w:t>
            </w:r>
            <w:r w:rsidRPr="00712618">
              <w:rPr>
                <w:rFonts w:ascii="Arial" w:hAnsi="Arial" w:cs="Arial"/>
                <w:b/>
                <w:color w:val="000000"/>
                <w:sz w:val="14"/>
                <w:szCs w:val="14"/>
              </w:rPr>
              <w:t xml:space="preserve"> </w:t>
            </w:r>
            <w:r w:rsidRPr="00712618">
              <w:rPr>
                <w:rFonts w:ascii="Arial" w:hAnsi="Arial" w:cs="Arial"/>
                <w:color w:val="000000"/>
                <w:sz w:val="14"/>
                <w:szCs w:val="14"/>
              </w:rPr>
              <w:t xml:space="preserve">se tuvieron contratos con importes menores a los proyectados. </w:t>
            </w:r>
          </w:p>
        </w:tc>
      </w:tr>
      <w:tr w:rsidR="00712618" w:rsidRPr="00712618" w14:paraId="47EFD095" w14:textId="77777777" w:rsidTr="00CC276C">
        <w:trPr>
          <w:trHeight w:val="380"/>
          <w:jc w:val="center"/>
        </w:trPr>
        <w:tc>
          <w:tcPr>
            <w:tcW w:w="372" w:type="dxa"/>
            <w:shd w:val="clear" w:color="auto" w:fill="auto"/>
            <w:vAlign w:val="center"/>
          </w:tcPr>
          <w:p w14:paraId="2AFC584E"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3</w:t>
            </w:r>
          </w:p>
        </w:tc>
        <w:tc>
          <w:tcPr>
            <w:tcW w:w="1259" w:type="dxa"/>
            <w:gridSpan w:val="2"/>
            <w:shd w:val="clear" w:color="auto" w:fill="auto"/>
            <w:vAlign w:val="center"/>
          </w:tcPr>
          <w:p w14:paraId="2DD47A3C"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H. Poder Legislativo *</w:t>
            </w:r>
          </w:p>
        </w:tc>
        <w:tc>
          <w:tcPr>
            <w:tcW w:w="1428" w:type="dxa"/>
            <w:gridSpan w:val="2"/>
            <w:shd w:val="clear" w:color="auto" w:fill="auto"/>
            <w:vAlign w:val="center"/>
          </w:tcPr>
          <w:p w14:paraId="4B6217B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709,620,032.76</w:t>
            </w:r>
          </w:p>
        </w:tc>
        <w:tc>
          <w:tcPr>
            <w:tcW w:w="1428" w:type="dxa"/>
            <w:gridSpan w:val="2"/>
            <w:shd w:val="clear" w:color="auto" w:fill="auto"/>
            <w:vAlign w:val="center"/>
          </w:tcPr>
          <w:p w14:paraId="0D3522C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$704,900,647.73</w:t>
            </w:r>
          </w:p>
        </w:tc>
        <w:tc>
          <w:tcPr>
            <w:tcW w:w="920" w:type="dxa"/>
            <w:gridSpan w:val="2"/>
            <w:shd w:val="clear" w:color="auto" w:fill="auto"/>
            <w:vAlign w:val="center"/>
          </w:tcPr>
          <w:p w14:paraId="4A84B8F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99.33</w:t>
            </w:r>
          </w:p>
        </w:tc>
        <w:tc>
          <w:tcPr>
            <w:tcW w:w="3421" w:type="dxa"/>
            <w:shd w:val="clear" w:color="auto" w:fill="auto"/>
            <w:vAlign w:val="center"/>
          </w:tcPr>
          <w:p w14:paraId="60B98352"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Sin devengar al 100% debido a aportaciones patronales y retenciones que se pagan de forma bimestral; variación producto de remanentes presupuestales no devengados; </w:t>
            </w:r>
          </w:p>
        </w:tc>
      </w:tr>
      <w:tr w:rsidR="00712618" w:rsidRPr="00712618" w14:paraId="678D243F" w14:textId="77777777" w:rsidTr="00CC276C">
        <w:tblPrEx>
          <w:jc w:val="left"/>
        </w:tblPrEx>
        <w:trPr>
          <w:trHeight w:val="556"/>
        </w:trPr>
        <w:tc>
          <w:tcPr>
            <w:tcW w:w="8828" w:type="dxa"/>
            <w:gridSpan w:val="10"/>
            <w:shd w:val="clear" w:color="auto" w:fill="9E9142"/>
            <w:vAlign w:val="center"/>
          </w:tcPr>
          <w:p w14:paraId="5621BE44" w14:textId="77777777" w:rsidR="00712618" w:rsidRPr="00712618" w:rsidRDefault="00712618" w:rsidP="00712618">
            <w:pPr>
              <w:spacing w:before="120" w:after="120"/>
              <w:ind w:right="18"/>
              <w:jc w:val="center"/>
              <w:rPr>
                <w:rFonts w:ascii="Arial" w:hAnsi="Arial" w:cs="Arial"/>
                <w:sz w:val="14"/>
                <w:szCs w:val="14"/>
              </w:rPr>
            </w:pPr>
            <w:r w:rsidRPr="00712618">
              <w:rPr>
                <w:rFonts w:ascii="Arial" w:hAnsi="Arial" w:cs="Arial"/>
                <w:b/>
                <w:color w:val="FFFFFF" w:themeColor="background1"/>
                <w:sz w:val="14"/>
                <w:szCs w:val="14"/>
              </w:rPr>
              <w:t>ENTIDADES PARAESTATALES</w:t>
            </w:r>
          </w:p>
        </w:tc>
      </w:tr>
      <w:tr w:rsidR="00712618" w:rsidRPr="00712618" w14:paraId="06381497" w14:textId="77777777" w:rsidTr="00CC276C">
        <w:trPr>
          <w:trHeight w:val="690"/>
          <w:jc w:val="center"/>
        </w:trPr>
        <w:tc>
          <w:tcPr>
            <w:tcW w:w="372" w:type="dxa"/>
            <w:vAlign w:val="center"/>
          </w:tcPr>
          <w:p w14:paraId="2CB4742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w:t>
            </w:r>
          </w:p>
        </w:tc>
        <w:tc>
          <w:tcPr>
            <w:tcW w:w="1259" w:type="dxa"/>
            <w:gridSpan w:val="2"/>
            <w:shd w:val="clear" w:color="auto" w:fill="auto"/>
            <w:vAlign w:val="center"/>
          </w:tcPr>
          <w:p w14:paraId="21D8F24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Administración Portuaria Integral de Quintana Roo S.A. de C.V.,</w:t>
            </w:r>
          </w:p>
        </w:tc>
        <w:tc>
          <w:tcPr>
            <w:tcW w:w="1428" w:type="dxa"/>
            <w:gridSpan w:val="2"/>
            <w:shd w:val="clear" w:color="000000" w:fill="auto"/>
            <w:vAlign w:val="center"/>
          </w:tcPr>
          <w:p w14:paraId="1AD28BA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239,303,940.93</w:t>
            </w:r>
          </w:p>
        </w:tc>
        <w:tc>
          <w:tcPr>
            <w:tcW w:w="1428" w:type="dxa"/>
            <w:gridSpan w:val="2"/>
            <w:shd w:val="clear" w:color="000000" w:fill="auto"/>
            <w:vAlign w:val="center"/>
          </w:tcPr>
          <w:p w14:paraId="1A43FF3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172,460,320.53</w:t>
            </w:r>
          </w:p>
        </w:tc>
        <w:tc>
          <w:tcPr>
            <w:tcW w:w="920" w:type="dxa"/>
            <w:gridSpan w:val="2"/>
            <w:shd w:val="clear" w:color="auto" w:fill="auto"/>
            <w:vAlign w:val="center"/>
          </w:tcPr>
          <w:p w14:paraId="3DA31615"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72.07</w:t>
            </w:r>
          </w:p>
        </w:tc>
        <w:tc>
          <w:tcPr>
            <w:tcW w:w="3421" w:type="dxa"/>
            <w:shd w:val="clear" w:color="auto" w:fill="auto"/>
            <w:vAlign w:val="center"/>
          </w:tcPr>
          <w:p w14:paraId="3492FE71"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cerró el período con plazas vacantes; se obtuvieron ahorros en algunas partidas presupuestales correspondiente a consumibles como: papelería, útiles de impresión, material eléctrico, servicio básico de energía eléctrica y servicio de internet. Así también se tiene pendiente la determinación del Impuesto Sobre la Renta Anual y la Participación de los Trabajadores en las Utilidades del ejercicio 2022; al realizarse la licitación la empresa participante solo concursó por el vehículo de 7 pasajeros; no pudieron concluirse los procesos de licitación, reprogramando obras para el ejercicio subsecuente.</w:t>
            </w:r>
          </w:p>
        </w:tc>
      </w:tr>
      <w:tr w:rsidR="00712618" w:rsidRPr="00712618" w14:paraId="67C91843" w14:textId="77777777" w:rsidTr="00CC276C">
        <w:trPr>
          <w:trHeight w:val="690"/>
          <w:jc w:val="center"/>
        </w:trPr>
        <w:tc>
          <w:tcPr>
            <w:tcW w:w="372" w:type="dxa"/>
            <w:vAlign w:val="center"/>
          </w:tcPr>
          <w:p w14:paraId="307A88A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5</w:t>
            </w:r>
          </w:p>
        </w:tc>
        <w:tc>
          <w:tcPr>
            <w:tcW w:w="1259" w:type="dxa"/>
            <w:gridSpan w:val="2"/>
            <w:shd w:val="clear" w:color="auto" w:fill="auto"/>
            <w:vAlign w:val="center"/>
          </w:tcPr>
          <w:p w14:paraId="67DA019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Agencia de Proyectos Estratégicos del Estado de Quintana Roo </w:t>
            </w:r>
          </w:p>
        </w:tc>
        <w:tc>
          <w:tcPr>
            <w:tcW w:w="1428" w:type="dxa"/>
            <w:gridSpan w:val="2"/>
            <w:shd w:val="clear" w:color="000000" w:fill="auto"/>
            <w:vAlign w:val="center"/>
          </w:tcPr>
          <w:p w14:paraId="317B757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285,614,035.00</w:t>
            </w:r>
          </w:p>
        </w:tc>
        <w:tc>
          <w:tcPr>
            <w:tcW w:w="1428" w:type="dxa"/>
            <w:gridSpan w:val="2"/>
            <w:shd w:val="clear" w:color="000000" w:fill="auto"/>
            <w:vAlign w:val="center"/>
          </w:tcPr>
          <w:p w14:paraId="685622E1"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246,251,005.08</w:t>
            </w:r>
          </w:p>
        </w:tc>
        <w:tc>
          <w:tcPr>
            <w:tcW w:w="920" w:type="dxa"/>
            <w:gridSpan w:val="2"/>
            <w:shd w:val="clear" w:color="auto" w:fill="auto"/>
            <w:vAlign w:val="center"/>
          </w:tcPr>
          <w:p w14:paraId="4B850AF9"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86.22</w:t>
            </w:r>
          </w:p>
        </w:tc>
        <w:tc>
          <w:tcPr>
            <w:tcW w:w="3421" w:type="dxa"/>
            <w:shd w:val="clear" w:color="auto" w:fill="auto"/>
            <w:vAlign w:val="center"/>
          </w:tcPr>
          <w:p w14:paraId="4A02C840"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tienen plazas vacantes en este periodo y por motivo de que se realizaron cambios en Servidores Públicos, afectó las prestaciones por los años de antigüedad en Gobierno del Estado; se realizaron modificaciones y reducciones al presupuesto de egresos en función a la captación de Ingresos Propios de la Agencia; en el ejercicio se concretaron los convenios de coordinación de Proyectos</w:t>
            </w:r>
            <w:r w:rsidR="001376C7">
              <w:rPr>
                <w:rFonts w:ascii="Arial" w:hAnsi="Arial" w:cs="Arial"/>
                <w:color w:val="000000"/>
                <w:sz w:val="14"/>
                <w:szCs w:val="14"/>
              </w:rPr>
              <w:t xml:space="preserve"> </w:t>
            </w:r>
            <w:r w:rsidRPr="00712618">
              <w:rPr>
                <w:rFonts w:ascii="Arial" w:hAnsi="Arial" w:cs="Arial"/>
                <w:color w:val="000000"/>
                <w:sz w:val="14"/>
                <w:szCs w:val="14"/>
              </w:rPr>
              <w:t>y al convenio celebrado entre la AGEPRO y la SEFIPLAN por concepto de Venta de Bienes Patrimoniales; se presentaron ante el COPLADE 2 proyectos los cuales tienen como objetivo atender las necesidades en infraestructura en los Bienes Inmuebles bajo custodia de la Agencia y para la rehabilitación y mantenimiento del Centro Internacional de Negocios y Convenciones de Chetumal, de los cuales solo se requirió la Rehabilitación de Oficinas, Azoteas e Iluminación del Centro de Convenciones de Chetumal, por lo tanto existe variación en el devengo.</w:t>
            </w:r>
          </w:p>
        </w:tc>
      </w:tr>
      <w:tr w:rsidR="00712618" w:rsidRPr="00712618" w14:paraId="6D00E723" w14:textId="77777777" w:rsidTr="00CC276C">
        <w:trPr>
          <w:trHeight w:val="1329"/>
          <w:jc w:val="center"/>
        </w:trPr>
        <w:tc>
          <w:tcPr>
            <w:tcW w:w="372" w:type="dxa"/>
            <w:vAlign w:val="center"/>
          </w:tcPr>
          <w:p w14:paraId="28B4BA7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6</w:t>
            </w:r>
          </w:p>
        </w:tc>
        <w:tc>
          <w:tcPr>
            <w:tcW w:w="1259" w:type="dxa"/>
            <w:gridSpan w:val="2"/>
            <w:shd w:val="clear" w:color="auto" w:fill="auto"/>
            <w:vAlign w:val="center"/>
          </w:tcPr>
          <w:p w14:paraId="3861AE2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Centro de Estudios de Bachillerato Técnico “Eva Sámano de López Mateos”</w:t>
            </w:r>
          </w:p>
        </w:tc>
        <w:tc>
          <w:tcPr>
            <w:tcW w:w="1428" w:type="dxa"/>
            <w:gridSpan w:val="2"/>
            <w:shd w:val="clear" w:color="000000" w:fill="auto"/>
            <w:vAlign w:val="center"/>
          </w:tcPr>
          <w:p w14:paraId="16623ED2"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52,399,754.00</w:t>
            </w:r>
          </w:p>
        </w:tc>
        <w:tc>
          <w:tcPr>
            <w:tcW w:w="1428" w:type="dxa"/>
            <w:gridSpan w:val="2"/>
            <w:shd w:val="clear" w:color="000000" w:fill="auto"/>
            <w:vAlign w:val="center"/>
          </w:tcPr>
          <w:p w14:paraId="5210CA6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45,080,698.27</w:t>
            </w:r>
          </w:p>
        </w:tc>
        <w:tc>
          <w:tcPr>
            <w:tcW w:w="920" w:type="dxa"/>
            <w:gridSpan w:val="2"/>
            <w:shd w:val="clear" w:color="auto" w:fill="auto"/>
            <w:vAlign w:val="center"/>
          </w:tcPr>
          <w:p w14:paraId="69323353"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86.03</w:t>
            </w:r>
          </w:p>
        </w:tc>
        <w:tc>
          <w:tcPr>
            <w:tcW w:w="3421" w:type="dxa"/>
            <w:shd w:val="clear" w:color="auto" w:fill="auto"/>
            <w:vAlign w:val="center"/>
          </w:tcPr>
          <w:p w14:paraId="45E7E9CB"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Economías generadas de las licencias sin goce de sueldo de personal docente, horas eventuales docentes acorde a las necesidades vigentes del semestre de carga académica, economías en prestaciones variables como son: apoyo escolar, paquete escolar, compensaciones, quinquenios, apoyos de lentes, etc.; economías generadas en cumplimiento a las políticas de ahorro y austeridad del Pacto por Quintana Roo. Asimismo, las adjudicaciones se encuentran en proceso ya que se están realizando el proceso de licitación. </w:t>
            </w:r>
          </w:p>
        </w:tc>
      </w:tr>
      <w:tr w:rsidR="00712618" w:rsidRPr="00712618" w14:paraId="55DFED15" w14:textId="77777777" w:rsidTr="00CC276C">
        <w:trPr>
          <w:trHeight w:val="489"/>
          <w:jc w:val="center"/>
        </w:trPr>
        <w:tc>
          <w:tcPr>
            <w:tcW w:w="372" w:type="dxa"/>
            <w:vAlign w:val="center"/>
          </w:tcPr>
          <w:p w14:paraId="56B0141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7</w:t>
            </w:r>
          </w:p>
        </w:tc>
        <w:tc>
          <w:tcPr>
            <w:tcW w:w="1259" w:type="dxa"/>
            <w:gridSpan w:val="2"/>
            <w:shd w:val="clear" w:color="auto" w:fill="auto"/>
            <w:vAlign w:val="center"/>
          </w:tcPr>
          <w:p w14:paraId="3C0073A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Colegio de Bachilleres del Estado de Quintana Roo </w:t>
            </w:r>
          </w:p>
        </w:tc>
        <w:tc>
          <w:tcPr>
            <w:tcW w:w="1428" w:type="dxa"/>
            <w:gridSpan w:val="2"/>
            <w:shd w:val="clear" w:color="000000" w:fill="auto"/>
            <w:vAlign w:val="center"/>
          </w:tcPr>
          <w:p w14:paraId="78629733"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855,447,293.57</w:t>
            </w:r>
          </w:p>
        </w:tc>
        <w:tc>
          <w:tcPr>
            <w:tcW w:w="1428" w:type="dxa"/>
            <w:gridSpan w:val="2"/>
            <w:shd w:val="clear" w:color="000000" w:fill="auto"/>
            <w:vAlign w:val="center"/>
          </w:tcPr>
          <w:p w14:paraId="794F7A2F"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818,944,596.92</w:t>
            </w:r>
          </w:p>
        </w:tc>
        <w:tc>
          <w:tcPr>
            <w:tcW w:w="920" w:type="dxa"/>
            <w:gridSpan w:val="2"/>
            <w:shd w:val="clear" w:color="auto" w:fill="auto"/>
            <w:vAlign w:val="center"/>
          </w:tcPr>
          <w:p w14:paraId="790F443F"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95.73</w:t>
            </w:r>
          </w:p>
        </w:tc>
        <w:tc>
          <w:tcPr>
            <w:tcW w:w="3421" w:type="dxa"/>
            <w:shd w:val="clear" w:color="auto" w:fill="auto"/>
            <w:vAlign w:val="center"/>
          </w:tcPr>
          <w:p w14:paraId="59BA29B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El recurso estatal, no se ha devengado para gastos de operación; se habían considerado adquirir aires acondicionados, pero se replanteo para el siguiente año.</w:t>
            </w:r>
          </w:p>
        </w:tc>
      </w:tr>
      <w:tr w:rsidR="00712618" w:rsidRPr="00712618" w14:paraId="4AF5D447" w14:textId="77777777" w:rsidTr="00CC276C">
        <w:trPr>
          <w:trHeight w:val="410"/>
          <w:jc w:val="center"/>
        </w:trPr>
        <w:tc>
          <w:tcPr>
            <w:tcW w:w="372" w:type="dxa"/>
            <w:vAlign w:val="center"/>
          </w:tcPr>
          <w:p w14:paraId="0A972C0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8</w:t>
            </w:r>
          </w:p>
        </w:tc>
        <w:tc>
          <w:tcPr>
            <w:tcW w:w="1259" w:type="dxa"/>
            <w:gridSpan w:val="2"/>
            <w:shd w:val="clear" w:color="auto" w:fill="auto"/>
            <w:vAlign w:val="center"/>
          </w:tcPr>
          <w:p w14:paraId="6480C38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Colegio de Educación Profesional Técnica del Estado de Quintana Roo </w:t>
            </w:r>
          </w:p>
        </w:tc>
        <w:tc>
          <w:tcPr>
            <w:tcW w:w="1428" w:type="dxa"/>
            <w:gridSpan w:val="2"/>
            <w:shd w:val="clear" w:color="000000" w:fill="auto"/>
            <w:vAlign w:val="center"/>
          </w:tcPr>
          <w:p w14:paraId="3AD9508E"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338,889,614.49</w:t>
            </w:r>
          </w:p>
        </w:tc>
        <w:tc>
          <w:tcPr>
            <w:tcW w:w="1428" w:type="dxa"/>
            <w:gridSpan w:val="2"/>
            <w:shd w:val="clear" w:color="000000" w:fill="auto"/>
            <w:vAlign w:val="center"/>
          </w:tcPr>
          <w:p w14:paraId="3DF43ADE"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323,236,195.86</w:t>
            </w:r>
          </w:p>
        </w:tc>
        <w:tc>
          <w:tcPr>
            <w:tcW w:w="920" w:type="dxa"/>
            <w:gridSpan w:val="2"/>
            <w:shd w:val="clear" w:color="auto" w:fill="auto"/>
            <w:vAlign w:val="center"/>
          </w:tcPr>
          <w:p w14:paraId="5D8323F9"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95.38</w:t>
            </w:r>
          </w:p>
        </w:tc>
        <w:tc>
          <w:tcPr>
            <w:tcW w:w="3421" w:type="dxa"/>
            <w:shd w:val="clear" w:color="auto" w:fill="auto"/>
            <w:vAlign w:val="center"/>
          </w:tcPr>
          <w:p w14:paraId="0B07F2AF"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 calendarización de los recursos federales etiquetados, quedando una devolución a la federación; se realizó una ampliación presupuestal a los ingresos propios; se realizó el programa de ahorro hasta el mes de septiembre; se tuvieron ampliaciones por recursos estatales para el pago del ISR del mes de septiembre de 2016, recargos y actualizaciones de mayo de 2018; no se logró llevar acabo todos los eventos en los cuales se realizarían entrega de premios a alumnos destacados.</w:t>
            </w:r>
          </w:p>
        </w:tc>
      </w:tr>
      <w:tr w:rsidR="00712618" w:rsidRPr="00712618" w14:paraId="23002686" w14:textId="77777777" w:rsidTr="00CC276C">
        <w:trPr>
          <w:trHeight w:val="690"/>
          <w:jc w:val="center"/>
        </w:trPr>
        <w:tc>
          <w:tcPr>
            <w:tcW w:w="372" w:type="dxa"/>
            <w:vAlign w:val="center"/>
          </w:tcPr>
          <w:p w14:paraId="53DD842E"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9</w:t>
            </w:r>
          </w:p>
        </w:tc>
        <w:tc>
          <w:tcPr>
            <w:tcW w:w="1259" w:type="dxa"/>
            <w:gridSpan w:val="2"/>
            <w:shd w:val="clear" w:color="auto" w:fill="auto"/>
            <w:vAlign w:val="center"/>
          </w:tcPr>
          <w:p w14:paraId="7424B12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Colegio de Estudios Científicos y Tecnológicos del Estado de Quintana Roo </w:t>
            </w:r>
          </w:p>
        </w:tc>
        <w:tc>
          <w:tcPr>
            <w:tcW w:w="1428" w:type="dxa"/>
            <w:gridSpan w:val="2"/>
            <w:shd w:val="clear" w:color="000000" w:fill="auto"/>
            <w:vAlign w:val="center"/>
          </w:tcPr>
          <w:p w14:paraId="3EABFF5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366,511,928.49</w:t>
            </w:r>
          </w:p>
        </w:tc>
        <w:tc>
          <w:tcPr>
            <w:tcW w:w="1428" w:type="dxa"/>
            <w:gridSpan w:val="2"/>
            <w:shd w:val="clear" w:color="000000" w:fill="auto"/>
            <w:vAlign w:val="center"/>
          </w:tcPr>
          <w:p w14:paraId="676FFAB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369,492,708.48</w:t>
            </w:r>
          </w:p>
        </w:tc>
        <w:tc>
          <w:tcPr>
            <w:tcW w:w="920" w:type="dxa"/>
            <w:gridSpan w:val="2"/>
            <w:shd w:val="clear" w:color="auto" w:fill="auto"/>
            <w:vAlign w:val="center"/>
          </w:tcPr>
          <w:p w14:paraId="4DF2CC5F"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100.81</w:t>
            </w:r>
          </w:p>
        </w:tc>
        <w:tc>
          <w:tcPr>
            <w:tcW w:w="3421" w:type="dxa"/>
            <w:shd w:val="clear" w:color="auto" w:fill="auto"/>
            <w:vAlign w:val="center"/>
          </w:tcPr>
          <w:p w14:paraId="76973CB0"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El pago de sueldos y prestaciones de personal del Colegio, cuyas plazas no han sido autorizadas; se le dio suficiencia presupuestal al Capítulo 2000 con los recursos adicionales que se captaron con la fuente de financiamiento de ingresos propios; se tiene un ahorro presupuestal en el capítulo 5000, esto se debe a que no se adquirieron los bienes programados, debido a que no hubo necesidades de cambio de mobiliario. </w:t>
            </w:r>
          </w:p>
        </w:tc>
      </w:tr>
      <w:tr w:rsidR="00712618" w:rsidRPr="00712618" w14:paraId="1EFB3F21" w14:textId="77777777" w:rsidTr="00CC276C">
        <w:trPr>
          <w:trHeight w:val="690"/>
          <w:jc w:val="center"/>
        </w:trPr>
        <w:tc>
          <w:tcPr>
            <w:tcW w:w="372" w:type="dxa"/>
            <w:vAlign w:val="center"/>
          </w:tcPr>
          <w:p w14:paraId="57D29C7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10</w:t>
            </w:r>
          </w:p>
        </w:tc>
        <w:tc>
          <w:tcPr>
            <w:tcW w:w="1259" w:type="dxa"/>
            <w:gridSpan w:val="2"/>
            <w:shd w:val="clear" w:color="auto" w:fill="auto"/>
            <w:vAlign w:val="center"/>
          </w:tcPr>
          <w:p w14:paraId="45C8C35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Comisión de Agua Potable y Alcantarillado del Estado de Quintana Roo </w:t>
            </w:r>
          </w:p>
        </w:tc>
        <w:tc>
          <w:tcPr>
            <w:tcW w:w="1428" w:type="dxa"/>
            <w:gridSpan w:val="2"/>
            <w:shd w:val="clear" w:color="000000" w:fill="auto"/>
            <w:vAlign w:val="center"/>
          </w:tcPr>
          <w:p w14:paraId="41FAB91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1,404,962,985.21</w:t>
            </w:r>
          </w:p>
        </w:tc>
        <w:tc>
          <w:tcPr>
            <w:tcW w:w="1428" w:type="dxa"/>
            <w:gridSpan w:val="2"/>
            <w:shd w:val="clear" w:color="000000" w:fill="auto"/>
            <w:vAlign w:val="center"/>
          </w:tcPr>
          <w:p w14:paraId="4A9BBB6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1,180,743,759.03</w:t>
            </w:r>
          </w:p>
        </w:tc>
        <w:tc>
          <w:tcPr>
            <w:tcW w:w="920" w:type="dxa"/>
            <w:gridSpan w:val="2"/>
            <w:shd w:val="clear" w:color="auto" w:fill="auto"/>
            <w:vAlign w:val="center"/>
          </w:tcPr>
          <w:p w14:paraId="5371A859"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84.04</w:t>
            </w:r>
          </w:p>
        </w:tc>
        <w:tc>
          <w:tcPr>
            <w:tcW w:w="3421" w:type="dxa"/>
            <w:shd w:val="clear" w:color="auto" w:fill="auto"/>
            <w:vAlign w:val="center"/>
          </w:tcPr>
          <w:p w14:paraId="4A544C2D"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Quedaron plazas vacantes por jubilación, renuncia</w:t>
            </w:r>
            <w:r w:rsidR="001376C7">
              <w:rPr>
                <w:rFonts w:ascii="Arial" w:hAnsi="Arial" w:cs="Arial"/>
                <w:color w:val="000000"/>
                <w:sz w:val="14"/>
                <w:szCs w:val="14"/>
              </w:rPr>
              <w:t xml:space="preserve"> </w:t>
            </w:r>
            <w:r w:rsidRPr="00712618">
              <w:rPr>
                <w:rFonts w:ascii="Arial" w:hAnsi="Arial" w:cs="Arial"/>
                <w:color w:val="000000"/>
                <w:sz w:val="14"/>
                <w:szCs w:val="14"/>
              </w:rPr>
              <w:t>o fallecimiento del personal; prestaciones de estímulo de productividad se suspendieron, al igual que el incremento al salario proyectado; el IVA de recursos estatales y federales del programa acciones de desinfección y los recursos remanentes, el cual no tiene afectación presupuestal; así mismo las licitación para</w:t>
            </w:r>
            <w:r w:rsidR="001376C7">
              <w:rPr>
                <w:rFonts w:ascii="Arial" w:hAnsi="Arial" w:cs="Arial"/>
                <w:color w:val="000000"/>
                <w:sz w:val="14"/>
                <w:szCs w:val="14"/>
              </w:rPr>
              <w:t xml:space="preserve"> </w:t>
            </w:r>
            <w:r w:rsidRPr="00712618">
              <w:rPr>
                <w:rFonts w:ascii="Arial" w:hAnsi="Arial" w:cs="Arial"/>
                <w:color w:val="000000"/>
                <w:sz w:val="14"/>
                <w:szCs w:val="14"/>
              </w:rPr>
              <w:t xml:space="preserve">adquisición de botiquines y llantas no llevo a cabo; </w:t>
            </w:r>
            <w:r w:rsidRPr="00712618">
              <w:rPr>
                <w:rFonts w:ascii="Arial" w:hAnsi="Arial" w:cs="Arial"/>
                <w:color w:val="000000"/>
                <w:sz w:val="14"/>
                <w:szCs w:val="14"/>
              </w:rPr>
              <w:lastRenderedPageBreak/>
              <w:t>la celebración del Aniversario de CAPA no se llevó a cabo; derechos de extracción y descarga de aguas se tuvo una ejecución menor a la programada debido a la instalación de medidores por parte de la CONAGUA; ahorros en deuda pública debido a que la calificación de la sobretasa del crédito simple disminuyo generando una tasa de interés menor a la presupuestada</w:t>
            </w:r>
            <w:r w:rsidR="001376C7">
              <w:rPr>
                <w:rFonts w:ascii="Arial" w:hAnsi="Arial" w:cs="Arial"/>
                <w:color w:val="000000"/>
                <w:sz w:val="14"/>
                <w:szCs w:val="14"/>
              </w:rPr>
              <w:t xml:space="preserve"> </w:t>
            </w:r>
            <w:r w:rsidRPr="00712618">
              <w:rPr>
                <w:rFonts w:ascii="Arial" w:hAnsi="Arial" w:cs="Arial"/>
                <w:color w:val="000000"/>
                <w:sz w:val="14"/>
                <w:szCs w:val="14"/>
              </w:rPr>
              <w:t>y a que no se realizaron pagos de ADEFAS.</w:t>
            </w:r>
          </w:p>
        </w:tc>
      </w:tr>
      <w:tr w:rsidR="00712618" w:rsidRPr="00712618" w14:paraId="0096E432" w14:textId="77777777" w:rsidTr="00CC276C">
        <w:trPr>
          <w:trHeight w:val="1535"/>
          <w:jc w:val="center"/>
        </w:trPr>
        <w:tc>
          <w:tcPr>
            <w:tcW w:w="372" w:type="dxa"/>
            <w:vAlign w:val="center"/>
          </w:tcPr>
          <w:p w14:paraId="27B1943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11</w:t>
            </w:r>
          </w:p>
        </w:tc>
        <w:tc>
          <w:tcPr>
            <w:tcW w:w="1259" w:type="dxa"/>
            <w:gridSpan w:val="2"/>
            <w:shd w:val="clear" w:color="auto" w:fill="auto"/>
            <w:vAlign w:val="center"/>
          </w:tcPr>
          <w:p w14:paraId="62905A9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Comisión Ejecutiva de Atención a Víctimas del Estado de Quintana Roo</w:t>
            </w:r>
          </w:p>
        </w:tc>
        <w:tc>
          <w:tcPr>
            <w:tcW w:w="1428" w:type="dxa"/>
            <w:gridSpan w:val="2"/>
            <w:shd w:val="clear" w:color="000000" w:fill="auto"/>
            <w:vAlign w:val="center"/>
          </w:tcPr>
          <w:p w14:paraId="56F07E24"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34,382,636.06</w:t>
            </w:r>
          </w:p>
        </w:tc>
        <w:tc>
          <w:tcPr>
            <w:tcW w:w="1428" w:type="dxa"/>
            <w:gridSpan w:val="2"/>
            <w:shd w:val="clear" w:color="000000" w:fill="auto"/>
            <w:vAlign w:val="center"/>
          </w:tcPr>
          <w:p w14:paraId="63240DC2"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27,759,660.26</w:t>
            </w:r>
          </w:p>
        </w:tc>
        <w:tc>
          <w:tcPr>
            <w:tcW w:w="920" w:type="dxa"/>
            <w:gridSpan w:val="2"/>
            <w:shd w:val="clear" w:color="auto" w:fill="auto"/>
            <w:vAlign w:val="center"/>
          </w:tcPr>
          <w:p w14:paraId="7930ADC8"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80.74</w:t>
            </w:r>
          </w:p>
        </w:tc>
        <w:tc>
          <w:tcPr>
            <w:tcW w:w="3421" w:type="dxa"/>
            <w:shd w:val="clear" w:color="auto" w:fill="auto"/>
            <w:vAlign w:val="center"/>
          </w:tcPr>
          <w:p w14:paraId="5B87B77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Altas y bajas del personal que ocasionaron diferencias en las diversas prestaciones; ajuste de precio de los materiales adquiridos; La CEAVEQROO tiene a su cargo el Fideicomiso Público Numero 10266 Denominado Fondo de Ayuda, Asistencia y Reparación a Víctimas, mismo que no se ha ejercido en su totalidad debido a que se encuentran en proceso de validación las actas y dictámenes pertinentes para el correcto manejo y transparencia del mismo. </w:t>
            </w:r>
          </w:p>
        </w:tc>
      </w:tr>
      <w:tr w:rsidR="00712618" w:rsidRPr="00712618" w14:paraId="7277CB53" w14:textId="77777777" w:rsidTr="00CC276C">
        <w:trPr>
          <w:trHeight w:val="314"/>
          <w:jc w:val="center"/>
        </w:trPr>
        <w:tc>
          <w:tcPr>
            <w:tcW w:w="372" w:type="dxa"/>
            <w:vAlign w:val="center"/>
          </w:tcPr>
          <w:p w14:paraId="37BD04F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12</w:t>
            </w:r>
          </w:p>
        </w:tc>
        <w:tc>
          <w:tcPr>
            <w:tcW w:w="1259" w:type="dxa"/>
            <w:gridSpan w:val="2"/>
            <w:shd w:val="clear" w:color="auto" w:fill="auto"/>
            <w:vAlign w:val="center"/>
          </w:tcPr>
          <w:p w14:paraId="6974576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Comisión para la Juventud y el Deporte de Quintana Roo </w:t>
            </w:r>
          </w:p>
        </w:tc>
        <w:tc>
          <w:tcPr>
            <w:tcW w:w="1428" w:type="dxa"/>
            <w:gridSpan w:val="2"/>
            <w:shd w:val="clear" w:color="000000" w:fill="auto"/>
            <w:vAlign w:val="center"/>
          </w:tcPr>
          <w:p w14:paraId="2F4A611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421,002,389.37</w:t>
            </w:r>
          </w:p>
        </w:tc>
        <w:tc>
          <w:tcPr>
            <w:tcW w:w="1428" w:type="dxa"/>
            <w:gridSpan w:val="2"/>
            <w:shd w:val="clear" w:color="000000" w:fill="auto"/>
            <w:vAlign w:val="center"/>
          </w:tcPr>
          <w:p w14:paraId="537B7231"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251,359,711.18</w:t>
            </w:r>
          </w:p>
        </w:tc>
        <w:tc>
          <w:tcPr>
            <w:tcW w:w="920" w:type="dxa"/>
            <w:gridSpan w:val="2"/>
            <w:shd w:val="clear" w:color="auto" w:fill="auto"/>
            <w:vAlign w:val="center"/>
          </w:tcPr>
          <w:p w14:paraId="41D89C8A"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59.71</w:t>
            </w:r>
          </w:p>
        </w:tc>
        <w:tc>
          <w:tcPr>
            <w:tcW w:w="3421" w:type="dxa"/>
            <w:shd w:val="clear" w:color="auto" w:fill="auto"/>
            <w:vAlign w:val="center"/>
          </w:tcPr>
          <w:p w14:paraId="2DFA32B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Recursos no devengados debido principalmente a movimientos relacionados con la plantilla del personal; plazas vacantes congeladas de manera temporal; la ministración de recursos por parte de la SEFIPLAN sigue fluyendo en función a su liquidez, por tal motivo no es posible devengar al 100% los recursos programados; presupuesto no devengado relacionado con las ayudas y subsidios, específicamente en el concepto de becas del recurso estatal, ayudas sociales a personas y apoyos a los equipos profesionales que están pendientes de ministrarse; se encuentra pendiente la programación de la adquisición de activos. </w:t>
            </w:r>
          </w:p>
        </w:tc>
      </w:tr>
      <w:tr w:rsidR="00712618" w:rsidRPr="00712618" w14:paraId="18927109" w14:textId="77777777" w:rsidTr="00CC276C">
        <w:trPr>
          <w:trHeight w:val="690"/>
          <w:jc w:val="center"/>
        </w:trPr>
        <w:tc>
          <w:tcPr>
            <w:tcW w:w="372" w:type="dxa"/>
            <w:vAlign w:val="center"/>
          </w:tcPr>
          <w:p w14:paraId="78C0283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13</w:t>
            </w:r>
          </w:p>
        </w:tc>
        <w:tc>
          <w:tcPr>
            <w:tcW w:w="1259" w:type="dxa"/>
            <w:gridSpan w:val="2"/>
            <w:shd w:val="clear" w:color="auto" w:fill="auto"/>
            <w:vAlign w:val="center"/>
          </w:tcPr>
          <w:p w14:paraId="7ED4740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Consejo de Promoción Turística de Quintana Roo</w:t>
            </w:r>
          </w:p>
        </w:tc>
        <w:tc>
          <w:tcPr>
            <w:tcW w:w="1428" w:type="dxa"/>
            <w:gridSpan w:val="2"/>
            <w:shd w:val="clear" w:color="000000" w:fill="auto"/>
            <w:vAlign w:val="center"/>
          </w:tcPr>
          <w:p w14:paraId="37739EC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703,982,323.00</w:t>
            </w:r>
          </w:p>
        </w:tc>
        <w:tc>
          <w:tcPr>
            <w:tcW w:w="1428" w:type="dxa"/>
            <w:gridSpan w:val="2"/>
            <w:shd w:val="clear" w:color="000000" w:fill="auto"/>
            <w:vAlign w:val="center"/>
          </w:tcPr>
          <w:p w14:paraId="699F5D0F"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499,262,893.27</w:t>
            </w:r>
          </w:p>
        </w:tc>
        <w:tc>
          <w:tcPr>
            <w:tcW w:w="920" w:type="dxa"/>
            <w:gridSpan w:val="2"/>
            <w:shd w:val="clear" w:color="auto" w:fill="auto"/>
            <w:vAlign w:val="center"/>
          </w:tcPr>
          <w:p w14:paraId="21C1F2B3"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70.92</w:t>
            </w:r>
          </w:p>
        </w:tc>
        <w:tc>
          <w:tcPr>
            <w:tcW w:w="3421" w:type="dxa"/>
            <w:shd w:val="clear" w:color="auto" w:fill="auto"/>
            <w:vAlign w:val="center"/>
          </w:tcPr>
          <w:p w14:paraId="2888863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Economías registradas por las vacantes de 7 plazas, una con nivel 300 de director; otras 3 de nivel 700 analista profesional, y 3 de nivel 1000; el recurso por parte del gobierno no fluye conformo a lo calendarizado y lo registrado en el presupuesto; el proceso de transición gubernamental implicó que algunos de los contratos de servicios por las campañas promocionales</w:t>
            </w:r>
            <w:r w:rsidR="001376C7">
              <w:rPr>
                <w:rFonts w:ascii="Arial" w:hAnsi="Arial" w:cs="Arial"/>
                <w:color w:val="000000"/>
                <w:sz w:val="14"/>
                <w:szCs w:val="14"/>
              </w:rPr>
              <w:t xml:space="preserve"> </w:t>
            </w:r>
            <w:r w:rsidRPr="00712618">
              <w:rPr>
                <w:rFonts w:ascii="Arial" w:hAnsi="Arial" w:cs="Arial"/>
                <w:color w:val="000000"/>
                <w:sz w:val="14"/>
                <w:szCs w:val="14"/>
              </w:rPr>
              <w:t>se devengaron, pero no se pagaron.</w:t>
            </w:r>
          </w:p>
        </w:tc>
      </w:tr>
      <w:tr w:rsidR="00712618" w:rsidRPr="00712618" w14:paraId="5FDBAEEC" w14:textId="77777777" w:rsidTr="00CC276C">
        <w:trPr>
          <w:trHeight w:val="690"/>
          <w:jc w:val="center"/>
        </w:trPr>
        <w:tc>
          <w:tcPr>
            <w:tcW w:w="372" w:type="dxa"/>
            <w:vAlign w:val="center"/>
          </w:tcPr>
          <w:p w14:paraId="4507137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14</w:t>
            </w:r>
          </w:p>
        </w:tc>
        <w:tc>
          <w:tcPr>
            <w:tcW w:w="1259" w:type="dxa"/>
            <w:gridSpan w:val="2"/>
            <w:shd w:val="clear" w:color="auto" w:fill="auto"/>
            <w:vAlign w:val="center"/>
          </w:tcPr>
          <w:p w14:paraId="3B8210E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Consejo Quintanarroense de Ciencia y Tecnología </w:t>
            </w:r>
          </w:p>
        </w:tc>
        <w:tc>
          <w:tcPr>
            <w:tcW w:w="1428" w:type="dxa"/>
            <w:gridSpan w:val="2"/>
            <w:shd w:val="clear" w:color="000000" w:fill="auto"/>
            <w:vAlign w:val="center"/>
          </w:tcPr>
          <w:p w14:paraId="07D0080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52,532,688.42</w:t>
            </w:r>
          </w:p>
        </w:tc>
        <w:tc>
          <w:tcPr>
            <w:tcW w:w="1428" w:type="dxa"/>
            <w:gridSpan w:val="2"/>
            <w:shd w:val="clear" w:color="000000" w:fill="auto"/>
            <w:vAlign w:val="center"/>
          </w:tcPr>
          <w:p w14:paraId="52D0A34C"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46,427,685.18</w:t>
            </w:r>
          </w:p>
        </w:tc>
        <w:tc>
          <w:tcPr>
            <w:tcW w:w="920" w:type="dxa"/>
            <w:gridSpan w:val="2"/>
            <w:shd w:val="clear" w:color="auto" w:fill="auto"/>
            <w:vAlign w:val="center"/>
          </w:tcPr>
          <w:p w14:paraId="291581A3"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88.38</w:t>
            </w:r>
          </w:p>
        </w:tc>
        <w:tc>
          <w:tcPr>
            <w:tcW w:w="3421" w:type="dxa"/>
            <w:shd w:val="clear" w:color="auto" w:fill="auto"/>
            <w:vAlign w:val="center"/>
          </w:tcPr>
          <w:p w14:paraId="391B1AB0"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Plazas vacantes; programas no han concluidos; se devenga de menos debido al ahorro presupuestal en los programas.</w:t>
            </w:r>
          </w:p>
        </w:tc>
      </w:tr>
      <w:tr w:rsidR="00712618" w:rsidRPr="00712618" w14:paraId="1AA2ACE9" w14:textId="77777777" w:rsidTr="00CC276C">
        <w:trPr>
          <w:trHeight w:val="690"/>
          <w:jc w:val="center"/>
        </w:trPr>
        <w:tc>
          <w:tcPr>
            <w:tcW w:w="372" w:type="dxa"/>
            <w:vAlign w:val="center"/>
          </w:tcPr>
          <w:p w14:paraId="09D27D8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15</w:t>
            </w:r>
          </w:p>
        </w:tc>
        <w:tc>
          <w:tcPr>
            <w:tcW w:w="1259" w:type="dxa"/>
            <w:gridSpan w:val="2"/>
            <w:shd w:val="clear" w:color="auto" w:fill="auto"/>
            <w:vAlign w:val="center"/>
          </w:tcPr>
          <w:p w14:paraId="6B26B68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Fundación de Parques y Museos de Cozumel</w:t>
            </w:r>
          </w:p>
        </w:tc>
        <w:tc>
          <w:tcPr>
            <w:tcW w:w="1428" w:type="dxa"/>
            <w:gridSpan w:val="2"/>
            <w:shd w:val="clear" w:color="000000" w:fill="auto"/>
            <w:vAlign w:val="center"/>
          </w:tcPr>
          <w:p w14:paraId="47353701"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80,910,418.23</w:t>
            </w:r>
          </w:p>
        </w:tc>
        <w:tc>
          <w:tcPr>
            <w:tcW w:w="1428" w:type="dxa"/>
            <w:gridSpan w:val="2"/>
            <w:shd w:val="clear" w:color="000000" w:fill="auto"/>
            <w:vAlign w:val="center"/>
          </w:tcPr>
          <w:p w14:paraId="5F8BF2CF"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71,938,837.05</w:t>
            </w:r>
          </w:p>
        </w:tc>
        <w:tc>
          <w:tcPr>
            <w:tcW w:w="920" w:type="dxa"/>
            <w:gridSpan w:val="2"/>
            <w:shd w:val="clear" w:color="auto" w:fill="auto"/>
            <w:vAlign w:val="center"/>
          </w:tcPr>
          <w:p w14:paraId="16EEDA0D"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88.91</w:t>
            </w:r>
          </w:p>
        </w:tc>
        <w:tc>
          <w:tcPr>
            <w:tcW w:w="3421" w:type="dxa"/>
            <w:shd w:val="clear" w:color="auto" w:fill="auto"/>
            <w:vAlign w:val="center"/>
          </w:tcPr>
          <w:p w14:paraId="642FD8F2"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Por el cambio de administración hubo ajustes en la plantilla de las cuales varias de ellas no se ocuparon de manera inmediata y existían plazas acéfalos que tampoco se ocuparon; se monitorea las condiciones de las instalaciones de los parques, del agua de los balnearios, medios de comunicación, etc.;</w:t>
            </w:r>
            <w:r w:rsidRPr="00712618">
              <w:rPr>
                <w:rFonts w:ascii="Arial" w:hAnsi="Arial" w:cs="Arial"/>
                <w:b/>
                <w:color w:val="000000"/>
                <w:sz w:val="14"/>
                <w:szCs w:val="14"/>
              </w:rPr>
              <w:t xml:space="preserve"> </w:t>
            </w:r>
            <w:r w:rsidRPr="00712618">
              <w:rPr>
                <w:rFonts w:ascii="Arial" w:hAnsi="Arial" w:cs="Arial"/>
                <w:color w:val="000000"/>
                <w:sz w:val="14"/>
                <w:szCs w:val="14"/>
              </w:rPr>
              <w:t>el remanente que quedan</w:t>
            </w:r>
            <w:r w:rsidR="001376C7">
              <w:rPr>
                <w:rFonts w:ascii="Arial" w:hAnsi="Arial" w:cs="Arial"/>
                <w:color w:val="000000"/>
                <w:sz w:val="14"/>
                <w:szCs w:val="14"/>
              </w:rPr>
              <w:t xml:space="preserve"> </w:t>
            </w:r>
            <w:r w:rsidRPr="00712618">
              <w:rPr>
                <w:rFonts w:ascii="Arial" w:hAnsi="Arial" w:cs="Arial"/>
                <w:color w:val="000000"/>
                <w:sz w:val="14"/>
                <w:szCs w:val="14"/>
              </w:rPr>
              <w:t>es debido a</w:t>
            </w:r>
            <w:r w:rsidR="001376C7">
              <w:rPr>
                <w:rFonts w:ascii="Arial" w:hAnsi="Arial" w:cs="Arial"/>
                <w:color w:val="000000"/>
                <w:sz w:val="14"/>
                <w:szCs w:val="14"/>
              </w:rPr>
              <w:t xml:space="preserve"> </w:t>
            </w:r>
            <w:r w:rsidRPr="00712618">
              <w:rPr>
                <w:rFonts w:ascii="Arial" w:hAnsi="Arial" w:cs="Arial"/>
                <w:color w:val="000000"/>
                <w:sz w:val="14"/>
                <w:szCs w:val="14"/>
              </w:rPr>
              <w:t>los procesos y formas que se tienen que cuidar apegados a derecho que se prefiere dejarlos como remanente a ejercerlo de manera incorrecta.</w:t>
            </w:r>
          </w:p>
        </w:tc>
      </w:tr>
      <w:tr w:rsidR="00712618" w:rsidRPr="00712618" w14:paraId="262D4D2A" w14:textId="77777777" w:rsidTr="00CC276C">
        <w:trPr>
          <w:trHeight w:val="690"/>
          <w:jc w:val="center"/>
        </w:trPr>
        <w:tc>
          <w:tcPr>
            <w:tcW w:w="372" w:type="dxa"/>
            <w:vAlign w:val="center"/>
          </w:tcPr>
          <w:p w14:paraId="6DD016D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16</w:t>
            </w:r>
          </w:p>
        </w:tc>
        <w:tc>
          <w:tcPr>
            <w:tcW w:w="1259" w:type="dxa"/>
            <w:gridSpan w:val="2"/>
            <w:shd w:val="clear" w:color="auto" w:fill="auto"/>
            <w:vAlign w:val="center"/>
          </w:tcPr>
          <w:p w14:paraId="63086E9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de Capacitación para el Trabajo del Estado de Quintana Roo</w:t>
            </w:r>
          </w:p>
        </w:tc>
        <w:tc>
          <w:tcPr>
            <w:tcW w:w="1428" w:type="dxa"/>
            <w:gridSpan w:val="2"/>
            <w:shd w:val="clear" w:color="000000" w:fill="auto"/>
            <w:vAlign w:val="center"/>
          </w:tcPr>
          <w:p w14:paraId="5588BF2C"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106,983,482.00</w:t>
            </w:r>
          </w:p>
        </w:tc>
        <w:tc>
          <w:tcPr>
            <w:tcW w:w="1428" w:type="dxa"/>
            <w:gridSpan w:val="2"/>
            <w:shd w:val="clear" w:color="000000" w:fill="auto"/>
            <w:vAlign w:val="center"/>
          </w:tcPr>
          <w:p w14:paraId="7A1AED06"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111,679,599.91</w:t>
            </w:r>
          </w:p>
        </w:tc>
        <w:tc>
          <w:tcPr>
            <w:tcW w:w="920" w:type="dxa"/>
            <w:gridSpan w:val="2"/>
            <w:shd w:val="clear" w:color="auto" w:fill="auto"/>
            <w:vAlign w:val="center"/>
          </w:tcPr>
          <w:p w14:paraId="7603EA8D"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104.39</w:t>
            </w:r>
          </w:p>
        </w:tc>
        <w:tc>
          <w:tcPr>
            <w:tcW w:w="3421" w:type="dxa"/>
            <w:shd w:val="clear" w:color="auto" w:fill="auto"/>
            <w:vAlign w:val="center"/>
          </w:tcPr>
          <w:p w14:paraId="0F4A084E"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Reducción por ajuste anexo de Ejecución y ampliación por incremento salarial; remanente 2015, el cual no se ejerció.</w:t>
            </w:r>
          </w:p>
        </w:tc>
      </w:tr>
      <w:tr w:rsidR="00712618" w:rsidRPr="00712618" w14:paraId="636D27F9" w14:textId="77777777" w:rsidTr="00CC276C">
        <w:trPr>
          <w:trHeight w:val="690"/>
          <w:jc w:val="center"/>
        </w:trPr>
        <w:tc>
          <w:tcPr>
            <w:tcW w:w="372" w:type="dxa"/>
            <w:vAlign w:val="center"/>
          </w:tcPr>
          <w:p w14:paraId="32F5F9E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17</w:t>
            </w:r>
          </w:p>
        </w:tc>
        <w:tc>
          <w:tcPr>
            <w:tcW w:w="1259" w:type="dxa"/>
            <w:gridSpan w:val="2"/>
            <w:shd w:val="clear" w:color="auto" w:fill="auto"/>
            <w:vAlign w:val="center"/>
          </w:tcPr>
          <w:p w14:paraId="2181153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Instituto de Infraestructura Física Educativa del Estado de Quintana Roo </w:t>
            </w:r>
          </w:p>
        </w:tc>
        <w:tc>
          <w:tcPr>
            <w:tcW w:w="1428" w:type="dxa"/>
            <w:gridSpan w:val="2"/>
            <w:shd w:val="clear" w:color="000000" w:fill="auto"/>
            <w:vAlign w:val="center"/>
          </w:tcPr>
          <w:p w14:paraId="7017DA4F"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657,908,239.34</w:t>
            </w:r>
          </w:p>
        </w:tc>
        <w:tc>
          <w:tcPr>
            <w:tcW w:w="1428" w:type="dxa"/>
            <w:gridSpan w:val="2"/>
            <w:shd w:val="clear" w:color="000000" w:fill="auto"/>
            <w:vAlign w:val="center"/>
          </w:tcPr>
          <w:p w14:paraId="5E1F082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594,775,386.27</w:t>
            </w:r>
          </w:p>
        </w:tc>
        <w:tc>
          <w:tcPr>
            <w:tcW w:w="920" w:type="dxa"/>
            <w:gridSpan w:val="2"/>
            <w:shd w:val="clear" w:color="auto" w:fill="auto"/>
            <w:vAlign w:val="center"/>
          </w:tcPr>
          <w:p w14:paraId="678898F5"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90.40</w:t>
            </w:r>
          </w:p>
        </w:tc>
        <w:tc>
          <w:tcPr>
            <w:tcW w:w="3421" w:type="dxa"/>
            <w:shd w:val="clear" w:color="auto" w:fill="auto"/>
            <w:vAlign w:val="center"/>
          </w:tcPr>
          <w:p w14:paraId="7E60D235"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Plazas que temporalmente no han sido ocupadas por medidas de austeridad implementada por la SEFIPLAN; medidas de austeridad implementada por la SEFIPLAN y forma parte del ahorro presupuestal.</w:t>
            </w:r>
          </w:p>
        </w:tc>
      </w:tr>
      <w:tr w:rsidR="00712618" w:rsidRPr="00712618" w14:paraId="7B29F7E3" w14:textId="77777777" w:rsidTr="00CC276C">
        <w:trPr>
          <w:trHeight w:val="690"/>
          <w:jc w:val="center"/>
        </w:trPr>
        <w:tc>
          <w:tcPr>
            <w:tcW w:w="372" w:type="dxa"/>
            <w:vAlign w:val="center"/>
          </w:tcPr>
          <w:p w14:paraId="6DA36AD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18</w:t>
            </w:r>
          </w:p>
        </w:tc>
        <w:tc>
          <w:tcPr>
            <w:tcW w:w="1259" w:type="dxa"/>
            <w:gridSpan w:val="2"/>
            <w:shd w:val="clear" w:color="auto" w:fill="auto"/>
            <w:vAlign w:val="center"/>
          </w:tcPr>
          <w:p w14:paraId="3147F10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Instituto de la Cultura y las Artes de Quintana Roo </w:t>
            </w:r>
          </w:p>
        </w:tc>
        <w:tc>
          <w:tcPr>
            <w:tcW w:w="1428" w:type="dxa"/>
            <w:gridSpan w:val="2"/>
            <w:shd w:val="clear" w:color="000000" w:fill="auto"/>
            <w:vAlign w:val="center"/>
          </w:tcPr>
          <w:p w14:paraId="2FF6C23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66,418,924.00</w:t>
            </w:r>
          </w:p>
        </w:tc>
        <w:tc>
          <w:tcPr>
            <w:tcW w:w="1428" w:type="dxa"/>
            <w:gridSpan w:val="2"/>
            <w:shd w:val="clear" w:color="000000" w:fill="auto"/>
            <w:vAlign w:val="center"/>
          </w:tcPr>
          <w:p w14:paraId="2885403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147,628,696.49</w:t>
            </w:r>
          </w:p>
        </w:tc>
        <w:tc>
          <w:tcPr>
            <w:tcW w:w="920" w:type="dxa"/>
            <w:gridSpan w:val="2"/>
            <w:shd w:val="clear" w:color="auto" w:fill="auto"/>
            <w:vAlign w:val="center"/>
          </w:tcPr>
          <w:p w14:paraId="1AFDA3CD"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222.27</w:t>
            </w:r>
          </w:p>
        </w:tc>
        <w:tc>
          <w:tcPr>
            <w:tcW w:w="3421" w:type="dxa"/>
            <w:shd w:val="clear" w:color="auto" w:fill="auto"/>
            <w:vAlign w:val="center"/>
          </w:tcPr>
          <w:p w14:paraId="0F81A1D4"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registra un menor devengado derivado de las plazas vacantes que están consideradas dentro del presupuesto aprobado, de igual forma se realizó una adecuación presupuestal; ampliación de ingresos propios que no fueron recaudados por lo tanto no se devengó el gasto.</w:t>
            </w:r>
          </w:p>
        </w:tc>
      </w:tr>
      <w:tr w:rsidR="00712618" w:rsidRPr="00712618" w14:paraId="4D83B63E" w14:textId="77777777" w:rsidTr="00CC276C">
        <w:trPr>
          <w:trHeight w:val="690"/>
          <w:jc w:val="center"/>
        </w:trPr>
        <w:tc>
          <w:tcPr>
            <w:tcW w:w="372" w:type="dxa"/>
            <w:vAlign w:val="center"/>
          </w:tcPr>
          <w:p w14:paraId="1417B04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19</w:t>
            </w:r>
          </w:p>
        </w:tc>
        <w:tc>
          <w:tcPr>
            <w:tcW w:w="1259" w:type="dxa"/>
            <w:gridSpan w:val="2"/>
            <w:shd w:val="clear" w:color="auto" w:fill="auto"/>
            <w:vAlign w:val="center"/>
          </w:tcPr>
          <w:p w14:paraId="6BD38F7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de Movilidad del Estado de</w:t>
            </w:r>
            <w:r w:rsidR="001376C7">
              <w:rPr>
                <w:rFonts w:ascii="Arial" w:hAnsi="Arial" w:cs="Arial"/>
                <w:sz w:val="14"/>
                <w:szCs w:val="14"/>
              </w:rPr>
              <w:t xml:space="preserve"> </w:t>
            </w:r>
            <w:r w:rsidRPr="00712618">
              <w:rPr>
                <w:rFonts w:ascii="Arial" w:hAnsi="Arial" w:cs="Arial"/>
                <w:sz w:val="14"/>
                <w:szCs w:val="14"/>
              </w:rPr>
              <w:t xml:space="preserve">Quintana Roo </w:t>
            </w:r>
          </w:p>
        </w:tc>
        <w:tc>
          <w:tcPr>
            <w:tcW w:w="1428" w:type="dxa"/>
            <w:gridSpan w:val="2"/>
            <w:shd w:val="clear" w:color="000000" w:fill="auto"/>
            <w:vAlign w:val="center"/>
          </w:tcPr>
          <w:p w14:paraId="2E333D4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75,704,436.44</w:t>
            </w:r>
          </w:p>
        </w:tc>
        <w:tc>
          <w:tcPr>
            <w:tcW w:w="1428" w:type="dxa"/>
            <w:gridSpan w:val="2"/>
            <w:shd w:val="clear" w:color="000000" w:fill="auto"/>
            <w:vAlign w:val="center"/>
          </w:tcPr>
          <w:p w14:paraId="7EC32C4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64,612,833.88</w:t>
            </w:r>
          </w:p>
        </w:tc>
        <w:tc>
          <w:tcPr>
            <w:tcW w:w="920" w:type="dxa"/>
            <w:gridSpan w:val="2"/>
            <w:shd w:val="clear" w:color="auto" w:fill="auto"/>
            <w:vAlign w:val="center"/>
          </w:tcPr>
          <w:p w14:paraId="20877FCF"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85.35</w:t>
            </w:r>
          </w:p>
        </w:tc>
        <w:tc>
          <w:tcPr>
            <w:tcW w:w="3421" w:type="dxa"/>
            <w:shd w:val="clear" w:color="auto" w:fill="auto"/>
            <w:vAlign w:val="center"/>
          </w:tcPr>
          <w:p w14:paraId="093EE92A"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No se contaba con los ingresos suficientes para realizar el pago de nómina; no se aplicaron los estímulos adicionales como se estimó; no se contó con la solvencia financiera para realizar compromisos dado que la SEFIPLAN; el instituto, se limita a realizar pagos de servicios indispensables mediante adjudicación directa; a consecuencia del cambio de administración del titular del instituto; se encuentra suspendido hasta regularizar los procedimientos de contratación,</w:t>
            </w:r>
            <w:r w:rsidR="001376C7">
              <w:rPr>
                <w:rFonts w:ascii="Arial" w:hAnsi="Arial" w:cs="Arial"/>
                <w:color w:val="000000"/>
                <w:sz w:val="14"/>
                <w:szCs w:val="14"/>
              </w:rPr>
              <w:t xml:space="preserve"> </w:t>
            </w:r>
            <w:r w:rsidRPr="00712618">
              <w:rPr>
                <w:rFonts w:ascii="Arial" w:hAnsi="Arial" w:cs="Arial"/>
                <w:color w:val="000000"/>
                <w:sz w:val="14"/>
                <w:szCs w:val="14"/>
              </w:rPr>
              <w:t>concluyendo que el importe no se encuentra devengado quedando en la espera de nuevas instrucciones de los interesados.</w:t>
            </w:r>
          </w:p>
        </w:tc>
      </w:tr>
      <w:tr w:rsidR="00712618" w:rsidRPr="00712618" w14:paraId="3B6377D6" w14:textId="77777777" w:rsidTr="00CC276C">
        <w:trPr>
          <w:trHeight w:val="552"/>
          <w:jc w:val="center"/>
        </w:trPr>
        <w:tc>
          <w:tcPr>
            <w:tcW w:w="372" w:type="dxa"/>
            <w:vAlign w:val="center"/>
          </w:tcPr>
          <w:p w14:paraId="50F33506"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20</w:t>
            </w:r>
          </w:p>
        </w:tc>
        <w:tc>
          <w:tcPr>
            <w:tcW w:w="1259" w:type="dxa"/>
            <w:gridSpan w:val="2"/>
            <w:shd w:val="clear" w:color="auto" w:fill="auto"/>
            <w:vAlign w:val="center"/>
          </w:tcPr>
          <w:p w14:paraId="1D46127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Estatal para la Educación de Jóvenes y Adultos</w:t>
            </w:r>
          </w:p>
        </w:tc>
        <w:tc>
          <w:tcPr>
            <w:tcW w:w="1428" w:type="dxa"/>
            <w:gridSpan w:val="2"/>
            <w:shd w:val="clear" w:color="000000" w:fill="auto"/>
            <w:vAlign w:val="center"/>
          </w:tcPr>
          <w:p w14:paraId="243FB05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82,420,265.68</w:t>
            </w:r>
          </w:p>
        </w:tc>
        <w:tc>
          <w:tcPr>
            <w:tcW w:w="1428" w:type="dxa"/>
            <w:gridSpan w:val="2"/>
            <w:shd w:val="clear" w:color="000000" w:fill="auto"/>
            <w:vAlign w:val="center"/>
          </w:tcPr>
          <w:p w14:paraId="3A5D6B53"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81,563,212.96</w:t>
            </w:r>
          </w:p>
        </w:tc>
        <w:tc>
          <w:tcPr>
            <w:tcW w:w="920" w:type="dxa"/>
            <w:gridSpan w:val="2"/>
            <w:shd w:val="clear" w:color="auto" w:fill="auto"/>
            <w:vAlign w:val="center"/>
          </w:tcPr>
          <w:p w14:paraId="2CEB27F2"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98.96</w:t>
            </w:r>
          </w:p>
        </w:tc>
        <w:tc>
          <w:tcPr>
            <w:tcW w:w="3421" w:type="dxa"/>
            <w:shd w:val="clear" w:color="auto" w:fill="auto"/>
            <w:vAlign w:val="center"/>
          </w:tcPr>
          <w:p w14:paraId="54682BC1"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A pesar de existir un menor devengo, se cumplió con los pagos de obligación a proveedores, al igual que se cumplió con el pago del programa anual de adquisiciones o licitaciones; la variación existente en el presupuesto modificado es derivado de una recalendarización de recursos.</w:t>
            </w:r>
          </w:p>
        </w:tc>
      </w:tr>
      <w:tr w:rsidR="00712618" w:rsidRPr="00712618" w14:paraId="609A219D" w14:textId="77777777" w:rsidTr="00CC276C">
        <w:trPr>
          <w:trHeight w:val="690"/>
          <w:jc w:val="center"/>
        </w:trPr>
        <w:tc>
          <w:tcPr>
            <w:tcW w:w="372" w:type="dxa"/>
            <w:vAlign w:val="center"/>
          </w:tcPr>
          <w:p w14:paraId="71F915B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21</w:t>
            </w:r>
          </w:p>
        </w:tc>
        <w:tc>
          <w:tcPr>
            <w:tcW w:w="1259" w:type="dxa"/>
            <w:gridSpan w:val="2"/>
            <w:shd w:val="clear" w:color="auto" w:fill="auto"/>
            <w:vAlign w:val="center"/>
          </w:tcPr>
          <w:p w14:paraId="7BC330E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para el Desarrollo del Pueblo Maya y las Comunidades Indígenas del Estado de Quintana Roo</w:t>
            </w:r>
          </w:p>
        </w:tc>
        <w:tc>
          <w:tcPr>
            <w:tcW w:w="1428" w:type="dxa"/>
            <w:gridSpan w:val="2"/>
            <w:shd w:val="clear" w:color="000000" w:fill="auto"/>
            <w:vAlign w:val="center"/>
          </w:tcPr>
          <w:p w14:paraId="0A37C78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29,103,689.00</w:t>
            </w:r>
          </w:p>
        </w:tc>
        <w:tc>
          <w:tcPr>
            <w:tcW w:w="1428" w:type="dxa"/>
            <w:gridSpan w:val="2"/>
            <w:shd w:val="clear" w:color="000000" w:fill="auto"/>
            <w:vAlign w:val="center"/>
          </w:tcPr>
          <w:p w14:paraId="18EEC6D6"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24,249,459.87</w:t>
            </w:r>
          </w:p>
        </w:tc>
        <w:tc>
          <w:tcPr>
            <w:tcW w:w="920" w:type="dxa"/>
            <w:gridSpan w:val="2"/>
            <w:shd w:val="clear" w:color="auto" w:fill="auto"/>
            <w:vAlign w:val="center"/>
          </w:tcPr>
          <w:p w14:paraId="1B4EC115"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83.32</w:t>
            </w:r>
          </w:p>
        </w:tc>
        <w:tc>
          <w:tcPr>
            <w:tcW w:w="3421" w:type="dxa"/>
            <w:shd w:val="clear" w:color="auto" w:fill="auto"/>
            <w:vAlign w:val="center"/>
          </w:tcPr>
          <w:p w14:paraId="37520517"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El importe no devengado corresponde a plazas que no han sido cubiertas debido a la falta de autorización por parte de la SEFIPLAN; montos no tramitados por falta de autorización de la SEFIPLAN; no se recibieron solicitudes para la entrega de ayudas sociales</w:t>
            </w:r>
            <w:r w:rsidR="001376C7">
              <w:rPr>
                <w:rFonts w:ascii="Arial" w:hAnsi="Arial" w:cs="Arial"/>
                <w:color w:val="000000"/>
                <w:sz w:val="14"/>
                <w:szCs w:val="14"/>
              </w:rPr>
              <w:t xml:space="preserve"> </w:t>
            </w:r>
            <w:r w:rsidRPr="00712618">
              <w:rPr>
                <w:rFonts w:ascii="Arial" w:hAnsi="Arial" w:cs="Arial"/>
                <w:color w:val="000000"/>
                <w:sz w:val="14"/>
                <w:szCs w:val="14"/>
              </w:rPr>
              <w:t>para ejercer el gasto.</w:t>
            </w:r>
          </w:p>
        </w:tc>
      </w:tr>
      <w:tr w:rsidR="00712618" w:rsidRPr="00712618" w14:paraId="3D36BAD7" w14:textId="77777777" w:rsidTr="00CC276C">
        <w:trPr>
          <w:trHeight w:val="335"/>
          <w:jc w:val="center"/>
        </w:trPr>
        <w:tc>
          <w:tcPr>
            <w:tcW w:w="372" w:type="dxa"/>
            <w:vAlign w:val="center"/>
          </w:tcPr>
          <w:p w14:paraId="1408713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22</w:t>
            </w:r>
          </w:p>
        </w:tc>
        <w:tc>
          <w:tcPr>
            <w:tcW w:w="1259" w:type="dxa"/>
            <w:gridSpan w:val="2"/>
            <w:shd w:val="clear" w:color="auto" w:fill="auto"/>
            <w:vAlign w:val="center"/>
          </w:tcPr>
          <w:p w14:paraId="22EBCAA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para el Desarrollo y Financiamiento del Estado de Quintana Roo</w:t>
            </w:r>
          </w:p>
        </w:tc>
        <w:tc>
          <w:tcPr>
            <w:tcW w:w="1428" w:type="dxa"/>
            <w:gridSpan w:val="2"/>
            <w:shd w:val="clear" w:color="000000" w:fill="auto"/>
            <w:vAlign w:val="center"/>
          </w:tcPr>
          <w:p w14:paraId="4ACB598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23,653,399.00</w:t>
            </w:r>
          </w:p>
        </w:tc>
        <w:tc>
          <w:tcPr>
            <w:tcW w:w="1428" w:type="dxa"/>
            <w:gridSpan w:val="2"/>
            <w:shd w:val="clear" w:color="000000" w:fill="auto"/>
            <w:vAlign w:val="center"/>
          </w:tcPr>
          <w:p w14:paraId="7636E54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24,281,226.00</w:t>
            </w:r>
          </w:p>
        </w:tc>
        <w:tc>
          <w:tcPr>
            <w:tcW w:w="920" w:type="dxa"/>
            <w:gridSpan w:val="2"/>
            <w:shd w:val="clear" w:color="auto" w:fill="auto"/>
            <w:vAlign w:val="center"/>
          </w:tcPr>
          <w:p w14:paraId="33071FC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102.65</w:t>
            </w:r>
          </w:p>
        </w:tc>
        <w:tc>
          <w:tcPr>
            <w:tcW w:w="3421" w:type="dxa"/>
            <w:shd w:val="clear" w:color="auto" w:fill="auto"/>
            <w:vAlign w:val="center"/>
          </w:tcPr>
          <w:p w14:paraId="335ACB51"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Altas y bajas del personal en el primer, segundo y tercer trimestre de 2022.”; se adquirió combustible y papelería, necesaria para las entregas recepción que darán lugar al término y entrada de administración, y por lo cual cada una de las unidades administrativas requiere; el Instituto no ha recibido en sus cuentas bancarias la totalidad de la solicitudes de ministración hechas; los intereses de la deuda pública se calcula en base a la Tasa de Interés Interbancaria de Equilibrio (TIIE) y dicha tasa resulta variable mes a mes.</w:t>
            </w:r>
          </w:p>
        </w:tc>
      </w:tr>
      <w:tr w:rsidR="00712618" w:rsidRPr="00712618" w14:paraId="449E742F" w14:textId="77777777" w:rsidTr="00CC276C">
        <w:trPr>
          <w:trHeight w:val="690"/>
          <w:jc w:val="center"/>
        </w:trPr>
        <w:tc>
          <w:tcPr>
            <w:tcW w:w="372" w:type="dxa"/>
            <w:vAlign w:val="center"/>
          </w:tcPr>
          <w:p w14:paraId="77AAB0D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23</w:t>
            </w:r>
          </w:p>
        </w:tc>
        <w:tc>
          <w:tcPr>
            <w:tcW w:w="1259" w:type="dxa"/>
            <w:gridSpan w:val="2"/>
            <w:shd w:val="clear" w:color="auto" w:fill="auto"/>
            <w:vAlign w:val="center"/>
          </w:tcPr>
          <w:p w14:paraId="6A4EB65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Quintanarroense de la Juventud del Estado de Quintana Roo</w:t>
            </w:r>
          </w:p>
        </w:tc>
        <w:tc>
          <w:tcPr>
            <w:tcW w:w="1428" w:type="dxa"/>
            <w:gridSpan w:val="2"/>
            <w:shd w:val="clear" w:color="000000" w:fill="auto"/>
            <w:vAlign w:val="center"/>
          </w:tcPr>
          <w:p w14:paraId="68B6153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29,008,063.65</w:t>
            </w:r>
          </w:p>
        </w:tc>
        <w:tc>
          <w:tcPr>
            <w:tcW w:w="1428" w:type="dxa"/>
            <w:gridSpan w:val="2"/>
            <w:shd w:val="clear" w:color="000000" w:fill="auto"/>
            <w:vAlign w:val="center"/>
          </w:tcPr>
          <w:p w14:paraId="2C5921F2"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28,197,179.51</w:t>
            </w:r>
          </w:p>
        </w:tc>
        <w:tc>
          <w:tcPr>
            <w:tcW w:w="920" w:type="dxa"/>
            <w:gridSpan w:val="2"/>
            <w:shd w:val="clear" w:color="auto" w:fill="auto"/>
            <w:vAlign w:val="center"/>
          </w:tcPr>
          <w:p w14:paraId="72780C8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97.20</w:t>
            </w:r>
          </w:p>
        </w:tc>
        <w:tc>
          <w:tcPr>
            <w:tcW w:w="3421" w:type="dxa"/>
            <w:shd w:val="clear" w:color="auto" w:fill="auto"/>
            <w:vAlign w:val="center"/>
          </w:tcPr>
          <w:p w14:paraId="0285085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Cambios en las platillas del personal por las altas y bajas de los mismos, así como de los porcentajes aprobados en los conceptos de percepciones y deducciones que surten modificaciones; se realizaron menos compras y adquisiciones de suministros considerados como no básicos quedando estos como pendientes de solicitar; pago de apoyos y becas que se quedaron pendientes de otorgar como retroactivos de los meses de Enero a Diciembre; se pagó un porcentaje menor de becas derivado a la salida de algunos beneficiarios durante el programa correspondiente del ejercicio 2022.</w:t>
            </w:r>
          </w:p>
        </w:tc>
      </w:tr>
      <w:tr w:rsidR="00712618" w:rsidRPr="00712618" w14:paraId="4BA39326" w14:textId="77777777" w:rsidTr="00CC276C">
        <w:trPr>
          <w:trHeight w:val="1080"/>
          <w:jc w:val="center"/>
        </w:trPr>
        <w:tc>
          <w:tcPr>
            <w:tcW w:w="372" w:type="dxa"/>
            <w:vAlign w:val="center"/>
          </w:tcPr>
          <w:p w14:paraId="0DDC02D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24</w:t>
            </w:r>
          </w:p>
        </w:tc>
        <w:tc>
          <w:tcPr>
            <w:tcW w:w="1259" w:type="dxa"/>
            <w:gridSpan w:val="2"/>
            <w:shd w:val="clear" w:color="auto" w:fill="auto"/>
            <w:vAlign w:val="center"/>
          </w:tcPr>
          <w:p w14:paraId="4C660C2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Instituto Quintanarroense de la Mujer </w:t>
            </w:r>
          </w:p>
        </w:tc>
        <w:tc>
          <w:tcPr>
            <w:tcW w:w="1428" w:type="dxa"/>
            <w:gridSpan w:val="2"/>
            <w:shd w:val="clear" w:color="000000" w:fill="auto"/>
            <w:vAlign w:val="center"/>
          </w:tcPr>
          <w:p w14:paraId="01ED45C2"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66,832,593.36</w:t>
            </w:r>
          </w:p>
        </w:tc>
        <w:tc>
          <w:tcPr>
            <w:tcW w:w="1428" w:type="dxa"/>
            <w:gridSpan w:val="2"/>
            <w:shd w:val="clear" w:color="000000" w:fill="auto"/>
            <w:vAlign w:val="center"/>
          </w:tcPr>
          <w:p w14:paraId="0699D42F"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66,665,761.80</w:t>
            </w:r>
          </w:p>
        </w:tc>
        <w:tc>
          <w:tcPr>
            <w:tcW w:w="920" w:type="dxa"/>
            <w:gridSpan w:val="2"/>
            <w:shd w:val="clear" w:color="auto" w:fill="auto"/>
            <w:vAlign w:val="center"/>
          </w:tcPr>
          <w:p w14:paraId="566DC519"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99.75</w:t>
            </w:r>
          </w:p>
        </w:tc>
        <w:tc>
          <w:tcPr>
            <w:tcW w:w="3421" w:type="dxa"/>
            <w:shd w:val="clear" w:color="auto" w:fill="auto"/>
            <w:vAlign w:val="center"/>
          </w:tcPr>
          <w:p w14:paraId="4C2F3F7E"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No se devengó las plazas vacantes del ejercicio 2022.</w:t>
            </w:r>
          </w:p>
        </w:tc>
      </w:tr>
      <w:tr w:rsidR="00712618" w:rsidRPr="00712618" w14:paraId="23704A0D" w14:textId="77777777" w:rsidTr="00CC276C">
        <w:trPr>
          <w:trHeight w:val="690"/>
          <w:jc w:val="center"/>
        </w:trPr>
        <w:tc>
          <w:tcPr>
            <w:tcW w:w="372" w:type="dxa"/>
            <w:vAlign w:val="center"/>
          </w:tcPr>
          <w:p w14:paraId="5D50F27E"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25</w:t>
            </w:r>
          </w:p>
        </w:tc>
        <w:tc>
          <w:tcPr>
            <w:tcW w:w="1259" w:type="dxa"/>
            <w:gridSpan w:val="2"/>
            <w:shd w:val="clear" w:color="auto" w:fill="auto"/>
            <w:vAlign w:val="center"/>
          </w:tcPr>
          <w:p w14:paraId="0573B5E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Instituto Tecnológico Superior de Felipe Carrillo Puerto</w:t>
            </w:r>
          </w:p>
        </w:tc>
        <w:tc>
          <w:tcPr>
            <w:tcW w:w="1428" w:type="dxa"/>
            <w:gridSpan w:val="2"/>
            <w:shd w:val="clear" w:color="000000" w:fill="auto"/>
            <w:vAlign w:val="center"/>
          </w:tcPr>
          <w:p w14:paraId="43150DA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83,205,004.63</w:t>
            </w:r>
          </w:p>
        </w:tc>
        <w:tc>
          <w:tcPr>
            <w:tcW w:w="1428" w:type="dxa"/>
            <w:gridSpan w:val="2"/>
            <w:shd w:val="clear" w:color="000000" w:fill="auto"/>
            <w:vAlign w:val="center"/>
          </w:tcPr>
          <w:p w14:paraId="19B9406C"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80,032,360.27</w:t>
            </w:r>
          </w:p>
        </w:tc>
        <w:tc>
          <w:tcPr>
            <w:tcW w:w="920" w:type="dxa"/>
            <w:gridSpan w:val="2"/>
            <w:shd w:val="clear" w:color="auto" w:fill="auto"/>
            <w:vAlign w:val="center"/>
          </w:tcPr>
          <w:p w14:paraId="72E91BAA"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96.19</w:t>
            </w:r>
          </w:p>
        </w:tc>
        <w:tc>
          <w:tcPr>
            <w:tcW w:w="3421" w:type="dxa"/>
            <w:shd w:val="clear" w:color="auto" w:fill="auto"/>
            <w:vAlign w:val="center"/>
          </w:tcPr>
          <w:p w14:paraId="73D73DF1"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Plazas de docentes autorizadas no ocupadas; existencia de personal contratado por tiempo determinado no sujeto a todas las percepciones, así como la culminación de dichos contratos. Adicionalmente, existe una plaza de base la cual se encuentra en licencia sin goce de sueldo; no se ejecutaron Recursos destinados principalmente a la adquisición de alimentación de personas, útiles y equipos menores de tecnologías de la información y comunicación, material de limpieza, productos químicos, uniformes y prendas de seguridad dado que la recaudación de los servicios que presta este Instituto se vio mermada por los diversos descuentos autorizados que existen en beneficio del alumnado; la diferencia no devengada corresponde principalmente a energía eléctrica por economías dado el receso escolar, servicios integrales y Servicios de Auditoria de matrícula y financiera que no han sido ejecutadas</w:t>
            </w:r>
            <w:r w:rsidRPr="00712618">
              <w:rPr>
                <w:rFonts w:ascii="Arial" w:hAnsi="Arial" w:cs="Arial"/>
                <w:b/>
                <w:bCs/>
                <w:color w:val="000000"/>
                <w:sz w:val="14"/>
                <w:szCs w:val="14"/>
              </w:rPr>
              <w:t>.</w:t>
            </w:r>
          </w:p>
        </w:tc>
      </w:tr>
      <w:tr w:rsidR="00712618" w:rsidRPr="00712618" w14:paraId="13420303" w14:textId="77777777" w:rsidTr="00CC276C">
        <w:trPr>
          <w:trHeight w:val="690"/>
          <w:jc w:val="center"/>
        </w:trPr>
        <w:tc>
          <w:tcPr>
            <w:tcW w:w="372" w:type="dxa"/>
            <w:vAlign w:val="center"/>
          </w:tcPr>
          <w:p w14:paraId="25D5A62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26</w:t>
            </w:r>
          </w:p>
        </w:tc>
        <w:tc>
          <w:tcPr>
            <w:tcW w:w="1259" w:type="dxa"/>
            <w:gridSpan w:val="2"/>
            <w:shd w:val="clear" w:color="auto" w:fill="auto"/>
            <w:vAlign w:val="center"/>
          </w:tcPr>
          <w:p w14:paraId="1054AA79"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Secretaría Ejecutiva del Sistema Anticorrupción del Estado</w:t>
            </w:r>
            <w:r w:rsidR="001376C7">
              <w:rPr>
                <w:rFonts w:ascii="Arial" w:hAnsi="Arial" w:cs="Arial"/>
                <w:sz w:val="14"/>
                <w:szCs w:val="14"/>
              </w:rPr>
              <w:t xml:space="preserve"> </w:t>
            </w:r>
            <w:r w:rsidRPr="00712618">
              <w:rPr>
                <w:rFonts w:ascii="Arial" w:hAnsi="Arial" w:cs="Arial"/>
                <w:sz w:val="14"/>
                <w:szCs w:val="14"/>
              </w:rPr>
              <w:t>de Quintana Roo</w:t>
            </w:r>
          </w:p>
        </w:tc>
        <w:tc>
          <w:tcPr>
            <w:tcW w:w="1428" w:type="dxa"/>
            <w:gridSpan w:val="2"/>
            <w:shd w:val="clear" w:color="000000" w:fill="auto"/>
            <w:vAlign w:val="center"/>
          </w:tcPr>
          <w:p w14:paraId="1B1C982F"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20,046,919.00</w:t>
            </w:r>
          </w:p>
        </w:tc>
        <w:tc>
          <w:tcPr>
            <w:tcW w:w="1428" w:type="dxa"/>
            <w:gridSpan w:val="2"/>
            <w:shd w:val="clear" w:color="000000" w:fill="auto"/>
            <w:vAlign w:val="center"/>
          </w:tcPr>
          <w:p w14:paraId="33070DB4"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19,840,007.43</w:t>
            </w:r>
          </w:p>
        </w:tc>
        <w:tc>
          <w:tcPr>
            <w:tcW w:w="920" w:type="dxa"/>
            <w:gridSpan w:val="2"/>
            <w:shd w:val="clear" w:color="auto" w:fill="auto"/>
            <w:vAlign w:val="center"/>
          </w:tcPr>
          <w:p w14:paraId="30A588EF"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98.97</w:t>
            </w:r>
          </w:p>
        </w:tc>
        <w:tc>
          <w:tcPr>
            <w:tcW w:w="3421" w:type="dxa"/>
            <w:shd w:val="clear" w:color="auto" w:fill="auto"/>
            <w:vAlign w:val="center"/>
          </w:tcPr>
          <w:p w14:paraId="59830ACB"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En el sistema del ISSSTE hay un tope para el calculó y entero de las cuotas por lo que se va quedando un saldo en esas cuentas; el ahorro solidario para los trabajadores no fue solicitado por parte de todos los trabajadores; gastos programados presupuestalmente desde el mes de enero que no se llevaron a cabo debido a que no se tenía la disponibilidad financiera, las ministraciones fueron recibidas en una fecha que imposibilitó ejercer los recursos en apego a la normatividad aplicable.</w:t>
            </w:r>
          </w:p>
        </w:tc>
      </w:tr>
      <w:tr w:rsidR="00712618" w:rsidRPr="00712618" w14:paraId="6CD150F8" w14:textId="77777777" w:rsidTr="00CC276C">
        <w:trPr>
          <w:trHeight w:val="690"/>
          <w:jc w:val="center"/>
        </w:trPr>
        <w:tc>
          <w:tcPr>
            <w:tcW w:w="372" w:type="dxa"/>
            <w:vAlign w:val="center"/>
          </w:tcPr>
          <w:p w14:paraId="667A47D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27</w:t>
            </w:r>
          </w:p>
        </w:tc>
        <w:tc>
          <w:tcPr>
            <w:tcW w:w="1259" w:type="dxa"/>
            <w:gridSpan w:val="2"/>
            <w:shd w:val="clear" w:color="auto" w:fill="auto"/>
            <w:vAlign w:val="center"/>
          </w:tcPr>
          <w:p w14:paraId="7C2283A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Secretariado Ejecutivo del Sistema Estatal de Seguridad Pública</w:t>
            </w:r>
          </w:p>
        </w:tc>
        <w:tc>
          <w:tcPr>
            <w:tcW w:w="1428" w:type="dxa"/>
            <w:gridSpan w:val="2"/>
            <w:shd w:val="clear" w:color="000000" w:fill="auto"/>
            <w:vAlign w:val="center"/>
          </w:tcPr>
          <w:p w14:paraId="53209BBE"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54,347,061.24</w:t>
            </w:r>
          </w:p>
        </w:tc>
        <w:tc>
          <w:tcPr>
            <w:tcW w:w="1428" w:type="dxa"/>
            <w:gridSpan w:val="2"/>
            <w:shd w:val="clear" w:color="000000" w:fill="auto"/>
            <w:vAlign w:val="center"/>
          </w:tcPr>
          <w:p w14:paraId="2503A35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53,285,373.06</w:t>
            </w:r>
          </w:p>
        </w:tc>
        <w:tc>
          <w:tcPr>
            <w:tcW w:w="920" w:type="dxa"/>
            <w:gridSpan w:val="2"/>
            <w:shd w:val="clear" w:color="auto" w:fill="auto"/>
            <w:vAlign w:val="center"/>
          </w:tcPr>
          <w:p w14:paraId="179EEA60"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98.05</w:t>
            </w:r>
          </w:p>
        </w:tc>
        <w:tc>
          <w:tcPr>
            <w:tcW w:w="3421" w:type="dxa"/>
            <w:shd w:val="clear" w:color="auto" w:fill="auto"/>
            <w:vAlign w:val="center"/>
          </w:tcPr>
          <w:p w14:paraId="46921235"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 variación es debido a las recalendarizaciones solicitadas y autorizadas ante la SEFIPLAN y de acuerdo a la formalización de procedimientos derivados del Programa Anual de Adquisiciones; la variación entre el presupuesto modificado con el devengado de la inversión pública se debe al costo de la obra realizada”.</w:t>
            </w:r>
          </w:p>
        </w:tc>
      </w:tr>
      <w:tr w:rsidR="00712618" w:rsidRPr="00712618" w14:paraId="6C66AC82" w14:textId="77777777" w:rsidTr="00CC276C">
        <w:trPr>
          <w:trHeight w:val="690"/>
          <w:jc w:val="center"/>
        </w:trPr>
        <w:tc>
          <w:tcPr>
            <w:tcW w:w="372" w:type="dxa"/>
            <w:vAlign w:val="center"/>
          </w:tcPr>
          <w:p w14:paraId="351C328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28</w:t>
            </w:r>
          </w:p>
        </w:tc>
        <w:tc>
          <w:tcPr>
            <w:tcW w:w="1259" w:type="dxa"/>
            <w:gridSpan w:val="2"/>
            <w:shd w:val="clear" w:color="auto" w:fill="auto"/>
            <w:vAlign w:val="center"/>
          </w:tcPr>
          <w:p w14:paraId="15CA54C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Servicios Educativos de Quintana Roo</w:t>
            </w:r>
          </w:p>
        </w:tc>
        <w:tc>
          <w:tcPr>
            <w:tcW w:w="1428" w:type="dxa"/>
            <w:gridSpan w:val="2"/>
            <w:shd w:val="clear" w:color="000000" w:fill="auto"/>
            <w:vAlign w:val="center"/>
          </w:tcPr>
          <w:p w14:paraId="0E2449C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7,297,721,429.09</w:t>
            </w:r>
          </w:p>
        </w:tc>
        <w:tc>
          <w:tcPr>
            <w:tcW w:w="1428" w:type="dxa"/>
            <w:gridSpan w:val="2"/>
            <w:shd w:val="clear" w:color="000000" w:fill="auto"/>
            <w:vAlign w:val="center"/>
          </w:tcPr>
          <w:p w14:paraId="212F93E4"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7,260,505,199.40</w:t>
            </w:r>
          </w:p>
        </w:tc>
        <w:tc>
          <w:tcPr>
            <w:tcW w:w="920" w:type="dxa"/>
            <w:gridSpan w:val="2"/>
            <w:shd w:val="clear" w:color="auto" w:fill="auto"/>
            <w:vAlign w:val="center"/>
          </w:tcPr>
          <w:p w14:paraId="39494C93"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99.49</w:t>
            </w:r>
          </w:p>
        </w:tc>
        <w:tc>
          <w:tcPr>
            <w:tcW w:w="3421" w:type="dxa"/>
            <w:shd w:val="clear" w:color="auto" w:fill="auto"/>
            <w:vAlign w:val="center"/>
          </w:tcPr>
          <w:p w14:paraId="4C0B6676"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 variación obedece al registro de la Nómina de FONE pagada por la TESOFE a cuenta y orden del Estado; SEFIPLAN no ha ministrado los recursos autorizados; recursos no ejercidos del Programa Fortalecimiento a la Excelencia Educativa 2021.</w:t>
            </w:r>
          </w:p>
        </w:tc>
      </w:tr>
      <w:tr w:rsidR="00712618" w:rsidRPr="00712618" w14:paraId="599438C8" w14:textId="77777777" w:rsidTr="00CC276C">
        <w:trPr>
          <w:trHeight w:val="289"/>
          <w:jc w:val="center"/>
        </w:trPr>
        <w:tc>
          <w:tcPr>
            <w:tcW w:w="372" w:type="dxa"/>
            <w:vAlign w:val="center"/>
          </w:tcPr>
          <w:p w14:paraId="39F4E9C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29</w:t>
            </w:r>
          </w:p>
        </w:tc>
        <w:tc>
          <w:tcPr>
            <w:tcW w:w="1259" w:type="dxa"/>
            <w:gridSpan w:val="2"/>
            <w:shd w:val="clear" w:color="auto" w:fill="auto"/>
            <w:vAlign w:val="center"/>
          </w:tcPr>
          <w:p w14:paraId="03B9E04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Servicios Estatales de Salud</w:t>
            </w:r>
          </w:p>
        </w:tc>
        <w:tc>
          <w:tcPr>
            <w:tcW w:w="1428" w:type="dxa"/>
            <w:gridSpan w:val="2"/>
            <w:shd w:val="clear" w:color="000000" w:fill="auto"/>
            <w:vAlign w:val="center"/>
          </w:tcPr>
          <w:p w14:paraId="0CDCA004"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7,026,855,320.09</w:t>
            </w:r>
          </w:p>
        </w:tc>
        <w:tc>
          <w:tcPr>
            <w:tcW w:w="1428" w:type="dxa"/>
            <w:gridSpan w:val="2"/>
            <w:shd w:val="clear" w:color="000000" w:fill="auto"/>
            <w:vAlign w:val="center"/>
          </w:tcPr>
          <w:p w14:paraId="06F365B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5,592,404,843.93</w:t>
            </w:r>
          </w:p>
        </w:tc>
        <w:tc>
          <w:tcPr>
            <w:tcW w:w="920" w:type="dxa"/>
            <w:gridSpan w:val="2"/>
            <w:shd w:val="clear" w:color="auto" w:fill="auto"/>
            <w:vAlign w:val="center"/>
          </w:tcPr>
          <w:p w14:paraId="4292C48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79.59</w:t>
            </w:r>
          </w:p>
        </w:tc>
        <w:tc>
          <w:tcPr>
            <w:tcW w:w="3421" w:type="dxa"/>
            <w:shd w:val="clear" w:color="auto" w:fill="auto"/>
            <w:vAlign w:val="center"/>
          </w:tcPr>
          <w:p w14:paraId="138B143E" w14:textId="77777777" w:rsidR="00712618" w:rsidRPr="00712618" w:rsidRDefault="00712618" w:rsidP="00712618">
            <w:pPr>
              <w:spacing w:before="120" w:after="120"/>
              <w:jc w:val="both"/>
              <w:rPr>
                <w:rFonts w:ascii="Arial" w:hAnsi="Arial" w:cs="Arial"/>
                <w:b/>
                <w:color w:val="000000"/>
                <w:sz w:val="14"/>
                <w:szCs w:val="14"/>
              </w:rPr>
            </w:pPr>
            <w:r w:rsidRPr="00712618">
              <w:rPr>
                <w:rFonts w:ascii="Arial" w:hAnsi="Arial" w:cs="Arial"/>
                <w:color w:val="000000"/>
                <w:sz w:val="14"/>
                <w:szCs w:val="14"/>
              </w:rPr>
              <w:t>La variación se deriva debido a que el modificado corresponde a reducciones que fueron realizadas al cierre del ejercicio, que a su vez la SEFIPLAN no ministro al 100%; las obras son efectuadas a través de convenios multianuales, por lo cual dependen del avance físico-financiero de las mismas en los siguientes ejercicios.</w:t>
            </w:r>
          </w:p>
        </w:tc>
      </w:tr>
      <w:tr w:rsidR="00712618" w:rsidRPr="00712618" w14:paraId="62F261BC" w14:textId="77777777" w:rsidTr="00CC276C">
        <w:trPr>
          <w:trHeight w:val="690"/>
          <w:jc w:val="center"/>
        </w:trPr>
        <w:tc>
          <w:tcPr>
            <w:tcW w:w="372" w:type="dxa"/>
            <w:vAlign w:val="center"/>
          </w:tcPr>
          <w:p w14:paraId="26533B9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30</w:t>
            </w:r>
          </w:p>
        </w:tc>
        <w:tc>
          <w:tcPr>
            <w:tcW w:w="1259" w:type="dxa"/>
            <w:gridSpan w:val="2"/>
            <w:shd w:val="clear" w:color="auto" w:fill="auto"/>
            <w:vAlign w:val="center"/>
          </w:tcPr>
          <w:p w14:paraId="62217E5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Sistema para el Desarrollo Integral de la Familia del Estado de Quintana Roo</w:t>
            </w:r>
          </w:p>
        </w:tc>
        <w:tc>
          <w:tcPr>
            <w:tcW w:w="1428" w:type="dxa"/>
            <w:gridSpan w:val="2"/>
            <w:shd w:val="clear" w:color="000000" w:fill="auto"/>
            <w:vAlign w:val="center"/>
          </w:tcPr>
          <w:p w14:paraId="39F7FCA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815,667,759.93</w:t>
            </w:r>
          </w:p>
        </w:tc>
        <w:tc>
          <w:tcPr>
            <w:tcW w:w="1428" w:type="dxa"/>
            <w:gridSpan w:val="2"/>
            <w:shd w:val="clear" w:color="000000" w:fill="auto"/>
            <w:vAlign w:val="center"/>
          </w:tcPr>
          <w:p w14:paraId="79A4B64F"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688,787,590.18</w:t>
            </w:r>
          </w:p>
        </w:tc>
        <w:tc>
          <w:tcPr>
            <w:tcW w:w="920" w:type="dxa"/>
            <w:gridSpan w:val="2"/>
            <w:shd w:val="clear" w:color="auto" w:fill="auto"/>
            <w:vAlign w:val="center"/>
          </w:tcPr>
          <w:p w14:paraId="3EF2E983"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84.44</w:t>
            </w:r>
          </w:p>
        </w:tc>
        <w:tc>
          <w:tcPr>
            <w:tcW w:w="3421" w:type="dxa"/>
            <w:shd w:val="clear" w:color="auto" w:fill="auto"/>
            <w:vAlign w:val="center"/>
          </w:tcPr>
          <w:p w14:paraId="07F5275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Existen variaciones debido a que se han llevado a cabo medidas de austeridad; SEFIPLAN no ministró los recursos al cien por ciento al 31 de diciembre del 2022; se han implementado medidas en coordinación con el programa de ahorro del sistema por lo que se han realizado</w:t>
            </w:r>
            <w:r w:rsidR="001376C7">
              <w:rPr>
                <w:rFonts w:ascii="Arial" w:hAnsi="Arial" w:cs="Arial"/>
                <w:color w:val="000000"/>
                <w:sz w:val="14"/>
                <w:szCs w:val="14"/>
              </w:rPr>
              <w:t xml:space="preserve"> </w:t>
            </w:r>
            <w:r w:rsidRPr="00712618">
              <w:rPr>
                <w:rFonts w:ascii="Arial" w:hAnsi="Arial" w:cs="Arial"/>
                <w:color w:val="000000"/>
                <w:sz w:val="14"/>
                <w:szCs w:val="14"/>
              </w:rPr>
              <w:t>gastos menores</w:t>
            </w:r>
            <w:r w:rsidR="001376C7">
              <w:rPr>
                <w:rFonts w:ascii="Arial" w:hAnsi="Arial" w:cs="Arial"/>
                <w:color w:val="000000"/>
                <w:sz w:val="14"/>
                <w:szCs w:val="14"/>
              </w:rPr>
              <w:t xml:space="preserve"> </w:t>
            </w:r>
            <w:r w:rsidRPr="00712618">
              <w:rPr>
                <w:rFonts w:ascii="Arial" w:hAnsi="Arial" w:cs="Arial"/>
                <w:color w:val="000000"/>
                <w:sz w:val="14"/>
                <w:szCs w:val="14"/>
              </w:rPr>
              <w:t>que los establecidos en el presupuesto autorizado.</w:t>
            </w:r>
          </w:p>
        </w:tc>
      </w:tr>
      <w:tr w:rsidR="00712618" w:rsidRPr="00712618" w14:paraId="1C318F02" w14:textId="77777777" w:rsidTr="00CC276C">
        <w:trPr>
          <w:trHeight w:val="690"/>
          <w:jc w:val="center"/>
        </w:trPr>
        <w:tc>
          <w:tcPr>
            <w:tcW w:w="372" w:type="dxa"/>
            <w:vAlign w:val="center"/>
          </w:tcPr>
          <w:p w14:paraId="079C473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31</w:t>
            </w:r>
          </w:p>
        </w:tc>
        <w:tc>
          <w:tcPr>
            <w:tcW w:w="1259" w:type="dxa"/>
            <w:gridSpan w:val="2"/>
            <w:shd w:val="clear" w:color="auto" w:fill="auto"/>
            <w:vAlign w:val="center"/>
          </w:tcPr>
          <w:p w14:paraId="1163A068"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Sistema Quintanarroense de Comunicación Social</w:t>
            </w:r>
          </w:p>
        </w:tc>
        <w:tc>
          <w:tcPr>
            <w:tcW w:w="1428" w:type="dxa"/>
            <w:gridSpan w:val="2"/>
            <w:shd w:val="clear" w:color="000000" w:fill="auto"/>
            <w:vAlign w:val="center"/>
          </w:tcPr>
          <w:p w14:paraId="360D7073"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116,284,787.00</w:t>
            </w:r>
          </w:p>
        </w:tc>
        <w:tc>
          <w:tcPr>
            <w:tcW w:w="1428" w:type="dxa"/>
            <w:gridSpan w:val="2"/>
            <w:shd w:val="clear" w:color="000000" w:fill="auto"/>
            <w:vAlign w:val="center"/>
          </w:tcPr>
          <w:p w14:paraId="3C9FCE3C"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105,239,406.70</w:t>
            </w:r>
          </w:p>
        </w:tc>
        <w:tc>
          <w:tcPr>
            <w:tcW w:w="920" w:type="dxa"/>
            <w:gridSpan w:val="2"/>
            <w:shd w:val="clear" w:color="auto" w:fill="auto"/>
            <w:vAlign w:val="center"/>
          </w:tcPr>
          <w:p w14:paraId="59B7A132"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90.50</w:t>
            </w:r>
          </w:p>
        </w:tc>
        <w:tc>
          <w:tcPr>
            <w:tcW w:w="3421" w:type="dxa"/>
            <w:shd w:val="clear" w:color="auto" w:fill="auto"/>
            <w:vAlign w:val="center"/>
          </w:tcPr>
          <w:p w14:paraId="74AFED5A"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han tenido economías en el capítulo 1000, derivado de 46 plazas vacantes; de base, confianza y honorarios y 1 plazas congeladas de base; importes que no se ha devengado corresponde a presupuesto pendiente de ministrar por parte de SEFIPLAN para Estudio de TV Cancún, en razón de la disponibilidad financiera del Gobierno del Estado de Quintana Roo.</w:t>
            </w:r>
          </w:p>
        </w:tc>
      </w:tr>
      <w:tr w:rsidR="00712618" w:rsidRPr="00712618" w14:paraId="41B8EE5F" w14:textId="77777777" w:rsidTr="00CC276C">
        <w:trPr>
          <w:trHeight w:val="690"/>
          <w:jc w:val="center"/>
        </w:trPr>
        <w:tc>
          <w:tcPr>
            <w:tcW w:w="372" w:type="dxa"/>
            <w:vAlign w:val="center"/>
          </w:tcPr>
          <w:p w14:paraId="3447F63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32</w:t>
            </w:r>
          </w:p>
        </w:tc>
        <w:tc>
          <w:tcPr>
            <w:tcW w:w="1259" w:type="dxa"/>
            <w:gridSpan w:val="2"/>
            <w:shd w:val="clear" w:color="auto" w:fill="auto"/>
            <w:vAlign w:val="center"/>
          </w:tcPr>
          <w:p w14:paraId="47BCDE64"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Universidad Autónoma de Quintana Roo</w:t>
            </w:r>
          </w:p>
        </w:tc>
        <w:tc>
          <w:tcPr>
            <w:tcW w:w="1428" w:type="dxa"/>
            <w:gridSpan w:val="2"/>
            <w:shd w:val="clear" w:color="000000" w:fill="auto"/>
            <w:vAlign w:val="center"/>
          </w:tcPr>
          <w:p w14:paraId="33AC7054"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589,506,361.98</w:t>
            </w:r>
          </w:p>
        </w:tc>
        <w:tc>
          <w:tcPr>
            <w:tcW w:w="1428" w:type="dxa"/>
            <w:gridSpan w:val="2"/>
            <w:shd w:val="clear" w:color="000000" w:fill="auto"/>
            <w:vAlign w:val="center"/>
          </w:tcPr>
          <w:p w14:paraId="795E23B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530,866,267.84</w:t>
            </w:r>
          </w:p>
        </w:tc>
        <w:tc>
          <w:tcPr>
            <w:tcW w:w="920" w:type="dxa"/>
            <w:gridSpan w:val="2"/>
            <w:shd w:val="clear" w:color="auto" w:fill="auto"/>
            <w:vAlign w:val="center"/>
          </w:tcPr>
          <w:p w14:paraId="2B8D6EEA"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90.05</w:t>
            </w:r>
          </w:p>
        </w:tc>
        <w:tc>
          <w:tcPr>
            <w:tcW w:w="3421" w:type="dxa"/>
            <w:shd w:val="clear" w:color="auto" w:fill="auto"/>
            <w:vAlign w:val="center"/>
          </w:tcPr>
          <w:p w14:paraId="6BE4C07A"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Se han realizado reducciones al presupuesto ordinario derivado del ajuste a la estimación de ingresos iniciales; el Gobierno del Estado no ha realizado aportaciones a la Universidad por lo que respecta al presupuesto ordinario en el rubro de gasto de operación; se han realizado reducciones al presupuesto ordinario derivado del ajuste a la estimación de ingresos iniciales por la condonación de cuotas de inscripción al estudiantado; se autorizó un proyecto específico para la gestión de adecuaciones en la infraestructura universitaria. </w:t>
            </w:r>
          </w:p>
        </w:tc>
      </w:tr>
      <w:tr w:rsidR="00712618" w:rsidRPr="00712618" w14:paraId="3FCBAB48" w14:textId="77777777" w:rsidTr="00CC276C">
        <w:trPr>
          <w:trHeight w:val="690"/>
          <w:jc w:val="center"/>
        </w:trPr>
        <w:tc>
          <w:tcPr>
            <w:tcW w:w="372" w:type="dxa"/>
            <w:vAlign w:val="center"/>
          </w:tcPr>
          <w:p w14:paraId="6E9D9BA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33</w:t>
            </w:r>
          </w:p>
        </w:tc>
        <w:tc>
          <w:tcPr>
            <w:tcW w:w="1259" w:type="dxa"/>
            <w:gridSpan w:val="2"/>
            <w:shd w:val="clear" w:color="auto" w:fill="auto"/>
            <w:vAlign w:val="center"/>
          </w:tcPr>
          <w:p w14:paraId="2F688FF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Universidad del Caribe </w:t>
            </w:r>
          </w:p>
        </w:tc>
        <w:tc>
          <w:tcPr>
            <w:tcW w:w="1428" w:type="dxa"/>
            <w:gridSpan w:val="2"/>
            <w:shd w:val="clear" w:color="000000" w:fill="auto"/>
            <w:vAlign w:val="center"/>
          </w:tcPr>
          <w:p w14:paraId="59689362"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165,446,658.85</w:t>
            </w:r>
          </w:p>
        </w:tc>
        <w:tc>
          <w:tcPr>
            <w:tcW w:w="1428" w:type="dxa"/>
            <w:gridSpan w:val="2"/>
            <w:shd w:val="clear" w:color="000000" w:fill="auto"/>
            <w:vAlign w:val="center"/>
          </w:tcPr>
          <w:p w14:paraId="1BEAF27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165,446,658.85</w:t>
            </w:r>
          </w:p>
        </w:tc>
        <w:tc>
          <w:tcPr>
            <w:tcW w:w="920" w:type="dxa"/>
            <w:gridSpan w:val="2"/>
            <w:shd w:val="clear" w:color="auto" w:fill="auto"/>
            <w:vAlign w:val="center"/>
          </w:tcPr>
          <w:p w14:paraId="1F648D3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100.00</w:t>
            </w:r>
          </w:p>
        </w:tc>
        <w:tc>
          <w:tcPr>
            <w:tcW w:w="3421" w:type="dxa"/>
            <w:shd w:val="clear" w:color="auto" w:fill="auto"/>
            <w:vAlign w:val="center"/>
          </w:tcPr>
          <w:p w14:paraId="6F8AEDA4"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realizaron adecuaciones presupuestales de la fuente de financiamiento de Apoyo Federal a Instituciones de Nivel Superior para complementar los recueros ejercidos en el capítulo 1000; ampliación presupuestal para el pago del periodo de junio a diciembre de los servicios personales de los trabajadores que están contratados por honorarios asimilados; creación de 3 plazas de Profesos Investigador Asociado “A”,</w:t>
            </w:r>
            <w:r w:rsidR="001376C7">
              <w:rPr>
                <w:rFonts w:ascii="Arial" w:hAnsi="Arial" w:cs="Arial"/>
                <w:color w:val="000000"/>
                <w:sz w:val="14"/>
                <w:szCs w:val="14"/>
              </w:rPr>
              <w:t xml:space="preserve"> </w:t>
            </w:r>
            <w:r w:rsidRPr="00712618">
              <w:rPr>
                <w:rFonts w:ascii="Arial" w:hAnsi="Arial" w:cs="Arial"/>
                <w:color w:val="000000"/>
                <w:sz w:val="14"/>
                <w:szCs w:val="14"/>
              </w:rPr>
              <w:t xml:space="preserve">el costo de horas de asignatura que apoyan la impartición de docencia en los programas educativos de licenciatura, posgrado, idiomas y de talleres deportivos culturales, atención de las necesidades institucionales del cuarto trimestre 2022; Se atendió las necesidades institucionales para el otorgamiento de becas al alumnado. </w:t>
            </w:r>
          </w:p>
        </w:tc>
      </w:tr>
      <w:tr w:rsidR="00712618" w:rsidRPr="00712618" w14:paraId="7D1E9FB4" w14:textId="77777777" w:rsidTr="00CC276C">
        <w:trPr>
          <w:trHeight w:val="690"/>
          <w:jc w:val="center"/>
        </w:trPr>
        <w:tc>
          <w:tcPr>
            <w:tcW w:w="372" w:type="dxa"/>
            <w:vAlign w:val="center"/>
          </w:tcPr>
          <w:p w14:paraId="0376C8FE"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34</w:t>
            </w:r>
          </w:p>
        </w:tc>
        <w:tc>
          <w:tcPr>
            <w:tcW w:w="1259" w:type="dxa"/>
            <w:gridSpan w:val="2"/>
            <w:shd w:val="clear" w:color="auto" w:fill="auto"/>
            <w:vAlign w:val="center"/>
          </w:tcPr>
          <w:p w14:paraId="7F0977F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Universidad Intercultural Maya de Quintana Roo </w:t>
            </w:r>
          </w:p>
        </w:tc>
        <w:tc>
          <w:tcPr>
            <w:tcW w:w="1428" w:type="dxa"/>
            <w:gridSpan w:val="2"/>
            <w:shd w:val="clear" w:color="000000" w:fill="auto"/>
            <w:vAlign w:val="center"/>
          </w:tcPr>
          <w:p w14:paraId="294C0158"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46,570,043.50</w:t>
            </w:r>
          </w:p>
        </w:tc>
        <w:tc>
          <w:tcPr>
            <w:tcW w:w="1428" w:type="dxa"/>
            <w:gridSpan w:val="2"/>
            <w:shd w:val="clear" w:color="000000" w:fill="auto"/>
            <w:vAlign w:val="center"/>
          </w:tcPr>
          <w:p w14:paraId="63DC52E0"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48,208,993.75</w:t>
            </w:r>
          </w:p>
        </w:tc>
        <w:tc>
          <w:tcPr>
            <w:tcW w:w="920" w:type="dxa"/>
            <w:gridSpan w:val="2"/>
            <w:shd w:val="clear" w:color="auto" w:fill="auto"/>
            <w:vAlign w:val="center"/>
          </w:tcPr>
          <w:p w14:paraId="1664474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103.52</w:t>
            </w:r>
          </w:p>
        </w:tc>
        <w:tc>
          <w:tcPr>
            <w:tcW w:w="3421" w:type="dxa"/>
            <w:shd w:val="clear" w:color="auto" w:fill="auto"/>
            <w:vAlign w:val="center"/>
          </w:tcPr>
          <w:p w14:paraId="200F117D"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El importe devengado trimestral es igual que el egreso modificado trimestral, esto debido a que se ocuparon recursos que ingresaron en el ejercicio 2021 del proyecto "caracterización de mieles.”</w:t>
            </w:r>
          </w:p>
        </w:tc>
      </w:tr>
      <w:tr w:rsidR="00712618" w:rsidRPr="00712618" w14:paraId="06DA23E8" w14:textId="77777777" w:rsidTr="00CC276C">
        <w:trPr>
          <w:trHeight w:val="289"/>
          <w:jc w:val="center"/>
        </w:trPr>
        <w:tc>
          <w:tcPr>
            <w:tcW w:w="372" w:type="dxa"/>
            <w:vAlign w:val="center"/>
          </w:tcPr>
          <w:p w14:paraId="1AE1BE8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35</w:t>
            </w:r>
          </w:p>
        </w:tc>
        <w:tc>
          <w:tcPr>
            <w:tcW w:w="1259" w:type="dxa"/>
            <w:gridSpan w:val="2"/>
            <w:shd w:val="clear" w:color="auto" w:fill="auto"/>
            <w:vAlign w:val="center"/>
          </w:tcPr>
          <w:p w14:paraId="6157A19A"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Universidad Politécnica de Bacalar</w:t>
            </w:r>
          </w:p>
        </w:tc>
        <w:tc>
          <w:tcPr>
            <w:tcW w:w="1428" w:type="dxa"/>
            <w:gridSpan w:val="2"/>
            <w:shd w:val="clear" w:color="000000" w:fill="auto"/>
            <w:vAlign w:val="center"/>
          </w:tcPr>
          <w:p w14:paraId="79DF793E"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29,126,388.00</w:t>
            </w:r>
          </w:p>
        </w:tc>
        <w:tc>
          <w:tcPr>
            <w:tcW w:w="1428" w:type="dxa"/>
            <w:gridSpan w:val="2"/>
            <w:shd w:val="clear" w:color="000000" w:fill="auto"/>
            <w:vAlign w:val="center"/>
          </w:tcPr>
          <w:p w14:paraId="0D3B39BC"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28,290,114.00</w:t>
            </w:r>
          </w:p>
        </w:tc>
        <w:tc>
          <w:tcPr>
            <w:tcW w:w="920" w:type="dxa"/>
            <w:gridSpan w:val="2"/>
            <w:shd w:val="clear" w:color="auto" w:fill="auto"/>
            <w:vAlign w:val="center"/>
          </w:tcPr>
          <w:p w14:paraId="34229EAA"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97.13</w:t>
            </w:r>
          </w:p>
        </w:tc>
        <w:tc>
          <w:tcPr>
            <w:tcW w:w="3421" w:type="dxa"/>
            <w:shd w:val="clear" w:color="auto" w:fill="auto"/>
            <w:vAlign w:val="center"/>
          </w:tcPr>
          <w:p w14:paraId="2F2DB088"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realizaron adecuaciones presupuestales derivadas de saldos presupuestales de capítulo 1000, 2022.</w:t>
            </w:r>
          </w:p>
        </w:tc>
      </w:tr>
      <w:tr w:rsidR="00712618" w:rsidRPr="00712618" w14:paraId="3E4ECF7B" w14:textId="77777777" w:rsidTr="00CC276C">
        <w:trPr>
          <w:trHeight w:val="690"/>
          <w:jc w:val="center"/>
        </w:trPr>
        <w:tc>
          <w:tcPr>
            <w:tcW w:w="372" w:type="dxa"/>
            <w:vAlign w:val="center"/>
          </w:tcPr>
          <w:p w14:paraId="79A02E3B"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36</w:t>
            </w:r>
          </w:p>
        </w:tc>
        <w:tc>
          <w:tcPr>
            <w:tcW w:w="1259" w:type="dxa"/>
            <w:gridSpan w:val="2"/>
            <w:shd w:val="clear" w:color="auto" w:fill="auto"/>
            <w:vAlign w:val="center"/>
          </w:tcPr>
          <w:p w14:paraId="111A7B0F"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Universidad Politécnica de Quintana Roo </w:t>
            </w:r>
          </w:p>
        </w:tc>
        <w:tc>
          <w:tcPr>
            <w:tcW w:w="1428" w:type="dxa"/>
            <w:gridSpan w:val="2"/>
            <w:shd w:val="clear" w:color="000000" w:fill="auto"/>
            <w:vAlign w:val="center"/>
          </w:tcPr>
          <w:p w14:paraId="3FEF980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50,884,882.00</w:t>
            </w:r>
          </w:p>
        </w:tc>
        <w:tc>
          <w:tcPr>
            <w:tcW w:w="1428" w:type="dxa"/>
            <w:gridSpan w:val="2"/>
            <w:shd w:val="clear" w:color="000000" w:fill="auto"/>
            <w:vAlign w:val="center"/>
          </w:tcPr>
          <w:p w14:paraId="65A863D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47,882,630.24</w:t>
            </w:r>
          </w:p>
        </w:tc>
        <w:tc>
          <w:tcPr>
            <w:tcW w:w="920" w:type="dxa"/>
            <w:gridSpan w:val="2"/>
            <w:shd w:val="clear" w:color="auto" w:fill="auto"/>
            <w:vAlign w:val="center"/>
          </w:tcPr>
          <w:p w14:paraId="080B0F6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94.10</w:t>
            </w:r>
          </w:p>
        </w:tc>
        <w:tc>
          <w:tcPr>
            <w:tcW w:w="3421" w:type="dxa"/>
            <w:shd w:val="clear" w:color="auto" w:fill="auto"/>
            <w:vAlign w:val="center"/>
          </w:tcPr>
          <w:p w14:paraId="2B5A3277"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Derivado de la operatividad de la Universidad no ha ejercido el total del recurso aprobado pues se tienen plazas sin personal a cargo; se</w:t>
            </w:r>
            <w:r w:rsidRPr="00712618">
              <w:rPr>
                <w:rFonts w:ascii="Arial" w:hAnsi="Arial" w:cs="Arial"/>
                <w:b/>
                <w:color w:val="000000"/>
                <w:sz w:val="14"/>
                <w:szCs w:val="14"/>
              </w:rPr>
              <w:t xml:space="preserve"> </w:t>
            </w:r>
            <w:r w:rsidRPr="00712618">
              <w:rPr>
                <w:rFonts w:ascii="Arial" w:hAnsi="Arial" w:cs="Arial"/>
                <w:color w:val="000000"/>
                <w:sz w:val="14"/>
                <w:szCs w:val="14"/>
              </w:rPr>
              <w:t>solicitó adecuación de la fuente de financiamiento Ingresos Propios reducción del capítulo 2000; el Estado ministro los recibos pendientes del 2022 con cambio de fuente de financiamiento a Préstamo a Corto plazo mismos que se reclasificaron para ser ejercidos en el capítulo 3000; la Universidad fue beneficiada y ejerció recursos federales con el programa U079</w:t>
            </w:r>
            <w:r w:rsidR="001376C7">
              <w:rPr>
                <w:rFonts w:ascii="Arial" w:hAnsi="Arial" w:cs="Arial"/>
                <w:color w:val="000000"/>
                <w:sz w:val="14"/>
                <w:szCs w:val="14"/>
              </w:rPr>
              <w:t xml:space="preserve"> </w:t>
            </w:r>
            <w:r w:rsidRPr="00712618">
              <w:rPr>
                <w:rFonts w:ascii="Arial" w:hAnsi="Arial" w:cs="Arial"/>
                <w:color w:val="000000"/>
                <w:sz w:val="14"/>
                <w:szCs w:val="14"/>
              </w:rPr>
              <w:t>Programa de expansión de la Educación Media Superior y Superior (Tipo Superior) 2022 para equipamiento de laboratorios y área Académica de la Universidad.</w:t>
            </w:r>
          </w:p>
        </w:tc>
      </w:tr>
      <w:tr w:rsidR="00712618" w:rsidRPr="00712618" w14:paraId="352EEB18" w14:textId="77777777" w:rsidTr="00CC276C">
        <w:trPr>
          <w:trHeight w:val="690"/>
          <w:jc w:val="center"/>
        </w:trPr>
        <w:tc>
          <w:tcPr>
            <w:tcW w:w="372" w:type="dxa"/>
            <w:vAlign w:val="center"/>
          </w:tcPr>
          <w:p w14:paraId="707A69C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37</w:t>
            </w:r>
          </w:p>
        </w:tc>
        <w:tc>
          <w:tcPr>
            <w:tcW w:w="1259" w:type="dxa"/>
            <w:gridSpan w:val="2"/>
            <w:shd w:val="clear" w:color="auto" w:fill="auto"/>
            <w:vAlign w:val="center"/>
          </w:tcPr>
          <w:p w14:paraId="2338540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 xml:space="preserve">Universidad Tecnológica de Cancún </w:t>
            </w:r>
          </w:p>
        </w:tc>
        <w:tc>
          <w:tcPr>
            <w:tcW w:w="1428" w:type="dxa"/>
            <w:gridSpan w:val="2"/>
            <w:shd w:val="clear" w:color="000000" w:fill="auto"/>
            <w:vAlign w:val="center"/>
          </w:tcPr>
          <w:p w14:paraId="42FB6F13"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151,302,525.90</w:t>
            </w:r>
          </w:p>
        </w:tc>
        <w:tc>
          <w:tcPr>
            <w:tcW w:w="1428" w:type="dxa"/>
            <w:gridSpan w:val="2"/>
            <w:shd w:val="clear" w:color="000000" w:fill="auto"/>
            <w:vAlign w:val="center"/>
          </w:tcPr>
          <w:p w14:paraId="42E0F508"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151,302,525.90</w:t>
            </w:r>
          </w:p>
        </w:tc>
        <w:tc>
          <w:tcPr>
            <w:tcW w:w="920" w:type="dxa"/>
            <w:gridSpan w:val="2"/>
            <w:shd w:val="clear" w:color="auto" w:fill="auto"/>
            <w:vAlign w:val="center"/>
          </w:tcPr>
          <w:p w14:paraId="4B251889"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100.00</w:t>
            </w:r>
          </w:p>
        </w:tc>
        <w:tc>
          <w:tcPr>
            <w:tcW w:w="3421" w:type="dxa"/>
            <w:shd w:val="clear" w:color="auto" w:fill="auto"/>
            <w:vAlign w:val="center"/>
          </w:tcPr>
          <w:p w14:paraId="692B176F"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No se cubrieron las vacantes de profesores de tiempo completo, y no se pagaron los retroactivos de los profesores de asignatura; el Estado realizó depósitos a finales del año, por lo cual ya no fue posible ejercer todo el recurso programado; no se pudieron mandar a todos los chicos de movilidad </w:t>
            </w:r>
            <w:r w:rsidRPr="00712618">
              <w:rPr>
                <w:rFonts w:ascii="Arial" w:hAnsi="Arial" w:cs="Arial"/>
                <w:color w:val="000000"/>
                <w:sz w:val="14"/>
                <w:szCs w:val="14"/>
              </w:rPr>
              <w:lastRenderedPageBreak/>
              <w:t>internacional como estaba contemplado porque no se abrió el programa de AMESTUR y QUBEC, y 2 estudiantes renunciaron a una beca complementaria para asistir a Bélgica; se declaró desierta la licitación del sitio web de internet porque no hubo proveedores ofertantes</w:t>
            </w:r>
            <w:r w:rsidR="001376C7">
              <w:rPr>
                <w:rFonts w:ascii="Arial" w:hAnsi="Arial" w:cs="Arial"/>
                <w:color w:val="000000"/>
                <w:sz w:val="14"/>
                <w:szCs w:val="14"/>
              </w:rPr>
              <w:t xml:space="preserve"> </w:t>
            </w:r>
            <w:r w:rsidRPr="00712618">
              <w:rPr>
                <w:rFonts w:ascii="Arial" w:hAnsi="Arial" w:cs="Arial"/>
                <w:color w:val="000000"/>
                <w:sz w:val="14"/>
                <w:szCs w:val="14"/>
              </w:rPr>
              <w:t>y tampoco se adquirieron</w:t>
            </w:r>
            <w:r w:rsidR="001376C7">
              <w:rPr>
                <w:rFonts w:ascii="Arial" w:hAnsi="Arial" w:cs="Arial"/>
                <w:color w:val="000000"/>
                <w:sz w:val="14"/>
                <w:szCs w:val="14"/>
              </w:rPr>
              <w:t xml:space="preserve"> </w:t>
            </w:r>
            <w:r w:rsidRPr="00712618">
              <w:rPr>
                <w:rFonts w:ascii="Arial" w:hAnsi="Arial" w:cs="Arial"/>
                <w:color w:val="000000"/>
                <w:sz w:val="14"/>
                <w:szCs w:val="14"/>
              </w:rPr>
              <w:t>unos servidores porque los montos que ofrecían los proveedores excedían a los presupuestados.</w:t>
            </w:r>
          </w:p>
        </w:tc>
      </w:tr>
      <w:tr w:rsidR="00712618" w:rsidRPr="00712618" w14:paraId="78777765" w14:textId="77777777" w:rsidTr="00CC276C">
        <w:trPr>
          <w:trHeight w:val="690"/>
          <w:jc w:val="center"/>
        </w:trPr>
        <w:tc>
          <w:tcPr>
            <w:tcW w:w="372" w:type="dxa"/>
            <w:vAlign w:val="center"/>
          </w:tcPr>
          <w:p w14:paraId="63FDD58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38</w:t>
            </w:r>
          </w:p>
        </w:tc>
        <w:tc>
          <w:tcPr>
            <w:tcW w:w="1259" w:type="dxa"/>
            <w:gridSpan w:val="2"/>
            <w:shd w:val="clear" w:color="auto" w:fill="auto"/>
            <w:vAlign w:val="center"/>
          </w:tcPr>
          <w:p w14:paraId="1BF585C5"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Universidad Tecnológica de Chetumal</w:t>
            </w:r>
          </w:p>
        </w:tc>
        <w:tc>
          <w:tcPr>
            <w:tcW w:w="1428" w:type="dxa"/>
            <w:gridSpan w:val="2"/>
            <w:shd w:val="clear" w:color="000000" w:fill="auto"/>
            <w:vAlign w:val="center"/>
          </w:tcPr>
          <w:p w14:paraId="3519955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35,189,989.00</w:t>
            </w:r>
          </w:p>
        </w:tc>
        <w:tc>
          <w:tcPr>
            <w:tcW w:w="1428" w:type="dxa"/>
            <w:gridSpan w:val="2"/>
            <w:shd w:val="clear" w:color="000000" w:fill="auto"/>
            <w:vAlign w:val="center"/>
          </w:tcPr>
          <w:p w14:paraId="3183A624"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26,522,945.13</w:t>
            </w:r>
          </w:p>
        </w:tc>
        <w:tc>
          <w:tcPr>
            <w:tcW w:w="920" w:type="dxa"/>
            <w:gridSpan w:val="2"/>
            <w:shd w:val="clear" w:color="auto" w:fill="auto"/>
            <w:vAlign w:val="center"/>
          </w:tcPr>
          <w:p w14:paraId="22898401"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75.37</w:t>
            </w:r>
          </w:p>
        </w:tc>
        <w:tc>
          <w:tcPr>
            <w:tcW w:w="3421" w:type="dxa"/>
            <w:shd w:val="clear" w:color="auto" w:fill="auto"/>
            <w:vAlign w:val="center"/>
          </w:tcPr>
          <w:p w14:paraId="1099D470"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En lo que respecta a servicios personales, es de acuerdo a la plantilla contratada, por tal motivo existe una variación; la recaudación no ha sido conforme a lo programado, por este motivo los egresos devengados se realizan conforme a las necesidades de la Universidad.</w:t>
            </w:r>
          </w:p>
        </w:tc>
      </w:tr>
      <w:tr w:rsidR="00712618" w:rsidRPr="00712618" w14:paraId="658CA17E" w14:textId="77777777" w:rsidTr="00CC276C">
        <w:trPr>
          <w:trHeight w:val="690"/>
          <w:jc w:val="center"/>
        </w:trPr>
        <w:tc>
          <w:tcPr>
            <w:tcW w:w="372" w:type="dxa"/>
            <w:vAlign w:val="center"/>
          </w:tcPr>
          <w:p w14:paraId="1A2C4C1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39</w:t>
            </w:r>
          </w:p>
        </w:tc>
        <w:tc>
          <w:tcPr>
            <w:tcW w:w="1259" w:type="dxa"/>
            <w:gridSpan w:val="2"/>
            <w:shd w:val="clear" w:color="auto" w:fill="auto"/>
            <w:vAlign w:val="center"/>
          </w:tcPr>
          <w:p w14:paraId="306ECAB8" w14:textId="77777777" w:rsidR="00712618" w:rsidRPr="00712618" w:rsidRDefault="00712618" w:rsidP="00712618">
            <w:pPr>
              <w:spacing w:before="120" w:after="120"/>
              <w:jc w:val="both"/>
              <w:rPr>
                <w:rFonts w:ascii="Arial" w:hAnsi="Arial" w:cs="Arial"/>
                <w:color w:val="FF0000"/>
                <w:sz w:val="14"/>
                <w:szCs w:val="14"/>
              </w:rPr>
            </w:pPr>
            <w:r w:rsidRPr="00712618">
              <w:rPr>
                <w:rFonts w:ascii="Arial" w:hAnsi="Arial" w:cs="Arial"/>
                <w:sz w:val="14"/>
                <w:szCs w:val="14"/>
              </w:rPr>
              <w:t>Universidad Tecnológica de la Riviera Maya</w:t>
            </w:r>
          </w:p>
        </w:tc>
        <w:tc>
          <w:tcPr>
            <w:tcW w:w="1428" w:type="dxa"/>
            <w:gridSpan w:val="2"/>
            <w:shd w:val="clear" w:color="000000" w:fill="auto"/>
            <w:vAlign w:val="center"/>
          </w:tcPr>
          <w:p w14:paraId="2563C492" w14:textId="77777777" w:rsidR="00712618" w:rsidRPr="00712618" w:rsidRDefault="00712618" w:rsidP="00712618">
            <w:pPr>
              <w:spacing w:before="120" w:after="120"/>
              <w:jc w:val="right"/>
              <w:rPr>
                <w:rFonts w:ascii="Arial" w:hAnsi="Arial" w:cs="Arial"/>
                <w:bCs/>
                <w:color w:val="000000"/>
                <w:sz w:val="14"/>
                <w:szCs w:val="14"/>
              </w:rPr>
            </w:pPr>
          </w:p>
        </w:tc>
        <w:tc>
          <w:tcPr>
            <w:tcW w:w="1428" w:type="dxa"/>
            <w:gridSpan w:val="2"/>
            <w:shd w:val="clear" w:color="000000" w:fill="auto"/>
            <w:vAlign w:val="center"/>
          </w:tcPr>
          <w:p w14:paraId="7F78D2B4" w14:textId="77777777" w:rsidR="00712618" w:rsidRPr="00712618" w:rsidRDefault="00712618" w:rsidP="00712618">
            <w:pPr>
              <w:spacing w:before="120" w:after="120"/>
              <w:jc w:val="right"/>
              <w:rPr>
                <w:rFonts w:ascii="Arial" w:hAnsi="Arial" w:cs="Arial"/>
                <w:bCs/>
                <w:color w:val="000000"/>
                <w:sz w:val="14"/>
                <w:szCs w:val="14"/>
              </w:rPr>
            </w:pPr>
          </w:p>
        </w:tc>
        <w:tc>
          <w:tcPr>
            <w:tcW w:w="920" w:type="dxa"/>
            <w:gridSpan w:val="2"/>
            <w:shd w:val="clear" w:color="auto" w:fill="auto"/>
            <w:vAlign w:val="center"/>
          </w:tcPr>
          <w:p w14:paraId="59383009" w14:textId="77777777" w:rsidR="00712618" w:rsidRPr="00712618" w:rsidRDefault="00712618" w:rsidP="00712618">
            <w:pPr>
              <w:spacing w:before="120" w:after="120"/>
              <w:jc w:val="center"/>
              <w:rPr>
                <w:rFonts w:ascii="Arial" w:hAnsi="Arial" w:cs="Arial"/>
                <w:color w:val="000000"/>
                <w:sz w:val="14"/>
                <w:szCs w:val="14"/>
              </w:rPr>
            </w:pPr>
          </w:p>
        </w:tc>
        <w:tc>
          <w:tcPr>
            <w:tcW w:w="3421" w:type="dxa"/>
            <w:shd w:val="clear" w:color="auto" w:fill="auto"/>
            <w:vAlign w:val="center"/>
          </w:tcPr>
          <w:p w14:paraId="5B97B1CB"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En el caso de Servicios personales existe recursos que no se ejercieron y que se gestionó con la SEFIPLAN para ser usada en 2023, para cubrir pagos pendientes. </w:t>
            </w:r>
          </w:p>
        </w:tc>
      </w:tr>
      <w:tr w:rsidR="00712618" w:rsidRPr="00712618" w14:paraId="39E6C948" w14:textId="77777777" w:rsidTr="00CC276C">
        <w:trPr>
          <w:trHeight w:val="462"/>
          <w:jc w:val="center"/>
        </w:trPr>
        <w:tc>
          <w:tcPr>
            <w:tcW w:w="372" w:type="dxa"/>
            <w:vAlign w:val="center"/>
          </w:tcPr>
          <w:p w14:paraId="5F1C5C6D"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40</w:t>
            </w:r>
          </w:p>
        </w:tc>
        <w:tc>
          <w:tcPr>
            <w:tcW w:w="1259" w:type="dxa"/>
            <w:gridSpan w:val="2"/>
            <w:shd w:val="clear" w:color="auto" w:fill="auto"/>
            <w:vAlign w:val="center"/>
          </w:tcPr>
          <w:p w14:paraId="5E12B2E3"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VIP Servicios Aéreos Ejecutivos S.A. de C.V.</w:t>
            </w:r>
          </w:p>
        </w:tc>
        <w:tc>
          <w:tcPr>
            <w:tcW w:w="1428" w:type="dxa"/>
            <w:gridSpan w:val="2"/>
            <w:shd w:val="clear" w:color="000000" w:fill="auto"/>
            <w:vAlign w:val="center"/>
          </w:tcPr>
          <w:p w14:paraId="0E65A0E2"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45,731,389.00</w:t>
            </w:r>
          </w:p>
        </w:tc>
        <w:tc>
          <w:tcPr>
            <w:tcW w:w="1428" w:type="dxa"/>
            <w:gridSpan w:val="2"/>
            <w:shd w:val="clear" w:color="000000" w:fill="auto"/>
            <w:vAlign w:val="center"/>
          </w:tcPr>
          <w:p w14:paraId="6BD9BF96"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40,909,316.28</w:t>
            </w:r>
          </w:p>
        </w:tc>
        <w:tc>
          <w:tcPr>
            <w:tcW w:w="920" w:type="dxa"/>
            <w:gridSpan w:val="2"/>
            <w:shd w:val="clear" w:color="auto" w:fill="auto"/>
            <w:vAlign w:val="center"/>
          </w:tcPr>
          <w:p w14:paraId="1B97D442"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89.46</w:t>
            </w:r>
          </w:p>
        </w:tc>
        <w:tc>
          <w:tcPr>
            <w:tcW w:w="3421" w:type="dxa"/>
            <w:shd w:val="clear" w:color="auto" w:fill="auto"/>
            <w:vAlign w:val="center"/>
          </w:tcPr>
          <w:p w14:paraId="2AB697B5"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Se tenía contemplado la contratación de personal en las plazas vacantes, pero al no obtener los ingresos optimados no se llevó a cabo la contratación de las plazas vacantes; </w:t>
            </w:r>
            <w:r w:rsidRPr="00712618">
              <w:rPr>
                <w:rFonts w:ascii="Arial" w:hAnsi="Arial" w:cs="Arial"/>
                <w:b/>
                <w:color w:val="000000"/>
                <w:sz w:val="14"/>
                <w:szCs w:val="14"/>
              </w:rPr>
              <w:t>l</w:t>
            </w:r>
            <w:r w:rsidRPr="00712618">
              <w:rPr>
                <w:rFonts w:ascii="Arial" w:hAnsi="Arial" w:cs="Arial"/>
                <w:color w:val="000000"/>
                <w:sz w:val="14"/>
                <w:szCs w:val="14"/>
              </w:rPr>
              <w:t>as operaciones</w:t>
            </w:r>
            <w:r w:rsidR="001376C7">
              <w:rPr>
                <w:rFonts w:ascii="Arial" w:hAnsi="Arial" w:cs="Arial"/>
                <w:color w:val="000000"/>
                <w:sz w:val="14"/>
                <w:szCs w:val="14"/>
              </w:rPr>
              <w:t xml:space="preserve"> </w:t>
            </w:r>
            <w:r w:rsidRPr="00712618">
              <w:rPr>
                <w:rFonts w:ascii="Arial" w:hAnsi="Arial" w:cs="Arial"/>
                <w:color w:val="000000"/>
                <w:sz w:val="14"/>
                <w:szCs w:val="14"/>
              </w:rPr>
              <w:t>se mantuvieron a la baja, por lo tanto no se recaudó el ingreso estimado y esto trajo como</w:t>
            </w:r>
            <w:r w:rsidR="001376C7">
              <w:rPr>
                <w:rFonts w:ascii="Arial" w:hAnsi="Arial" w:cs="Arial"/>
                <w:color w:val="000000"/>
                <w:sz w:val="14"/>
                <w:szCs w:val="14"/>
              </w:rPr>
              <w:t xml:space="preserve"> </w:t>
            </w:r>
            <w:r w:rsidRPr="00712618">
              <w:rPr>
                <w:rFonts w:ascii="Arial" w:hAnsi="Arial" w:cs="Arial"/>
                <w:color w:val="000000"/>
                <w:sz w:val="14"/>
                <w:szCs w:val="14"/>
              </w:rPr>
              <w:t>consecuencia una reducción en nuestros gastos.</w:t>
            </w:r>
          </w:p>
        </w:tc>
      </w:tr>
      <w:tr w:rsidR="00712618" w:rsidRPr="00712618" w14:paraId="333E665C" w14:textId="77777777" w:rsidTr="00CC276C">
        <w:tblPrEx>
          <w:jc w:val="left"/>
        </w:tblPrEx>
        <w:trPr>
          <w:trHeight w:val="690"/>
        </w:trPr>
        <w:tc>
          <w:tcPr>
            <w:tcW w:w="372" w:type="dxa"/>
            <w:vAlign w:val="center"/>
          </w:tcPr>
          <w:p w14:paraId="65C4906B"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41</w:t>
            </w:r>
          </w:p>
        </w:tc>
        <w:tc>
          <w:tcPr>
            <w:tcW w:w="1259" w:type="dxa"/>
            <w:gridSpan w:val="2"/>
            <w:vAlign w:val="center"/>
          </w:tcPr>
          <w:p w14:paraId="40E53ABA"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Centro de Conciliación Laboral del Estado de Quintana Roo</w:t>
            </w:r>
          </w:p>
        </w:tc>
        <w:tc>
          <w:tcPr>
            <w:tcW w:w="1428" w:type="dxa"/>
            <w:gridSpan w:val="2"/>
            <w:vAlign w:val="center"/>
          </w:tcPr>
          <w:p w14:paraId="350AD3F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104,166,060.00</w:t>
            </w:r>
          </w:p>
        </w:tc>
        <w:tc>
          <w:tcPr>
            <w:tcW w:w="1428" w:type="dxa"/>
            <w:gridSpan w:val="2"/>
            <w:vAlign w:val="center"/>
          </w:tcPr>
          <w:p w14:paraId="7B71FE12"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41,507,845.93</w:t>
            </w:r>
          </w:p>
        </w:tc>
        <w:tc>
          <w:tcPr>
            <w:tcW w:w="920" w:type="dxa"/>
            <w:gridSpan w:val="2"/>
            <w:vAlign w:val="center"/>
          </w:tcPr>
          <w:p w14:paraId="5F2CEED9"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39.85</w:t>
            </w:r>
          </w:p>
        </w:tc>
        <w:tc>
          <w:tcPr>
            <w:tcW w:w="3421" w:type="dxa"/>
          </w:tcPr>
          <w:p w14:paraId="59D3F3D7"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El ente se encuentra en constante crecimiento y desarrollo, por lo que aún no se logra contar con las 220 plazas de personal presupuestadas y a la fecha han ocupadas 105; aún no logra contar con todos los servicios y suministros que se necesitan para operar eficientemente; se están realizando los procedimientos correspondientes para poder adquirir los instrumentos necesarios para la labor del Centro.</w:t>
            </w:r>
            <w:r w:rsidR="001376C7">
              <w:rPr>
                <w:rFonts w:ascii="Arial" w:hAnsi="Arial" w:cs="Arial"/>
                <w:color w:val="000000"/>
                <w:sz w:val="14"/>
                <w:szCs w:val="14"/>
              </w:rPr>
              <w:t xml:space="preserve"> </w:t>
            </w:r>
          </w:p>
        </w:tc>
      </w:tr>
      <w:tr w:rsidR="00712618" w:rsidRPr="00712618" w14:paraId="4B3D174F" w14:textId="77777777" w:rsidTr="00CC276C">
        <w:trPr>
          <w:trHeight w:val="444"/>
          <w:jc w:val="center"/>
        </w:trPr>
        <w:tc>
          <w:tcPr>
            <w:tcW w:w="8828" w:type="dxa"/>
            <w:gridSpan w:val="10"/>
            <w:shd w:val="clear" w:color="auto" w:fill="9E9142"/>
            <w:vAlign w:val="center"/>
          </w:tcPr>
          <w:p w14:paraId="7BE9966F"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b/>
                <w:color w:val="FFFFFF" w:themeColor="background1"/>
                <w:sz w:val="14"/>
                <w:szCs w:val="14"/>
              </w:rPr>
              <w:t>ÓRGANOS AUTÓNOMOS</w:t>
            </w:r>
          </w:p>
        </w:tc>
      </w:tr>
      <w:tr w:rsidR="00712618" w:rsidRPr="00712618" w14:paraId="297F59EE" w14:textId="77777777" w:rsidTr="00CC276C">
        <w:trPr>
          <w:trHeight w:val="690"/>
          <w:jc w:val="center"/>
        </w:trPr>
        <w:tc>
          <w:tcPr>
            <w:tcW w:w="372" w:type="dxa"/>
            <w:shd w:val="clear" w:color="auto" w:fill="auto"/>
            <w:vAlign w:val="center"/>
          </w:tcPr>
          <w:p w14:paraId="01B41CA0"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42</w:t>
            </w:r>
          </w:p>
        </w:tc>
        <w:tc>
          <w:tcPr>
            <w:tcW w:w="1259" w:type="dxa"/>
            <w:gridSpan w:val="2"/>
            <w:shd w:val="clear" w:color="auto" w:fill="auto"/>
            <w:vAlign w:val="center"/>
          </w:tcPr>
          <w:p w14:paraId="75BAE151"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Comisión de Derechos Humanos del Estado de Quintana Roo</w:t>
            </w:r>
          </w:p>
        </w:tc>
        <w:tc>
          <w:tcPr>
            <w:tcW w:w="1428" w:type="dxa"/>
            <w:gridSpan w:val="2"/>
            <w:shd w:val="clear" w:color="auto" w:fill="auto"/>
            <w:vAlign w:val="center"/>
          </w:tcPr>
          <w:p w14:paraId="1D62CD4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66,407,560.47</w:t>
            </w:r>
          </w:p>
        </w:tc>
        <w:tc>
          <w:tcPr>
            <w:tcW w:w="1428" w:type="dxa"/>
            <w:gridSpan w:val="2"/>
            <w:shd w:val="clear" w:color="auto" w:fill="auto"/>
            <w:vAlign w:val="center"/>
          </w:tcPr>
          <w:p w14:paraId="726ACA8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66,096,878.94</w:t>
            </w:r>
          </w:p>
        </w:tc>
        <w:tc>
          <w:tcPr>
            <w:tcW w:w="920" w:type="dxa"/>
            <w:gridSpan w:val="2"/>
            <w:shd w:val="clear" w:color="auto" w:fill="auto"/>
            <w:vAlign w:val="center"/>
          </w:tcPr>
          <w:p w14:paraId="05E888CB"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99.53</w:t>
            </w:r>
          </w:p>
        </w:tc>
        <w:tc>
          <w:tcPr>
            <w:tcW w:w="3421" w:type="dxa"/>
            <w:shd w:val="clear" w:color="auto" w:fill="auto"/>
            <w:vAlign w:val="center"/>
          </w:tcPr>
          <w:p w14:paraId="44D48F04"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 variación corresponde al subejercicio correspondiente a los Ingresos Propios de la Maestría no devengados en este último trimestre.</w:t>
            </w:r>
          </w:p>
        </w:tc>
      </w:tr>
      <w:tr w:rsidR="00712618" w:rsidRPr="00712618" w14:paraId="595D221E" w14:textId="77777777" w:rsidTr="00CC276C">
        <w:trPr>
          <w:trHeight w:val="554"/>
          <w:jc w:val="center"/>
        </w:trPr>
        <w:tc>
          <w:tcPr>
            <w:tcW w:w="372" w:type="dxa"/>
            <w:vAlign w:val="center"/>
          </w:tcPr>
          <w:p w14:paraId="15A9D242"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43</w:t>
            </w:r>
          </w:p>
        </w:tc>
        <w:tc>
          <w:tcPr>
            <w:tcW w:w="1259" w:type="dxa"/>
            <w:gridSpan w:val="2"/>
            <w:shd w:val="clear" w:color="auto" w:fill="auto"/>
            <w:vAlign w:val="center"/>
          </w:tcPr>
          <w:p w14:paraId="2EF3FCCD"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Fiscalía General del Estado de Quintana Roo</w:t>
            </w:r>
          </w:p>
        </w:tc>
        <w:tc>
          <w:tcPr>
            <w:tcW w:w="1428" w:type="dxa"/>
            <w:gridSpan w:val="2"/>
            <w:shd w:val="clear" w:color="000000" w:fill="auto"/>
            <w:vAlign w:val="center"/>
          </w:tcPr>
          <w:p w14:paraId="6136219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1,239,708,161.53</w:t>
            </w:r>
          </w:p>
        </w:tc>
        <w:tc>
          <w:tcPr>
            <w:tcW w:w="1428" w:type="dxa"/>
            <w:gridSpan w:val="2"/>
            <w:shd w:val="clear" w:color="000000" w:fill="auto"/>
            <w:vAlign w:val="center"/>
          </w:tcPr>
          <w:p w14:paraId="74B42F0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1,197,580,287.80</w:t>
            </w:r>
          </w:p>
        </w:tc>
        <w:tc>
          <w:tcPr>
            <w:tcW w:w="920" w:type="dxa"/>
            <w:gridSpan w:val="2"/>
            <w:shd w:val="clear" w:color="auto" w:fill="auto"/>
            <w:vAlign w:val="center"/>
          </w:tcPr>
          <w:p w14:paraId="3F7D9CE0"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96.60</w:t>
            </w:r>
          </w:p>
        </w:tc>
        <w:tc>
          <w:tcPr>
            <w:tcW w:w="3421" w:type="dxa"/>
            <w:shd w:val="clear" w:color="auto" w:fill="auto"/>
            <w:vAlign w:val="center"/>
          </w:tcPr>
          <w:p w14:paraId="50F81C29"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SEFIPLAN autorizo la ampliación del recurso para los proyectos de CONAVIM 2022, bono sexenal, asimismo, se realizó ampliaciones del remanente de la Fiscalía Especializada en Combate a la Corrupción en este ejercicio fiscal;</w:t>
            </w:r>
            <w:r w:rsidRPr="00712618">
              <w:rPr>
                <w:rFonts w:ascii="Arial" w:hAnsi="Arial" w:cs="Arial"/>
                <w:b/>
                <w:color w:val="000000"/>
                <w:sz w:val="14"/>
                <w:szCs w:val="14"/>
              </w:rPr>
              <w:t xml:space="preserve"> </w:t>
            </w:r>
            <w:r w:rsidRPr="00712618">
              <w:rPr>
                <w:rFonts w:ascii="Arial" w:hAnsi="Arial" w:cs="Arial"/>
                <w:color w:val="000000"/>
                <w:sz w:val="14"/>
                <w:szCs w:val="14"/>
              </w:rPr>
              <w:t>SEFIPLAN realizó la cancelación parcial de los recursos pendientes de pago; se generaron ajustes presupuestales entre capítulos, recurso necesario para efectuar de una manera eficiente la operación de la Institución.</w:t>
            </w:r>
            <w:r w:rsidR="001376C7">
              <w:rPr>
                <w:rFonts w:ascii="Arial" w:hAnsi="Arial" w:cs="Arial"/>
                <w:color w:val="000000"/>
                <w:sz w:val="14"/>
                <w:szCs w:val="14"/>
              </w:rPr>
              <w:t xml:space="preserve"> </w:t>
            </w:r>
          </w:p>
        </w:tc>
      </w:tr>
      <w:tr w:rsidR="00712618" w:rsidRPr="00712618" w14:paraId="30BCE48B" w14:textId="77777777" w:rsidTr="00CC276C">
        <w:trPr>
          <w:trHeight w:val="461"/>
          <w:jc w:val="center"/>
        </w:trPr>
        <w:tc>
          <w:tcPr>
            <w:tcW w:w="372" w:type="dxa"/>
            <w:shd w:val="clear" w:color="auto" w:fill="auto"/>
            <w:vAlign w:val="center"/>
          </w:tcPr>
          <w:p w14:paraId="64F2AED7"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44</w:t>
            </w:r>
          </w:p>
        </w:tc>
        <w:tc>
          <w:tcPr>
            <w:tcW w:w="1259" w:type="dxa"/>
            <w:gridSpan w:val="2"/>
            <w:shd w:val="clear" w:color="auto" w:fill="auto"/>
            <w:vAlign w:val="center"/>
          </w:tcPr>
          <w:p w14:paraId="4D2A550E"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de Acceso a la Información y Protección de Datos Personales de Quintana Roo</w:t>
            </w:r>
          </w:p>
        </w:tc>
        <w:tc>
          <w:tcPr>
            <w:tcW w:w="1428" w:type="dxa"/>
            <w:gridSpan w:val="2"/>
            <w:shd w:val="clear" w:color="auto" w:fill="auto"/>
            <w:vAlign w:val="center"/>
          </w:tcPr>
          <w:p w14:paraId="6C0DE9F4"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50,994,701.22</w:t>
            </w:r>
          </w:p>
        </w:tc>
        <w:tc>
          <w:tcPr>
            <w:tcW w:w="1428" w:type="dxa"/>
            <w:gridSpan w:val="2"/>
            <w:shd w:val="clear" w:color="auto" w:fill="auto"/>
            <w:vAlign w:val="center"/>
          </w:tcPr>
          <w:p w14:paraId="6CD516BF"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50,994,658.29</w:t>
            </w:r>
          </w:p>
        </w:tc>
        <w:tc>
          <w:tcPr>
            <w:tcW w:w="920" w:type="dxa"/>
            <w:gridSpan w:val="2"/>
            <w:shd w:val="clear" w:color="auto" w:fill="auto"/>
            <w:vAlign w:val="center"/>
          </w:tcPr>
          <w:p w14:paraId="45D686D0"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100.00</w:t>
            </w:r>
          </w:p>
        </w:tc>
        <w:tc>
          <w:tcPr>
            <w:tcW w:w="3421" w:type="dxa"/>
            <w:shd w:val="clear" w:color="auto" w:fill="auto"/>
            <w:vAlign w:val="center"/>
          </w:tcPr>
          <w:p w14:paraId="51FEA2EB"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 variación, son las economías generadas. Es importante mencionar que se realizaron algunas adecuaciones presupuestales, acorde a las necesidades presupuestales del instituto, el cual no tuvo afectación a las metas y/o indicadores, autorizadas.</w:t>
            </w:r>
          </w:p>
        </w:tc>
      </w:tr>
      <w:tr w:rsidR="00712618" w:rsidRPr="00712618" w14:paraId="4E9204AE" w14:textId="77777777" w:rsidTr="00CC276C">
        <w:trPr>
          <w:trHeight w:val="441"/>
          <w:jc w:val="center"/>
        </w:trPr>
        <w:tc>
          <w:tcPr>
            <w:tcW w:w="372" w:type="dxa"/>
            <w:vAlign w:val="center"/>
          </w:tcPr>
          <w:p w14:paraId="599873CC"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lastRenderedPageBreak/>
              <w:t>45</w:t>
            </w:r>
          </w:p>
        </w:tc>
        <w:tc>
          <w:tcPr>
            <w:tcW w:w="1259" w:type="dxa"/>
            <w:gridSpan w:val="2"/>
            <w:shd w:val="clear" w:color="auto" w:fill="auto"/>
            <w:vAlign w:val="center"/>
          </w:tcPr>
          <w:p w14:paraId="489F4801"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Electoral de Quintana Roo</w:t>
            </w:r>
          </w:p>
        </w:tc>
        <w:tc>
          <w:tcPr>
            <w:tcW w:w="1428" w:type="dxa"/>
            <w:gridSpan w:val="2"/>
            <w:shd w:val="clear" w:color="000000" w:fill="auto"/>
            <w:vAlign w:val="center"/>
          </w:tcPr>
          <w:p w14:paraId="219A219C"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408,522,319.00</w:t>
            </w:r>
          </w:p>
        </w:tc>
        <w:tc>
          <w:tcPr>
            <w:tcW w:w="1428" w:type="dxa"/>
            <w:gridSpan w:val="2"/>
            <w:shd w:val="clear" w:color="000000" w:fill="auto"/>
            <w:vAlign w:val="center"/>
          </w:tcPr>
          <w:p w14:paraId="31082FF2"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367,673,254.77</w:t>
            </w:r>
          </w:p>
        </w:tc>
        <w:tc>
          <w:tcPr>
            <w:tcW w:w="920" w:type="dxa"/>
            <w:gridSpan w:val="2"/>
            <w:shd w:val="clear" w:color="auto" w:fill="auto"/>
            <w:vAlign w:val="center"/>
          </w:tcPr>
          <w:p w14:paraId="22241B53"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90.00</w:t>
            </w:r>
          </w:p>
        </w:tc>
        <w:tc>
          <w:tcPr>
            <w:tcW w:w="3421" w:type="dxa"/>
            <w:shd w:val="clear" w:color="auto" w:fill="auto"/>
            <w:vAlign w:val="center"/>
          </w:tcPr>
          <w:p w14:paraId="5E3912C5"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Menor devengo por ministraciones tramitadas ante SEFIPLAN, pendientes de recibir; menor devengo por remanente.</w:t>
            </w:r>
          </w:p>
        </w:tc>
      </w:tr>
      <w:tr w:rsidR="00712618" w:rsidRPr="00712618" w14:paraId="69394AF2" w14:textId="77777777" w:rsidTr="00CC276C">
        <w:trPr>
          <w:trHeight w:val="317"/>
          <w:jc w:val="center"/>
        </w:trPr>
        <w:tc>
          <w:tcPr>
            <w:tcW w:w="372" w:type="dxa"/>
            <w:shd w:val="clear" w:color="auto" w:fill="auto"/>
            <w:vAlign w:val="center"/>
          </w:tcPr>
          <w:p w14:paraId="52CA5D61" w14:textId="77777777" w:rsidR="00712618" w:rsidRPr="00712618" w:rsidRDefault="00712618" w:rsidP="00712618">
            <w:pPr>
              <w:spacing w:before="120" w:after="120"/>
              <w:jc w:val="both"/>
              <w:rPr>
                <w:rFonts w:ascii="Arial" w:hAnsi="Arial" w:cs="Arial"/>
                <w:sz w:val="14"/>
                <w:szCs w:val="14"/>
              </w:rPr>
            </w:pPr>
            <w:r w:rsidRPr="00712618">
              <w:rPr>
                <w:rFonts w:ascii="Arial" w:hAnsi="Arial" w:cs="Arial"/>
                <w:sz w:val="14"/>
                <w:szCs w:val="14"/>
              </w:rPr>
              <w:t>46</w:t>
            </w:r>
          </w:p>
        </w:tc>
        <w:tc>
          <w:tcPr>
            <w:tcW w:w="1259" w:type="dxa"/>
            <w:gridSpan w:val="2"/>
            <w:shd w:val="clear" w:color="auto" w:fill="auto"/>
            <w:vAlign w:val="center"/>
          </w:tcPr>
          <w:p w14:paraId="386D27BB"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Tribunal de Justicia Administrativa</w:t>
            </w:r>
            <w:r w:rsidR="001376C7">
              <w:rPr>
                <w:rFonts w:ascii="Arial" w:hAnsi="Arial" w:cs="Arial"/>
                <w:color w:val="000000"/>
                <w:sz w:val="14"/>
                <w:szCs w:val="14"/>
              </w:rPr>
              <w:t xml:space="preserve"> </w:t>
            </w:r>
            <w:r w:rsidRPr="00712618">
              <w:rPr>
                <w:rFonts w:ascii="Arial" w:hAnsi="Arial" w:cs="Arial"/>
                <w:color w:val="000000"/>
                <w:sz w:val="14"/>
                <w:szCs w:val="14"/>
              </w:rPr>
              <w:t>del Estado de Quintana Roo</w:t>
            </w:r>
          </w:p>
        </w:tc>
        <w:tc>
          <w:tcPr>
            <w:tcW w:w="1428" w:type="dxa"/>
            <w:gridSpan w:val="2"/>
            <w:shd w:val="clear" w:color="auto" w:fill="auto"/>
            <w:vAlign w:val="center"/>
          </w:tcPr>
          <w:p w14:paraId="4E9A1470"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69,967,441.00</w:t>
            </w:r>
          </w:p>
        </w:tc>
        <w:tc>
          <w:tcPr>
            <w:tcW w:w="1428" w:type="dxa"/>
            <w:gridSpan w:val="2"/>
            <w:shd w:val="clear" w:color="auto" w:fill="auto"/>
            <w:vAlign w:val="center"/>
          </w:tcPr>
          <w:p w14:paraId="080EEEEC"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69,967,441.00</w:t>
            </w:r>
          </w:p>
        </w:tc>
        <w:tc>
          <w:tcPr>
            <w:tcW w:w="920" w:type="dxa"/>
            <w:gridSpan w:val="2"/>
            <w:shd w:val="clear" w:color="auto" w:fill="auto"/>
            <w:vAlign w:val="center"/>
          </w:tcPr>
          <w:p w14:paraId="3FF08C3B"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100.00</w:t>
            </w:r>
          </w:p>
        </w:tc>
        <w:tc>
          <w:tcPr>
            <w:tcW w:w="3421" w:type="dxa"/>
            <w:shd w:val="clear" w:color="auto" w:fill="auto"/>
            <w:vAlign w:val="center"/>
          </w:tcPr>
          <w:p w14:paraId="0A408BA1"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100% en la aplicación de los recursos. </w:t>
            </w:r>
          </w:p>
        </w:tc>
      </w:tr>
      <w:tr w:rsidR="00712618" w:rsidRPr="00712618" w14:paraId="5730EDE5" w14:textId="77777777" w:rsidTr="00CC276C">
        <w:trPr>
          <w:trHeight w:val="690"/>
          <w:jc w:val="center"/>
        </w:trPr>
        <w:tc>
          <w:tcPr>
            <w:tcW w:w="372" w:type="dxa"/>
            <w:vAlign w:val="center"/>
          </w:tcPr>
          <w:p w14:paraId="55FD0D3D"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47</w:t>
            </w:r>
          </w:p>
        </w:tc>
        <w:tc>
          <w:tcPr>
            <w:tcW w:w="1259" w:type="dxa"/>
            <w:gridSpan w:val="2"/>
            <w:shd w:val="clear" w:color="auto" w:fill="auto"/>
            <w:vAlign w:val="center"/>
          </w:tcPr>
          <w:p w14:paraId="67F1C981"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Tribunal Electoral de Quintana Roo</w:t>
            </w:r>
          </w:p>
        </w:tc>
        <w:tc>
          <w:tcPr>
            <w:tcW w:w="1428" w:type="dxa"/>
            <w:gridSpan w:val="2"/>
            <w:shd w:val="clear" w:color="000000" w:fill="auto"/>
            <w:vAlign w:val="center"/>
          </w:tcPr>
          <w:p w14:paraId="41CC4CB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44,072,889.40</w:t>
            </w:r>
          </w:p>
        </w:tc>
        <w:tc>
          <w:tcPr>
            <w:tcW w:w="1428" w:type="dxa"/>
            <w:gridSpan w:val="2"/>
            <w:shd w:val="clear" w:color="000000" w:fill="auto"/>
            <w:vAlign w:val="center"/>
          </w:tcPr>
          <w:p w14:paraId="55A866DE"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44,072,889.40</w:t>
            </w:r>
          </w:p>
        </w:tc>
        <w:tc>
          <w:tcPr>
            <w:tcW w:w="920" w:type="dxa"/>
            <w:gridSpan w:val="2"/>
            <w:shd w:val="clear" w:color="auto" w:fill="auto"/>
            <w:vAlign w:val="center"/>
          </w:tcPr>
          <w:p w14:paraId="387F30AF"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100.00</w:t>
            </w:r>
          </w:p>
        </w:tc>
        <w:tc>
          <w:tcPr>
            <w:tcW w:w="3421" w:type="dxa"/>
            <w:shd w:val="clear" w:color="auto" w:fill="auto"/>
            <w:vAlign w:val="center"/>
          </w:tcPr>
          <w:p w14:paraId="027B81D8"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100% en la aplicación de los recursos</w:t>
            </w:r>
          </w:p>
        </w:tc>
      </w:tr>
      <w:tr w:rsidR="00712618" w:rsidRPr="00712618" w14:paraId="645D1F6A" w14:textId="77777777" w:rsidTr="00CC276C">
        <w:trPr>
          <w:trHeight w:val="433"/>
          <w:jc w:val="center"/>
        </w:trPr>
        <w:tc>
          <w:tcPr>
            <w:tcW w:w="8828" w:type="dxa"/>
            <w:gridSpan w:val="10"/>
            <w:shd w:val="clear" w:color="auto" w:fill="9E9142"/>
            <w:vAlign w:val="center"/>
          </w:tcPr>
          <w:p w14:paraId="0B234D67" w14:textId="77777777" w:rsidR="00712618" w:rsidRPr="00712618" w:rsidRDefault="00712618" w:rsidP="00712618">
            <w:pPr>
              <w:spacing w:before="120" w:after="120"/>
              <w:jc w:val="center"/>
              <w:rPr>
                <w:rFonts w:ascii="Arial" w:hAnsi="Arial" w:cs="Arial"/>
                <w:b/>
                <w:color w:val="FFFFFF" w:themeColor="background1"/>
                <w:sz w:val="14"/>
                <w:szCs w:val="14"/>
              </w:rPr>
            </w:pPr>
            <w:r w:rsidRPr="00712618">
              <w:rPr>
                <w:rFonts w:ascii="Arial" w:hAnsi="Arial" w:cs="Arial"/>
                <w:b/>
                <w:color w:val="FFFFFF" w:themeColor="background1"/>
                <w:sz w:val="14"/>
                <w:szCs w:val="14"/>
              </w:rPr>
              <w:t>AYUNTAMIENTOS</w:t>
            </w:r>
          </w:p>
        </w:tc>
      </w:tr>
      <w:tr w:rsidR="00712618" w:rsidRPr="00712618" w14:paraId="388FE194" w14:textId="77777777" w:rsidTr="00CC276C">
        <w:trPr>
          <w:trHeight w:val="606"/>
          <w:jc w:val="center"/>
        </w:trPr>
        <w:tc>
          <w:tcPr>
            <w:tcW w:w="372" w:type="dxa"/>
            <w:vAlign w:val="center"/>
          </w:tcPr>
          <w:p w14:paraId="638B0BC8"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48</w:t>
            </w:r>
          </w:p>
        </w:tc>
        <w:tc>
          <w:tcPr>
            <w:tcW w:w="1259" w:type="dxa"/>
            <w:gridSpan w:val="2"/>
            <w:shd w:val="clear" w:color="auto" w:fill="auto"/>
            <w:vAlign w:val="center"/>
          </w:tcPr>
          <w:p w14:paraId="684FF589" w14:textId="77777777" w:rsidR="00712618" w:rsidRPr="00712618" w:rsidRDefault="00712618" w:rsidP="00712618">
            <w:pPr>
              <w:adjustRightInd w:val="0"/>
              <w:spacing w:before="120" w:after="120"/>
              <w:rPr>
                <w:rFonts w:ascii="Arial" w:hAnsi="Arial" w:cs="Arial"/>
                <w:color w:val="000000"/>
                <w:sz w:val="14"/>
                <w:szCs w:val="14"/>
              </w:rPr>
            </w:pPr>
            <w:r w:rsidRPr="00712618">
              <w:rPr>
                <w:rFonts w:ascii="Arial" w:hAnsi="Arial" w:cs="Arial"/>
                <w:color w:val="000000"/>
                <w:sz w:val="14"/>
                <w:szCs w:val="14"/>
              </w:rPr>
              <w:t>Ayuntamiento del Municipio de Bacalar</w:t>
            </w:r>
          </w:p>
        </w:tc>
        <w:tc>
          <w:tcPr>
            <w:tcW w:w="1428" w:type="dxa"/>
            <w:gridSpan w:val="2"/>
            <w:shd w:val="clear" w:color="000000" w:fill="auto"/>
            <w:vAlign w:val="center"/>
          </w:tcPr>
          <w:p w14:paraId="5E8B689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322,374,492.15</w:t>
            </w:r>
          </w:p>
        </w:tc>
        <w:tc>
          <w:tcPr>
            <w:tcW w:w="1428" w:type="dxa"/>
            <w:gridSpan w:val="2"/>
            <w:shd w:val="clear" w:color="000000" w:fill="auto"/>
            <w:vAlign w:val="center"/>
          </w:tcPr>
          <w:p w14:paraId="2538C200"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294,666,493.43</w:t>
            </w:r>
          </w:p>
        </w:tc>
        <w:tc>
          <w:tcPr>
            <w:tcW w:w="920" w:type="dxa"/>
            <w:gridSpan w:val="2"/>
            <w:shd w:val="clear" w:color="auto" w:fill="auto"/>
            <w:vAlign w:val="center"/>
          </w:tcPr>
          <w:p w14:paraId="0D773C9D"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91.41</w:t>
            </w:r>
          </w:p>
        </w:tc>
        <w:tc>
          <w:tcPr>
            <w:tcW w:w="3421" w:type="dxa"/>
            <w:shd w:val="clear" w:color="auto" w:fill="auto"/>
            <w:vAlign w:val="center"/>
          </w:tcPr>
          <w:p w14:paraId="325D18DF"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No se realizaron contrataciones de personal, así como contrataciones de policías; no se aplicó en su totalidad el recurso programado para diversos rubros de gasto.</w:t>
            </w:r>
          </w:p>
        </w:tc>
      </w:tr>
      <w:tr w:rsidR="00712618" w:rsidRPr="00712618" w14:paraId="7E017F86" w14:textId="77777777" w:rsidTr="00CC276C">
        <w:trPr>
          <w:trHeight w:val="606"/>
          <w:jc w:val="center"/>
        </w:trPr>
        <w:tc>
          <w:tcPr>
            <w:tcW w:w="372" w:type="dxa"/>
            <w:vAlign w:val="center"/>
          </w:tcPr>
          <w:p w14:paraId="02CDB7F2"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49</w:t>
            </w:r>
          </w:p>
        </w:tc>
        <w:tc>
          <w:tcPr>
            <w:tcW w:w="1259" w:type="dxa"/>
            <w:gridSpan w:val="2"/>
            <w:shd w:val="clear" w:color="auto" w:fill="auto"/>
            <w:vAlign w:val="center"/>
          </w:tcPr>
          <w:p w14:paraId="291675D7" w14:textId="77777777" w:rsidR="00712618" w:rsidRPr="00712618" w:rsidRDefault="00712618" w:rsidP="00712618">
            <w:pPr>
              <w:adjustRightInd w:val="0"/>
              <w:spacing w:before="120" w:after="120"/>
              <w:rPr>
                <w:rFonts w:ascii="Arial" w:hAnsi="Arial" w:cs="Arial"/>
                <w:color w:val="000000"/>
                <w:sz w:val="14"/>
                <w:szCs w:val="14"/>
              </w:rPr>
            </w:pPr>
            <w:r w:rsidRPr="00712618">
              <w:rPr>
                <w:rFonts w:ascii="Arial" w:hAnsi="Arial" w:cs="Arial"/>
                <w:color w:val="000000"/>
                <w:sz w:val="14"/>
                <w:szCs w:val="14"/>
              </w:rPr>
              <w:t>Ayuntamiento del Municipio de Benito Juárez</w:t>
            </w:r>
          </w:p>
        </w:tc>
        <w:tc>
          <w:tcPr>
            <w:tcW w:w="1428" w:type="dxa"/>
            <w:gridSpan w:val="2"/>
            <w:shd w:val="clear" w:color="000000" w:fill="auto"/>
            <w:vAlign w:val="center"/>
          </w:tcPr>
          <w:p w14:paraId="5DB3720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5,105,311,728.87</w:t>
            </w:r>
          </w:p>
        </w:tc>
        <w:tc>
          <w:tcPr>
            <w:tcW w:w="1428" w:type="dxa"/>
            <w:gridSpan w:val="2"/>
            <w:shd w:val="clear" w:color="000000" w:fill="auto"/>
            <w:vAlign w:val="center"/>
          </w:tcPr>
          <w:p w14:paraId="482B4F5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5,105,311,728.87</w:t>
            </w:r>
          </w:p>
        </w:tc>
        <w:tc>
          <w:tcPr>
            <w:tcW w:w="920" w:type="dxa"/>
            <w:gridSpan w:val="2"/>
            <w:shd w:val="clear" w:color="auto" w:fill="auto"/>
            <w:vAlign w:val="center"/>
          </w:tcPr>
          <w:p w14:paraId="4090792E"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100.00</w:t>
            </w:r>
          </w:p>
        </w:tc>
        <w:tc>
          <w:tcPr>
            <w:tcW w:w="3421" w:type="dxa"/>
            <w:shd w:val="clear" w:color="auto" w:fill="auto"/>
            <w:vAlign w:val="center"/>
          </w:tcPr>
          <w:p w14:paraId="01859DC0"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autorizaron cambios de nivel de manera general, creación de plazas y, adicionalmente, se aplicaron cambios de nivel que aún se tenían pendientes del ejercicio 2020 y que en su momento fueron pospuestos por la pandemia ocasionada por el virus SARS CoV-2, y han sido retomados en los ejercicios 2021 y 2022. Es importante mencionar, que la creación de plazas, escalafones y cambios de nivel, impactan directamente en el sueldo, prima vacacional, aguinaldo, estímulos otorgados y prestaciones adicionales que reciba el personal de base; se dieron ampliaciones con presupuesto del derecho de saneamiento Ambiental en la modalidad de refrendo y de los cuales se pueden mencionar los siguientes: Rehabilitación, ampliación y equipamiento, de las instalaciones de la Secretaría Municipal de Seguridad Pública y Tránsito; se llevaron a cabo actividades en beneficio de la ciudadanía Benito juarense en los ámbitos de: Apoyo a la población estudiantil del municipio mediante becas escolares; Programas de apoyo a la mujer; Programas para la juventud; Programas para el combate a las adicciones; Impulso al deporte en los programas de futbol del club pioneros;</w:t>
            </w:r>
            <w:r w:rsidR="001376C7">
              <w:rPr>
                <w:rFonts w:ascii="Arial" w:hAnsi="Arial" w:cs="Arial"/>
                <w:color w:val="000000"/>
                <w:sz w:val="14"/>
                <w:szCs w:val="14"/>
              </w:rPr>
              <w:t xml:space="preserve"> </w:t>
            </w:r>
            <w:r w:rsidRPr="00712618">
              <w:rPr>
                <w:rFonts w:ascii="Arial" w:hAnsi="Arial" w:cs="Arial"/>
                <w:color w:val="000000"/>
                <w:sz w:val="14"/>
                <w:szCs w:val="14"/>
              </w:rPr>
              <w:t>ampliaciones de presupuesto con recursos provenientes del Fondo de Aportaciones para el Fortalecimiento de los Municipios y del Fondo de Aportaciones para la Infraestructura Social Municipal, para llevar a cabo las obras públicas del ejercicio;</w:t>
            </w:r>
            <w:r w:rsidR="001376C7">
              <w:rPr>
                <w:rFonts w:ascii="Arial" w:hAnsi="Arial" w:cs="Arial"/>
                <w:color w:val="000000"/>
                <w:sz w:val="14"/>
                <w:szCs w:val="14"/>
              </w:rPr>
              <w:t xml:space="preserve"> </w:t>
            </w:r>
            <w:r w:rsidRPr="00712618">
              <w:rPr>
                <w:rFonts w:ascii="Arial" w:hAnsi="Arial" w:cs="Arial"/>
                <w:color w:val="000000"/>
                <w:sz w:val="14"/>
                <w:szCs w:val="14"/>
              </w:rPr>
              <w:t>Se mantienen las finanzas públicas con criterios de disciplina y racionalidad del gasto partiendo como referencia el Presupuesto de Egresos aprobado para el ejercicio 2022 y que fue necesario llevar a cabo modificaciones en sus diferentes capítulos manteniendo el comportamiento del gasto público dentro de los programas y acciones aprobados por el Honorable Ayuntamiento de Benito Juárez.</w:t>
            </w:r>
          </w:p>
        </w:tc>
      </w:tr>
      <w:tr w:rsidR="00712618" w:rsidRPr="00712618" w14:paraId="0D8FB087" w14:textId="77777777" w:rsidTr="00CC276C">
        <w:trPr>
          <w:trHeight w:val="690"/>
          <w:jc w:val="center"/>
        </w:trPr>
        <w:tc>
          <w:tcPr>
            <w:tcW w:w="372" w:type="dxa"/>
            <w:vAlign w:val="center"/>
          </w:tcPr>
          <w:p w14:paraId="1A864167"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50</w:t>
            </w:r>
          </w:p>
        </w:tc>
        <w:tc>
          <w:tcPr>
            <w:tcW w:w="1259" w:type="dxa"/>
            <w:gridSpan w:val="2"/>
            <w:shd w:val="clear" w:color="auto" w:fill="auto"/>
            <w:vAlign w:val="center"/>
          </w:tcPr>
          <w:p w14:paraId="2B87C5E4" w14:textId="77777777" w:rsidR="00712618" w:rsidRPr="00712618" w:rsidRDefault="00712618" w:rsidP="00712618">
            <w:pPr>
              <w:adjustRightInd w:val="0"/>
              <w:spacing w:before="120" w:after="120"/>
              <w:rPr>
                <w:rFonts w:ascii="Arial" w:hAnsi="Arial" w:cs="Arial"/>
                <w:color w:val="000000"/>
                <w:sz w:val="14"/>
                <w:szCs w:val="14"/>
              </w:rPr>
            </w:pPr>
            <w:r w:rsidRPr="00712618">
              <w:rPr>
                <w:rFonts w:ascii="Arial" w:hAnsi="Arial" w:cs="Arial"/>
                <w:color w:val="000000"/>
                <w:sz w:val="14"/>
                <w:szCs w:val="14"/>
              </w:rPr>
              <w:t>Ayuntamiento del Municipio de Cozumel</w:t>
            </w:r>
          </w:p>
        </w:tc>
        <w:tc>
          <w:tcPr>
            <w:tcW w:w="1428" w:type="dxa"/>
            <w:gridSpan w:val="2"/>
            <w:shd w:val="clear" w:color="000000" w:fill="auto"/>
            <w:vAlign w:val="center"/>
          </w:tcPr>
          <w:p w14:paraId="12BF7B8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688,806,967.00</w:t>
            </w:r>
          </w:p>
        </w:tc>
        <w:tc>
          <w:tcPr>
            <w:tcW w:w="1428" w:type="dxa"/>
            <w:gridSpan w:val="2"/>
            <w:shd w:val="clear" w:color="000000" w:fill="auto"/>
            <w:vAlign w:val="center"/>
          </w:tcPr>
          <w:p w14:paraId="56F25FE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670,149,614.00</w:t>
            </w:r>
          </w:p>
        </w:tc>
        <w:tc>
          <w:tcPr>
            <w:tcW w:w="920" w:type="dxa"/>
            <w:gridSpan w:val="2"/>
            <w:shd w:val="clear" w:color="auto" w:fill="auto"/>
            <w:vAlign w:val="center"/>
          </w:tcPr>
          <w:p w14:paraId="2B56F34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97.29</w:t>
            </w:r>
          </w:p>
        </w:tc>
        <w:tc>
          <w:tcPr>
            <w:tcW w:w="3421" w:type="dxa"/>
            <w:shd w:val="clear" w:color="auto" w:fill="auto"/>
            <w:vAlign w:val="center"/>
          </w:tcPr>
          <w:p w14:paraId="41C0692D"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Conceptos no ejercidos, principalmente remuneraciones al personal de carácter eventual; conceptos no ejercidos tales como, materiales de administración y emisión de documentos, alimentos y utensilios, materiales y artículos de construcción y reparación, combustibles, lubricantes y aditivos, servicios de arrendamiento, servicios profesionales, científicos, técnicos y otros servicios, servicios de </w:t>
            </w:r>
            <w:r w:rsidRPr="00712618">
              <w:rPr>
                <w:rFonts w:ascii="Arial" w:hAnsi="Arial" w:cs="Arial"/>
                <w:color w:val="000000"/>
                <w:sz w:val="14"/>
                <w:szCs w:val="14"/>
              </w:rPr>
              <w:lastRenderedPageBreak/>
              <w:t>traslado y viáticos y servicios oficiales, Ayudas Sociales, vehículos y equipo de transporte</w:t>
            </w:r>
            <w:r w:rsidRPr="00712618">
              <w:rPr>
                <w:rFonts w:ascii="Arial" w:hAnsi="Arial" w:cs="Arial"/>
                <w:b/>
                <w:color w:val="000000"/>
                <w:sz w:val="14"/>
                <w:szCs w:val="14"/>
              </w:rPr>
              <w:t>.</w:t>
            </w:r>
          </w:p>
        </w:tc>
      </w:tr>
      <w:tr w:rsidR="00712618" w:rsidRPr="00712618" w14:paraId="0CC35A58" w14:textId="77777777" w:rsidTr="00CC276C">
        <w:trPr>
          <w:trHeight w:val="690"/>
          <w:jc w:val="center"/>
        </w:trPr>
        <w:tc>
          <w:tcPr>
            <w:tcW w:w="372" w:type="dxa"/>
            <w:vAlign w:val="center"/>
          </w:tcPr>
          <w:p w14:paraId="5C73E1F7"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51</w:t>
            </w:r>
          </w:p>
        </w:tc>
        <w:tc>
          <w:tcPr>
            <w:tcW w:w="1259" w:type="dxa"/>
            <w:gridSpan w:val="2"/>
            <w:shd w:val="clear" w:color="auto" w:fill="auto"/>
            <w:vAlign w:val="center"/>
          </w:tcPr>
          <w:p w14:paraId="64B0A00A" w14:textId="77777777" w:rsidR="00712618" w:rsidRPr="00712618" w:rsidRDefault="00712618" w:rsidP="00712618">
            <w:pPr>
              <w:adjustRightInd w:val="0"/>
              <w:spacing w:before="120" w:after="120"/>
              <w:rPr>
                <w:rFonts w:ascii="Arial" w:hAnsi="Arial" w:cs="Arial"/>
                <w:color w:val="000000"/>
                <w:sz w:val="14"/>
                <w:szCs w:val="14"/>
              </w:rPr>
            </w:pPr>
            <w:r w:rsidRPr="00712618">
              <w:rPr>
                <w:rFonts w:ascii="Arial" w:hAnsi="Arial" w:cs="Arial"/>
                <w:color w:val="000000"/>
                <w:sz w:val="14"/>
                <w:szCs w:val="14"/>
              </w:rPr>
              <w:t>Ayuntamiento del Municipio de Felipe Carrillo Puerto</w:t>
            </w:r>
          </w:p>
        </w:tc>
        <w:tc>
          <w:tcPr>
            <w:tcW w:w="1428" w:type="dxa"/>
            <w:gridSpan w:val="2"/>
            <w:shd w:val="clear" w:color="000000" w:fill="auto"/>
            <w:vAlign w:val="center"/>
          </w:tcPr>
          <w:p w14:paraId="66F87B4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624,699,080.30</w:t>
            </w:r>
          </w:p>
        </w:tc>
        <w:tc>
          <w:tcPr>
            <w:tcW w:w="1428" w:type="dxa"/>
            <w:gridSpan w:val="2"/>
            <w:shd w:val="clear" w:color="000000" w:fill="auto"/>
            <w:vAlign w:val="center"/>
          </w:tcPr>
          <w:p w14:paraId="659DE586"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620,995,672.43</w:t>
            </w:r>
          </w:p>
        </w:tc>
        <w:tc>
          <w:tcPr>
            <w:tcW w:w="920" w:type="dxa"/>
            <w:gridSpan w:val="2"/>
            <w:shd w:val="clear" w:color="auto" w:fill="auto"/>
            <w:vAlign w:val="center"/>
          </w:tcPr>
          <w:p w14:paraId="757B2F40"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99.41</w:t>
            </w:r>
          </w:p>
        </w:tc>
        <w:tc>
          <w:tcPr>
            <w:tcW w:w="3421" w:type="dxa"/>
            <w:shd w:val="clear" w:color="auto" w:fill="auto"/>
            <w:vAlign w:val="center"/>
          </w:tcPr>
          <w:p w14:paraId="11D0A7D5"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Las prestaciones anuales que se generan y acumulan para su pago en diciembre de 2022, con origen desde el incremento del SMF</w:t>
            </w:r>
            <w:r w:rsidR="001376C7">
              <w:rPr>
                <w:rFonts w:ascii="Arial" w:hAnsi="Arial" w:cs="Arial"/>
                <w:color w:val="000000"/>
                <w:sz w:val="14"/>
                <w:szCs w:val="14"/>
              </w:rPr>
              <w:t xml:space="preserve"> </w:t>
            </w:r>
            <w:r w:rsidRPr="00712618">
              <w:rPr>
                <w:rFonts w:ascii="Arial" w:hAnsi="Arial" w:cs="Arial"/>
                <w:color w:val="000000"/>
                <w:sz w:val="14"/>
                <w:szCs w:val="14"/>
              </w:rPr>
              <w:t>y sueldos y prestaciones del personal Sindicalizado y confianza; servicios generales que no fueron necesarios su contratación pues se logró cubrí el total requerido con menos presupuesto; necesidades cubiertas con un presupuesto menor al estimado; el pago de intereses de cuenta pública presenta variaciones por los movimientos en las tasa de interés.</w:t>
            </w:r>
          </w:p>
        </w:tc>
      </w:tr>
      <w:tr w:rsidR="00712618" w:rsidRPr="00712618" w14:paraId="2BB877F5" w14:textId="77777777" w:rsidTr="00CC276C">
        <w:trPr>
          <w:trHeight w:val="289"/>
          <w:jc w:val="center"/>
        </w:trPr>
        <w:tc>
          <w:tcPr>
            <w:tcW w:w="372" w:type="dxa"/>
            <w:vAlign w:val="center"/>
          </w:tcPr>
          <w:p w14:paraId="3D6D8BC7"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52</w:t>
            </w:r>
          </w:p>
        </w:tc>
        <w:tc>
          <w:tcPr>
            <w:tcW w:w="1259" w:type="dxa"/>
            <w:gridSpan w:val="2"/>
            <w:shd w:val="clear" w:color="auto" w:fill="auto"/>
            <w:vAlign w:val="center"/>
          </w:tcPr>
          <w:p w14:paraId="2E9838C5"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Ayuntamiento del Municipio de Isla Mujeres</w:t>
            </w:r>
          </w:p>
        </w:tc>
        <w:tc>
          <w:tcPr>
            <w:tcW w:w="1428" w:type="dxa"/>
            <w:gridSpan w:val="2"/>
            <w:shd w:val="clear" w:color="000000" w:fill="auto"/>
            <w:vAlign w:val="center"/>
          </w:tcPr>
          <w:p w14:paraId="20C6B17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650,318,316.07</w:t>
            </w:r>
          </w:p>
        </w:tc>
        <w:tc>
          <w:tcPr>
            <w:tcW w:w="1428" w:type="dxa"/>
            <w:gridSpan w:val="2"/>
            <w:shd w:val="clear" w:color="000000" w:fill="auto"/>
            <w:vAlign w:val="center"/>
          </w:tcPr>
          <w:p w14:paraId="0193CCA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649,994,235.07</w:t>
            </w:r>
          </w:p>
        </w:tc>
        <w:tc>
          <w:tcPr>
            <w:tcW w:w="920" w:type="dxa"/>
            <w:gridSpan w:val="2"/>
            <w:shd w:val="clear" w:color="auto" w:fill="auto"/>
            <w:vAlign w:val="center"/>
          </w:tcPr>
          <w:p w14:paraId="1E1FA82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99.95</w:t>
            </w:r>
          </w:p>
        </w:tc>
        <w:tc>
          <w:tcPr>
            <w:tcW w:w="3421" w:type="dxa"/>
            <w:shd w:val="clear" w:color="auto" w:fill="auto"/>
            <w:vAlign w:val="center"/>
          </w:tcPr>
          <w:p w14:paraId="3F83509D"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Realización de diversas erogaciones como los sueldos al personal de confianza, apoyo, sindicalizados y personal de seguridad pública, pago de finiquitos a personas que laboraron en el H. Ayuntamiento y prestaciones de fin de año (aguinaldo, fondo de ahorro, prima vacacional, 9 días económicos, canasta navideña, entre otros); adquisición de material eléctrico como luminarias que fueron instaladas en las calles, diversas áreas recreativas y administrativas de la ínsula y zona continental de este Municipio de Isla Mujeres; combustible para el parque vehicular para garantizar la operación de los diversos trabajos que se llevan a cabo para beneficio de la ciudadanía y de operaciones que se presentan dentro de este municipio de isla mujeres; transportación de las góndolas que contenían los desechos sólidos no peligrosos de la ínsula y el servicio de limpieza y manejo de desechos sólidos no peligrosos con lo cual se benefició a la población de la ínsula de municipio de isla mujeres; adquisición de computadoras para las áreas administrativas, refacciones y accesorios menores para equipo de cómputo y servidores que resguardan la información de este palacio municipal y la adquisición de aires acondicionados; se realizó la adjudicación de la obra de urbanización autorizados;</w:t>
            </w:r>
            <w:r w:rsidR="001376C7">
              <w:rPr>
                <w:rFonts w:ascii="Arial" w:hAnsi="Arial" w:cs="Arial"/>
                <w:color w:val="000000"/>
                <w:sz w:val="14"/>
                <w:szCs w:val="14"/>
              </w:rPr>
              <w:t xml:space="preserve"> </w:t>
            </w:r>
            <w:r w:rsidRPr="00712618">
              <w:rPr>
                <w:rFonts w:ascii="Arial" w:hAnsi="Arial" w:cs="Arial"/>
                <w:color w:val="000000"/>
                <w:sz w:val="14"/>
                <w:szCs w:val="14"/>
              </w:rPr>
              <w:t>pago de erogación por adeudos de ejercicios anteriores al incumplimiento de los enteros del impuesto sobre la renta de sueldos y salarios al personal de este H. Ayuntamiento de Isla Mujeres.</w:t>
            </w:r>
          </w:p>
        </w:tc>
      </w:tr>
      <w:tr w:rsidR="00712618" w:rsidRPr="00712618" w14:paraId="62A584EF" w14:textId="77777777" w:rsidTr="00CC276C">
        <w:trPr>
          <w:trHeight w:val="690"/>
          <w:jc w:val="center"/>
        </w:trPr>
        <w:tc>
          <w:tcPr>
            <w:tcW w:w="372" w:type="dxa"/>
            <w:vAlign w:val="center"/>
          </w:tcPr>
          <w:p w14:paraId="5EDEB6C9"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53</w:t>
            </w:r>
          </w:p>
        </w:tc>
        <w:tc>
          <w:tcPr>
            <w:tcW w:w="1259" w:type="dxa"/>
            <w:gridSpan w:val="2"/>
            <w:shd w:val="clear" w:color="auto" w:fill="auto"/>
            <w:vAlign w:val="center"/>
          </w:tcPr>
          <w:p w14:paraId="2117337C" w14:textId="77777777" w:rsidR="00712618" w:rsidRPr="00712618" w:rsidRDefault="00712618" w:rsidP="00712618">
            <w:pPr>
              <w:adjustRightInd w:val="0"/>
              <w:spacing w:before="120" w:after="120"/>
              <w:jc w:val="both"/>
              <w:rPr>
                <w:rFonts w:ascii="Arial" w:hAnsi="Arial" w:cs="Arial"/>
                <w:color w:val="FF0000"/>
                <w:sz w:val="14"/>
                <w:szCs w:val="14"/>
              </w:rPr>
            </w:pPr>
            <w:r w:rsidRPr="00712618">
              <w:rPr>
                <w:rFonts w:ascii="Arial" w:hAnsi="Arial" w:cs="Arial"/>
                <w:sz w:val="14"/>
                <w:szCs w:val="14"/>
              </w:rPr>
              <w:t>Ayuntamiento del Municipio de José María Morelos</w:t>
            </w:r>
          </w:p>
        </w:tc>
        <w:tc>
          <w:tcPr>
            <w:tcW w:w="1428" w:type="dxa"/>
            <w:gridSpan w:val="2"/>
            <w:shd w:val="clear" w:color="000000" w:fill="auto"/>
            <w:vAlign w:val="center"/>
          </w:tcPr>
          <w:p w14:paraId="121ED632" w14:textId="77777777" w:rsidR="00712618" w:rsidRPr="00712618" w:rsidRDefault="00712618" w:rsidP="00712618">
            <w:pPr>
              <w:jc w:val="right"/>
              <w:rPr>
                <w:rFonts w:ascii="Arial" w:hAnsi="Arial" w:cs="Arial"/>
                <w:bCs/>
                <w:color w:val="000000"/>
                <w:sz w:val="14"/>
                <w:szCs w:val="14"/>
              </w:rPr>
            </w:pPr>
            <w:r w:rsidRPr="00712618">
              <w:rPr>
                <w:rFonts w:ascii="Arial" w:hAnsi="Arial" w:cs="Arial"/>
                <w:bCs/>
                <w:color w:val="000000"/>
                <w:sz w:val="14"/>
                <w:szCs w:val="14"/>
              </w:rPr>
              <w:t>330,284,694.00</w:t>
            </w:r>
          </w:p>
        </w:tc>
        <w:tc>
          <w:tcPr>
            <w:tcW w:w="1428" w:type="dxa"/>
            <w:gridSpan w:val="2"/>
            <w:shd w:val="clear" w:color="000000" w:fill="auto"/>
            <w:vAlign w:val="center"/>
          </w:tcPr>
          <w:p w14:paraId="440BEDD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312,424,663.09</w:t>
            </w:r>
          </w:p>
        </w:tc>
        <w:tc>
          <w:tcPr>
            <w:tcW w:w="920" w:type="dxa"/>
            <w:gridSpan w:val="2"/>
            <w:shd w:val="clear" w:color="auto" w:fill="auto"/>
            <w:vAlign w:val="center"/>
          </w:tcPr>
          <w:p w14:paraId="18B03B5B"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94.59</w:t>
            </w:r>
          </w:p>
        </w:tc>
        <w:tc>
          <w:tcPr>
            <w:tcW w:w="3421" w:type="dxa"/>
            <w:shd w:val="clear" w:color="auto" w:fill="auto"/>
            <w:vAlign w:val="center"/>
          </w:tcPr>
          <w:p w14:paraId="3BE1DB44"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Anticipo a participaciones que fueron solicitados para poder cubrir obligaciones con personal por fin de año; debido a la pandemia, se pretende realizar una reclasificación entre cuentas, para utilizarlo en insumos para la población vulnerable; se realizaron obras cumpliendo con el programa establecido del periodo.</w:t>
            </w:r>
          </w:p>
        </w:tc>
      </w:tr>
      <w:tr w:rsidR="00712618" w:rsidRPr="00712618" w14:paraId="67151734" w14:textId="77777777" w:rsidTr="00CC276C">
        <w:trPr>
          <w:trHeight w:val="335"/>
          <w:jc w:val="center"/>
        </w:trPr>
        <w:tc>
          <w:tcPr>
            <w:tcW w:w="372" w:type="dxa"/>
            <w:vAlign w:val="center"/>
          </w:tcPr>
          <w:p w14:paraId="02E9BEBD"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54</w:t>
            </w:r>
          </w:p>
        </w:tc>
        <w:tc>
          <w:tcPr>
            <w:tcW w:w="1259" w:type="dxa"/>
            <w:gridSpan w:val="2"/>
            <w:shd w:val="clear" w:color="auto" w:fill="auto"/>
            <w:vAlign w:val="center"/>
          </w:tcPr>
          <w:p w14:paraId="5C46FA14"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Ayuntamiento del Municipio de Lázaro Cárdenas</w:t>
            </w:r>
          </w:p>
        </w:tc>
        <w:tc>
          <w:tcPr>
            <w:tcW w:w="1428" w:type="dxa"/>
            <w:gridSpan w:val="2"/>
            <w:shd w:val="clear" w:color="000000" w:fill="auto"/>
            <w:vAlign w:val="center"/>
          </w:tcPr>
          <w:p w14:paraId="29F4AB8F"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310,117,306.90</w:t>
            </w:r>
          </w:p>
        </w:tc>
        <w:tc>
          <w:tcPr>
            <w:tcW w:w="1428" w:type="dxa"/>
            <w:gridSpan w:val="2"/>
            <w:shd w:val="clear" w:color="000000" w:fill="auto"/>
            <w:vAlign w:val="center"/>
          </w:tcPr>
          <w:p w14:paraId="2A6652B6"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307,558,896.11</w:t>
            </w:r>
          </w:p>
        </w:tc>
        <w:tc>
          <w:tcPr>
            <w:tcW w:w="920" w:type="dxa"/>
            <w:gridSpan w:val="2"/>
            <w:shd w:val="clear" w:color="auto" w:fill="auto"/>
            <w:vAlign w:val="center"/>
          </w:tcPr>
          <w:p w14:paraId="327FC7B7"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99.18</w:t>
            </w:r>
          </w:p>
        </w:tc>
        <w:tc>
          <w:tcPr>
            <w:tcW w:w="3421" w:type="dxa"/>
            <w:shd w:val="clear" w:color="auto" w:fill="auto"/>
            <w:vAlign w:val="center"/>
          </w:tcPr>
          <w:p w14:paraId="6B1D88C6"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Se tuvo un gasto proporcional debido a la contratación del personal necesario para dar cumplimiento con las actividades propias de cada área, no teniendo de esta manera gastos excedentes, aun cuando se tuvo un incremento salarial al personal sindicalizado, por acuerdos en las condiciones generales del trabajo entre el Sindicato y el Municipio, y por la implementación de un programa emergente de trabajo temporal para la limpieza de carreteras en diversas poblaciones del Municipio, así como el pago de aguinaldos y primas vacacionales de acuerdo a la ley; se realizaron recorridos de vigilancia lo que generó consumo de combustibles a cargo de los elementos de seguridad </w:t>
            </w:r>
            <w:r w:rsidRPr="00712618">
              <w:rPr>
                <w:rFonts w:ascii="Arial" w:hAnsi="Arial" w:cs="Arial"/>
                <w:color w:val="000000"/>
                <w:sz w:val="14"/>
                <w:szCs w:val="14"/>
              </w:rPr>
              <w:lastRenderedPageBreak/>
              <w:t>pública, protección civil y bomberos;, para la atención en las diversas comunidades , así como por la vigilancia en las pasadas elecciones, ferias tradicionales y los recorridos por el conflicto existente entre los ejidatarios de Kantunilkin y el puerto de Chiquila con la Comisión Federal de Electricidad e por incendios suscitados en la Isla de Holbox; se tuvo un gasto equivalente al presupuesto aprobado y/o modificado debido a la implementación de estrategias para optimizar y reducir el gasto; se apoyó a la población más vulnerable que se vio afectada por diversas emergencias, mismas que se le entregó apoyos en especie como medicamentos, despensas cubriendo de esta manera con las necesidades de la población; no se adquirieron Bienes muebles, inmuebles e intangibles ya que los existentes se encuentran en buen estado debido al mantenimiento correctivo y preventivo adecuado; ajustes realizados por la federación y por la redistribución de recursos asignados a las partidas que lo conforman, para registrar las licitaciones de Obra Pública, mismas que fueron ejecutadas en su totalidad; los adeudos fiscales de ejercicios anteriores, los cuales durante el ejercicio 2022 no fueron ejecutados realizando una redistribución.</w:t>
            </w:r>
          </w:p>
        </w:tc>
      </w:tr>
      <w:tr w:rsidR="00712618" w:rsidRPr="00712618" w14:paraId="5864040A" w14:textId="77777777" w:rsidTr="00CC276C">
        <w:trPr>
          <w:trHeight w:val="690"/>
          <w:jc w:val="center"/>
        </w:trPr>
        <w:tc>
          <w:tcPr>
            <w:tcW w:w="372" w:type="dxa"/>
            <w:vAlign w:val="center"/>
          </w:tcPr>
          <w:p w14:paraId="2F2808B9"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55</w:t>
            </w:r>
          </w:p>
        </w:tc>
        <w:tc>
          <w:tcPr>
            <w:tcW w:w="1259" w:type="dxa"/>
            <w:gridSpan w:val="2"/>
            <w:shd w:val="clear" w:color="auto" w:fill="auto"/>
            <w:vAlign w:val="center"/>
          </w:tcPr>
          <w:p w14:paraId="2DE36B16"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Ayuntamiento del Municipio de Othón P. Blanco</w:t>
            </w:r>
          </w:p>
        </w:tc>
        <w:tc>
          <w:tcPr>
            <w:tcW w:w="1428" w:type="dxa"/>
            <w:gridSpan w:val="2"/>
            <w:shd w:val="clear" w:color="000000" w:fill="auto"/>
            <w:vAlign w:val="center"/>
          </w:tcPr>
          <w:p w14:paraId="0890089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1,033,165,968.44</w:t>
            </w:r>
          </w:p>
        </w:tc>
        <w:tc>
          <w:tcPr>
            <w:tcW w:w="1428" w:type="dxa"/>
            <w:gridSpan w:val="2"/>
            <w:shd w:val="clear" w:color="000000" w:fill="auto"/>
            <w:vAlign w:val="center"/>
          </w:tcPr>
          <w:p w14:paraId="18A5EA96"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1,002,993,256.71</w:t>
            </w:r>
          </w:p>
        </w:tc>
        <w:tc>
          <w:tcPr>
            <w:tcW w:w="920" w:type="dxa"/>
            <w:gridSpan w:val="2"/>
            <w:shd w:val="clear" w:color="auto" w:fill="auto"/>
            <w:vAlign w:val="center"/>
          </w:tcPr>
          <w:p w14:paraId="302547A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97.08</w:t>
            </w:r>
          </w:p>
        </w:tc>
        <w:tc>
          <w:tcPr>
            <w:tcW w:w="3421" w:type="dxa"/>
            <w:shd w:val="clear" w:color="auto" w:fill="auto"/>
            <w:vAlign w:val="center"/>
          </w:tcPr>
          <w:p w14:paraId="213A65E7"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realizaron reducciones presupuestales por Remuneraciones al Personal de Carácter Permanente y Remuneraciones Adicionales y Especiales que no fueron devengados en el ejercicio; se devengó de menos en las partidas de Alimentos y Utensilios, y Productos Químicos, Farmacéuticos y de Laboratorio, Servicios de arrendamiento, Servicios Financieros, Bancarios y Comerciales, Servicios de Instalación, Reparación, Mantenimiento y Conservación, y Otros Servicios Generales, Ayudas Sociales, Mobiliario y Equipo Educacional y Recreativo; se devengó de menos en la deuda pública por Adeudos de Ejercicios Fiscales Anteriores”.</w:t>
            </w:r>
          </w:p>
        </w:tc>
      </w:tr>
      <w:tr w:rsidR="00712618" w:rsidRPr="00712618" w14:paraId="49BA6700" w14:textId="77777777" w:rsidTr="00CC276C">
        <w:trPr>
          <w:trHeight w:val="431"/>
          <w:jc w:val="center"/>
        </w:trPr>
        <w:tc>
          <w:tcPr>
            <w:tcW w:w="372" w:type="dxa"/>
            <w:vAlign w:val="center"/>
          </w:tcPr>
          <w:p w14:paraId="0FFBEB85"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56</w:t>
            </w:r>
          </w:p>
        </w:tc>
        <w:tc>
          <w:tcPr>
            <w:tcW w:w="1259" w:type="dxa"/>
            <w:gridSpan w:val="2"/>
            <w:shd w:val="clear" w:color="auto" w:fill="auto"/>
            <w:vAlign w:val="center"/>
          </w:tcPr>
          <w:p w14:paraId="4E8718C5"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Ayuntamiento del Municipio de Puerto Morelos</w:t>
            </w:r>
          </w:p>
        </w:tc>
        <w:tc>
          <w:tcPr>
            <w:tcW w:w="1428" w:type="dxa"/>
            <w:gridSpan w:val="2"/>
            <w:shd w:val="clear" w:color="000000" w:fill="auto"/>
            <w:vAlign w:val="center"/>
          </w:tcPr>
          <w:p w14:paraId="2FCE140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556,302,337.69</w:t>
            </w:r>
          </w:p>
        </w:tc>
        <w:tc>
          <w:tcPr>
            <w:tcW w:w="1428" w:type="dxa"/>
            <w:gridSpan w:val="2"/>
            <w:shd w:val="clear" w:color="000000" w:fill="auto"/>
            <w:vAlign w:val="center"/>
          </w:tcPr>
          <w:p w14:paraId="0FE3684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537,662,263.73</w:t>
            </w:r>
          </w:p>
        </w:tc>
        <w:tc>
          <w:tcPr>
            <w:tcW w:w="920" w:type="dxa"/>
            <w:gridSpan w:val="2"/>
            <w:shd w:val="clear" w:color="auto" w:fill="auto"/>
            <w:vAlign w:val="center"/>
          </w:tcPr>
          <w:p w14:paraId="2224187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96.65</w:t>
            </w:r>
          </w:p>
        </w:tc>
        <w:tc>
          <w:tcPr>
            <w:tcW w:w="3421" w:type="dxa"/>
            <w:shd w:val="clear" w:color="auto" w:fill="auto"/>
            <w:vAlign w:val="center"/>
          </w:tcPr>
          <w:p w14:paraId="5DCAD781"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pagaron otros conceptos como primas vacacionales y el aguinaldo 2022; se adquirió equipamiento para la Secretaria Municipal de Seguridad Publica y Transito con Recursos de FORTAMUN; se contempla el gasto de los diversos eventos cívicos y culturales; se registraron apoyos a la comunidad principalmente a deportista, artistas o por enfermedad; se realizó la adquisición de vehículos para la Secretaria Municipal de Seguridad Publica y Transito con Recursos de FORTAMUN; no se contrajo créditos bancarios o prestamos con terceros.</w:t>
            </w:r>
          </w:p>
        </w:tc>
      </w:tr>
      <w:tr w:rsidR="00712618" w:rsidRPr="00712618" w14:paraId="35E7E21B" w14:textId="77777777" w:rsidTr="00CC276C">
        <w:trPr>
          <w:trHeight w:val="690"/>
          <w:jc w:val="center"/>
        </w:trPr>
        <w:tc>
          <w:tcPr>
            <w:tcW w:w="372" w:type="dxa"/>
            <w:vAlign w:val="center"/>
          </w:tcPr>
          <w:p w14:paraId="0F0E3D80"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57</w:t>
            </w:r>
          </w:p>
        </w:tc>
        <w:tc>
          <w:tcPr>
            <w:tcW w:w="1259" w:type="dxa"/>
            <w:gridSpan w:val="2"/>
            <w:shd w:val="clear" w:color="auto" w:fill="auto"/>
            <w:vAlign w:val="center"/>
          </w:tcPr>
          <w:p w14:paraId="305A0A74"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Ayuntamiento del Municipio de Solidaridad</w:t>
            </w:r>
          </w:p>
        </w:tc>
        <w:tc>
          <w:tcPr>
            <w:tcW w:w="1428" w:type="dxa"/>
            <w:gridSpan w:val="2"/>
            <w:shd w:val="clear" w:color="000000" w:fill="auto"/>
            <w:vAlign w:val="center"/>
          </w:tcPr>
          <w:p w14:paraId="094FCB6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3,585,483,971.22</w:t>
            </w:r>
          </w:p>
        </w:tc>
        <w:tc>
          <w:tcPr>
            <w:tcW w:w="1428" w:type="dxa"/>
            <w:gridSpan w:val="2"/>
            <w:shd w:val="clear" w:color="000000" w:fill="auto"/>
            <w:vAlign w:val="center"/>
          </w:tcPr>
          <w:p w14:paraId="553AD7ED"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3,243,691,436.95</w:t>
            </w:r>
          </w:p>
        </w:tc>
        <w:tc>
          <w:tcPr>
            <w:tcW w:w="920" w:type="dxa"/>
            <w:gridSpan w:val="2"/>
            <w:shd w:val="clear" w:color="auto" w:fill="auto"/>
            <w:vAlign w:val="center"/>
          </w:tcPr>
          <w:p w14:paraId="4D7A9110"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90.47</w:t>
            </w:r>
          </w:p>
        </w:tc>
        <w:tc>
          <w:tcPr>
            <w:tcW w:w="3421" w:type="dxa"/>
            <w:shd w:val="clear" w:color="auto" w:fill="auto"/>
            <w:vAlign w:val="center"/>
          </w:tcPr>
          <w:p w14:paraId="721BF737"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Se aplica el presupuesto de la nómina conforme a lo autorizado, obedece a la afectación programada del gasto. La variación entre el modificado y el menor devengo responde al resultado de aplicar medidas de austeridad y maximizar las funciones de los colaboradores; arrendamientos de patrullas, motopatrullas, arrendamiento de caninos, arrendamiento de camiones compactadores de basura así como su servicio de mantenimiento a toda la flotilla vehicular de servicios públicos dentro de los más representativos, se realizaron gastos de operación de los Institutos de la Mujer, Deporte, Juventud, Cultura y DIF, así como apoyos a la ciudadanía; se cubrieron necesidades de aire acondicionado y equipo de cómputo y mobiliario a </w:t>
            </w:r>
            <w:r w:rsidRPr="00712618">
              <w:rPr>
                <w:rFonts w:ascii="Arial" w:hAnsi="Arial" w:cs="Arial"/>
                <w:color w:val="000000"/>
                <w:sz w:val="14"/>
                <w:szCs w:val="14"/>
              </w:rPr>
              <w:lastRenderedPageBreak/>
              <w:t>diferentes áreas. Así como autobús y maquinaria para limpieza, como tractocamiones, minicargadores y volquetes; el menor devengo responde medidas de austeridad tomadas con la finalidad de mantener el balance presupuestal; se han generado anticipos de obras y acciones y a la fecha no se ve reflejado la afectación presupuestal al gasto. La variación entre el modificado y el menor devengo responde recursos no devengados por obras no comprometidas presupuestalmente al cierre del ejercicio; el fondo de contingencia que no fue necesario su aplicación; variaciones en las tasas de interés y a las calificaciones aplicadas durante el ejercicio fiscal.</w:t>
            </w:r>
          </w:p>
        </w:tc>
      </w:tr>
      <w:tr w:rsidR="00712618" w:rsidRPr="00712618" w14:paraId="2695D31A" w14:textId="77777777" w:rsidTr="00CC276C">
        <w:trPr>
          <w:trHeight w:val="690"/>
          <w:jc w:val="center"/>
        </w:trPr>
        <w:tc>
          <w:tcPr>
            <w:tcW w:w="372" w:type="dxa"/>
            <w:vAlign w:val="center"/>
          </w:tcPr>
          <w:p w14:paraId="1BD9F9A8"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58</w:t>
            </w:r>
          </w:p>
        </w:tc>
        <w:tc>
          <w:tcPr>
            <w:tcW w:w="1259" w:type="dxa"/>
            <w:gridSpan w:val="2"/>
            <w:shd w:val="clear" w:color="auto" w:fill="auto"/>
            <w:vAlign w:val="center"/>
          </w:tcPr>
          <w:p w14:paraId="144B5F53"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Ayuntamiento del Municipio de Tulum</w:t>
            </w:r>
          </w:p>
        </w:tc>
        <w:tc>
          <w:tcPr>
            <w:tcW w:w="1428" w:type="dxa"/>
            <w:gridSpan w:val="2"/>
            <w:shd w:val="clear" w:color="000000" w:fill="auto"/>
            <w:vAlign w:val="center"/>
          </w:tcPr>
          <w:p w14:paraId="2A94BCF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981,243,130.34</w:t>
            </w:r>
          </w:p>
        </w:tc>
        <w:tc>
          <w:tcPr>
            <w:tcW w:w="1428" w:type="dxa"/>
            <w:gridSpan w:val="2"/>
            <w:shd w:val="clear" w:color="000000" w:fill="auto"/>
            <w:vAlign w:val="center"/>
          </w:tcPr>
          <w:p w14:paraId="2721D99F"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976,343,103.24</w:t>
            </w:r>
          </w:p>
        </w:tc>
        <w:tc>
          <w:tcPr>
            <w:tcW w:w="920" w:type="dxa"/>
            <w:gridSpan w:val="2"/>
            <w:shd w:val="clear" w:color="auto" w:fill="auto"/>
            <w:vAlign w:val="center"/>
          </w:tcPr>
          <w:p w14:paraId="58A681B3"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99.50</w:t>
            </w:r>
          </w:p>
        </w:tc>
        <w:tc>
          <w:tcPr>
            <w:tcW w:w="3421" w:type="dxa"/>
            <w:shd w:val="clear" w:color="auto" w:fill="auto"/>
            <w:vAlign w:val="center"/>
          </w:tcPr>
          <w:p w14:paraId="06CAA12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Disminuyeron las adquisiciones en el material de administración, material y artículos de construcción ya que cada dirección o entidad se programó con el material necesario para cumplir con sus actividades, en lo que se refiere a: alumbrado público, compra de material eléctrico, medicamentos para casas salud en las delegaciones de la zona maya, papelería, insumos, combustible, refacciones y accesorios, material de limpieza</w:t>
            </w:r>
            <w:r w:rsidR="001376C7">
              <w:rPr>
                <w:rFonts w:ascii="Arial" w:hAnsi="Arial" w:cs="Arial"/>
                <w:color w:val="000000"/>
                <w:sz w:val="14"/>
                <w:szCs w:val="14"/>
              </w:rPr>
              <w:t xml:space="preserve"> </w:t>
            </w:r>
            <w:r w:rsidRPr="00712618">
              <w:rPr>
                <w:rFonts w:ascii="Arial" w:hAnsi="Arial" w:cs="Arial"/>
                <w:color w:val="000000"/>
                <w:sz w:val="14"/>
                <w:szCs w:val="14"/>
              </w:rPr>
              <w:t>y herramientas menores; disminuyeron los gastos de los servicios básicos, arrendamiento, profesionales, comunicación social, viáticos, instalación y reparación; se redujeron las adquisiciones de bienes muebles, inmuebles e intangibles como son mobiliario, equipo de administración, maquinaria, otros equipos y herramientas; no se licitó en su totalidad los recursos de inversiones públicas</w:t>
            </w:r>
          </w:p>
        </w:tc>
      </w:tr>
      <w:tr w:rsidR="00712618" w:rsidRPr="00712618" w14:paraId="3F86CBFF" w14:textId="77777777" w:rsidTr="00CC276C">
        <w:trPr>
          <w:trHeight w:val="680"/>
          <w:jc w:val="center"/>
        </w:trPr>
        <w:tc>
          <w:tcPr>
            <w:tcW w:w="8828" w:type="dxa"/>
            <w:gridSpan w:val="10"/>
            <w:shd w:val="clear" w:color="auto" w:fill="9E9142"/>
            <w:vAlign w:val="center"/>
          </w:tcPr>
          <w:p w14:paraId="5CD0562C" w14:textId="77777777" w:rsidR="00712618" w:rsidRPr="00712618" w:rsidRDefault="00712618" w:rsidP="00712618">
            <w:pPr>
              <w:spacing w:before="120" w:after="120"/>
              <w:jc w:val="center"/>
              <w:rPr>
                <w:rFonts w:ascii="Arial" w:hAnsi="Arial" w:cs="Arial"/>
                <w:sz w:val="14"/>
                <w:szCs w:val="14"/>
              </w:rPr>
            </w:pPr>
            <w:r w:rsidRPr="00712618">
              <w:rPr>
                <w:rFonts w:ascii="Arial" w:hAnsi="Arial" w:cs="Arial"/>
                <w:b/>
                <w:color w:val="FFFFFF" w:themeColor="background1"/>
                <w:sz w:val="14"/>
                <w:szCs w:val="14"/>
              </w:rPr>
              <w:t>ENTIDADES PARAMUNICIPALES</w:t>
            </w:r>
          </w:p>
        </w:tc>
      </w:tr>
      <w:tr w:rsidR="00712618" w:rsidRPr="00712618" w14:paraId="020B1BB2" w14:textId="77777777" w:rsidTr="00CC276C">
        <w:trPr>
          <w:trHeight w:val="690"/>
          <w:jc w:val="center"/>
        </w:trPr>
        <w:tc>
          <w:tcPr>
            <w:tcW w:w="372" w:type="dxa"/>
            <w:vAlign w:val="center"/>
          </w:tcPr>
          <w:p w14:paraId="314CD2B3"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59</w:t>
            </w:r>
          </w:p>
        </w:tc>
        <w:tc>
          <w:tcPr>
            <w:tcW w:w="1259" w:type="dxa"/>
            <w:gridSpan w:val="2"/>
            <w:shd w:val="clear" w:color="auto" w:fill="auto"/>
            <w:vAlign w:val="center"/>
          </w:tcPr>
          <w:p w14:paraId="6B3BE76E"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Asociación de Futbol Pioneros, A.C.</w:t>
            </w:r>
          </w:p>
        </w:tc>
        <w:tc>
          <w:tcPr>
            <w:tcW w:w="1428" w:type="dxa"/>
            <w:gridSpan w:val="2"/>
            <w:shd w:val="clear" w:color="auto" w:fill="auto"/>
            <w:vAlign w:val="center"/>
          </w:tcPr>
          <w:p w14:paraId="742A4EF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10,632,438.00</w:t>
            </w:r>
          </w:p>
        </w:tc>
        <w:tc>
          <w:tcPr>
            <w:tcW w:w="1428" w:type="dxa"/>
            <w:gridSpan w:val="2"/>
            <w:shd w:val="clear" w:color="auto" w:fill="auto"/>
            <w:vAlign w:val="center"/>
          </w:tcPr>
          <w:p w14:paraId="162411B4"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10,631,375.36</w:t>
            </w:r>
          </w:p>
        </w:tc>
        <w:tc>
          <w:tcPr>
            <w:tcW w:w="920" w:type="dxa"/>
            <w:gridSpan w:val="2"/>
            <w:shd w:val="clear" w:color="auto" w:fill="auto"/>
            <w:vAlign w:val="center"/>
          </w:tcPr>
          <w:p w14:paraId="00C7F43F"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99.99</w:t>
            </w:r>
          </w:p>
        </w:tc>
        <w:tc>
          <w:tcPr>
            <w:tcW w:w="3421" w:type="dxa"/>
            <w:shd w:val="clear" w:color="auto" w:fill="auto"/>
            <w:vAlign w:val="center"/>
          </w:tcPr>
          <w:p w14:paraId="11F1BDCD"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 variación corresponde al remanente del ejercicio 2022”.</w:t>
            </w:r>
          </w:p>
        </w:tc>
      </w:tr>
      <w:tr w:rsidR="00712618" w:rsidRPr="00712618" w14:paraId="58036AE0" w14:textId="77777777" w:rsidTr="00CC276C">
        <w:trPr>
          <w:trHeight w:val="349"/>
          <w:jc w:val="center"/>
        </w:trPr>
        <w:tc>
          <w:tcPr>
            <w:tcW w:w="372" w:type="dxa"/>
            <w:vAlign w:val="center"/>
          </w:tcPr>
          <w:p w14:paraId="7F323FCF"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60</w:t>
            </w:r>
          </w:p>
        </w:tc>
        <w:tc>
          <w:tcPr>
            <w:tcW w:w="1259" w:type="dxa"/>
            <w:gridSpan w:val="2"/>
            <w:shd w:val="clear" w:color="auto" w:fill="auto"/>
            <w:vAlign w:val="center"/>
          </w:tcPr>
          <w:p w14:paraId="45C6DCFA"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de la Cultura y las Artes del Municipio de Benito Juárez</w:t>
            </w:r>
          </w:p>
        </w:tc>
        <w:tc>
          <w:tcPr>
            <w:tcW w:w="1428" w:type="dxa"/>
            <w:gridSpan w:val="2"/>
            <w:shd w:val="clear" w:color="auto" w:fill="auto"/>
            <w:vAlign w:val="center"/>
          </w:tcPr>
          <w:p w14:paraId="791843D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19,313,949.62</w:t>
            </w:r>
          </w:p>
        </w:tc>
        <w:tc>
          <w:tcPr>
            <w:tcW w:w="1428" w:type="dxa"/>
            <w:gridSpan w:val="2"/>
            <w:shd w:val="clear" w:color="auto" w:fill="auto"/>
            <w:vAlign w:val="center"/>
          </w:tcPr>
          <w:p w14:paraId="32EFE4A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10,793,703.51</w:t>
            </w:r>
          </w:p>
        </w:tc>
        <w:tc>
          <w:tcPr>
            <w:tcW w:w="920" w:type="dxa"/>
            <w:gridSpan w:val="2"/>
            <w:shd w:val="clear" w:color="auto" w:fill="auto"/>
            <w:vAlign w:val="center"/>
          </w:tcPr>
          <w:p w14:paraId="3823A838"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55.89</w:t>
            </w:r>
          </w:p>
        </w:tc>
        <w:tc>
          <w:tcPr>
            <w:tcW w:w="3421" w:type="dxa"/>
            <w:shd w:val="clear" w:color="auto" w:fill="auto"/>
            <w:vAlign w:val="center"/>
          </w:tcPr>
          <w:p w14:paraId="4AF9461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Disminución de las actividades que se habían programado en el trimestre y se contrató menos de los solicitado y aprobado; se realizaron menos adquisiciones por la suspensión de actividades; no se podía celebrar eventos por la falta de ministración de recursos;</w:t>
            </w:r>
            <w:r w:rsidRPr="00712618">
              <w:rPr>
                <w:rFonts w:ascii="Arial" w:hAnsi="Arial" w:cs="Arial"/>
                <w:b/>
                <w:color w:val="000000"/>
                <w:sz w:val="14"/>
                <w:szCs w:val="14"/>
              </w:rPr>
              <w:t xml:space="preserve"> </w:t>
            </w:r>
            <w:r w:rsidRPr="00712618">
              <w:rPr>
                <w:rFonts w:ascii="Arial" w:hAnsi="Arial" w:cs="Arial"/>
                <w:color w:val="000000"/>
                <w:sz w:val="14"/>
                <w:szCs w:val="14"/>
              </w:rPr>
              <w:t>se presupuestó para actividades en conjunto de carnaval el cual se encuentra suspendido.</w:t>
            </w:r>
          </w:p>
        </w:tc>
      </w:tr>
      <w:tr w:rsidR="00712618" w:rsidRPr="00712618" w14:paraId="6701AA42" w14:textId="77777777" w:rsidTr="00CC276C">
        <w:trPr>
          <w:trHeight w:val="431"/>
          <w:jc w:val="center"/>
        </w:trPr>
        <w:tc>
          <w:tcPr>
            <w:tcW w:w="372" w:type="dxa"/>
            <w:vAlign w:val="center"/>
          </w:tcPr>
          <w:p w14:paraId="1627F0E3"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61</w:t>
            </w:r>
          </w:p>
        </w:tc>
        <w:tc>
          <w:tcPr>
            <w:tcW w:w="1259" w:type="dxa"/>
            <w:gridSpan w:val="2"/>
            <w:shd w:val="clear" w:color="auto" w:fill="auto"/>
            <w:vAlign w:val="center"/>
          </w:tcPr>
          <w:p w14:paraId="15510251"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de la Juventud del Municipio de Solidaridad</w:t>
            </w:r>
          </w:p>
        </w:tc>
        <w:tc>
          <w:tcPr>
            <w:tcW w:w="1428" w:type="dxa"/>
            <w:gridSpan w:val="2"/>
            <w:shd w:val="clear" w:color="auto" w:fill="auto"/>
            <w:vAlign w:val="center"/>
          </w:tcPr>
          <w:p w14:paraId="5FD2ACB3"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9,071,259.00</w:t>
            </w:r>
          </w:p>
        </w:tc>
        <w:tc>
          <w:tcPr>
            <w:tcW w:w="1428" w:type="dxa"/>
            <w:gridSpan w:val="2"/>
            <w:shd w:val="clear" w:color="auto" w:fill="auto"/>
            <w:vAlign w:val="center"/>
          </w:tcPr>
          <w:p w14:paraId="30382F9C"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8,850,505.27</w:t>
            </w:r>
          </w:p>
        </w:tc>
        <w:tc>
          <w:tcPr>
            <w:tcW w:w="920" w:type="dxa"/>
            <w:gridSpan w:val="2"/>
            <w:shd w:val="clear" w:color="auto" w:fill="auto"/>
            <w:vAlign w:val="center"/>
          </w:tcPr>
          <w:p w14:paraId="768752AE"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97.57</w:t>
            </w:r>
          </w:p>
        </w:tc>
        <w:tc>
          <w:tcPr>
            <w:tcW w:w="3421" w:type="dxa"/>
            <w:shd w:val="clear" w:color="auto" w:fill="auto"/>
            <w:vAlign w:val="center"/>
          </w:tcPr>
          <w:p w14:paraId="407BC357"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realizaron ahorros en las cuentas de vestuario, blancos y prendas de protección, así como herramientas, refacciones y accesorios, servicios de comunicación social,</w:t>
            </w:r>
            <w:r w:rsidR="001376C7">
              <w:rPr>
                <w:rFonts w:ascii="Arial" w:hAnsi="Arial" w:cs="Arial"/>
                <w:color w:val="000000"/>
                <w:sz w:val="14"/>
                <w:szCs w:val="14"/>
              </w:rPr>
              <w:t xml:space="preserve"> </w:t>
            </w:r>
            <w:r w:rsidRPr="00712618">
              <w:rPr>
                <w:rFonts w:ascii="Arial" w:hAnsi="Arial" w:cs="Arial"/>
                <w:color w:val="000000"/>
                <w:sz w:val="14"/>
                <w:szCs w:val="14"/>
              </w:rPr>
              <w:t>ayudas sociales.</w:t>
            </w:r>
          </w:p>
        </w:tc>
      </w:tr>
      <w:tr w:rsidR="00712618" w:rsidRPr="00712618" w14:paraId="69AA2941" w14:textId="77777777" w:rsidTr="00CC276C">
        <w:trPr>
          <w:trHeight w:val="347"/>
          <w:jc w:val="center"/>
        </w:trPr>
        <w:tc>
          <w:tcPr>
            <w:tcW w:w="372" w:type="dxa"/>
            <w:vAlign w:val="center"/>
          </w:tcPr>
          <w:p w14:paraId="45ED9505"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62</w:t>
            </w:r>
          </w:p>
        </w:tc>
        <w:tc>
          <w:tcPr>
            <w:tcW w:w="1259" w:type="dxa"/>
            <w:gridSpan w:val="2"/>
            <w:shd w:val="clear" w:color="auto" w:fill="auto"/>
            <w:vAlign w:val="center"/>
          </w:tcPr>
          <w:p w14:paraId="467AC200"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de las Mujeres del Municipio de Solidaridad</w:t>
            </w:r>
          </w:p>
        </w:tc>
        <w:tc>
          <w:tcPr>
            <w:tcW w:w="1428" w:type="dxa"/>
            <w:gridSpan w:val="2"/>
            <w:shd w:val="clear" w:color="auto" w:fill="auto"/>
            <w:vAlign w:val="center"/>
          </w:tcPr>
          <w:p w14:paraId="6E71440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12,367,822.07</w:t>
            </w:r>
          </w:p>
        </w:tc>
        <w:tc>
          <w:tcPr>
            <w:tcW w:w="1428" w:type="dxa"/>
            <w:gridSpan w:val="2"/>
            <w:shd w:val="clear" w:color="auto" w:fill="auto"/>
            <w:vAlign w:val="center"/>
          </w:tcPr>
          <w:p w14:paraId="0A4BAC12"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10,287,374.29</w:t>
            </w:r>
          </w:p>
        </w:tc>
        <w:tc>
          <w:tcPr>
            <w:tcW w:w="920" w:type="dxa"/>
            <w:gridSpan w:val="2"/>
            <w:shd w:val="clear" w:color="auto" w:fill="auto"/>
            <w:vAlign w:val="center"/>
          </w:tcPr>
          <w:p w14:paraId="1414D4D5"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83.18</w:t>
            </w:r>
          </w:p>
        </w:tc>
        <w:tc>
          <w:tcPr>
            <w:tcW w:w="3421" w:type="dxa"/>
            <w:shd w:val="clear" w:color="auto" w:fill="auto"/>
            <w:vAlign w:val="center"/>
          </w:tcPr>
          <w:p w14:paraId="7E359BE2"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Contratación posterior del personal destinado a los módulos de atención inmediata denominados puntos violeta. Así mismo, durante del ejercicio 2022 se trasladó al personal del programa permanente denominado “GEAVIG" a la secretaria de seguridad pública durante la primera quincena de enero, traslado que se preveía al finalizar la 3ra quincena de febrero por lo que se generó un no ejercido; cursos de emprendimiento no llevados a cabo; previsiones inexactas en tema de mantenimiento y compras de refacciones; elaboración de convenios de colaboración y consecución de conferencias de capacitación gratuitas que se trabajaron durante todo el ejercicio </w:t>
            </w:r>
            <w:r w:rsidRPr="00712618">
              <w:rPr>
                <w:rFonts w:ascii="Arial" w:hAnsi="Arial" w:cs="Arial"/>
                <w:color w:val="000000"/>
                <w:sz w:val="14"/>
                <w:szCs w:val="14"/>
              </w:rPr>
              <w:lastRenderedPageBreak/>
              <w:t>2022, cursos de emprendimiento no llevados a cabo, debido a que no se localizaron profesores especializados, negociaciones con proveedores de arrendamiento de copiadoras y controles internos aplicados al consumo de impresiones a color; reprogramación en la adquisición de equipo para la apertura de nuevos cursos de emprendimiento/empoderamiento, puesto que no se localizaron profesores con especialización en los cursos planeados y registrados en el padrón municipal.</w:t>
            </w:r>
          </w:p>
        </w:tc>
      </w:tr>
      <w:tr w:rsidR="00712618" w:rsidRPr="00712618" w14:paraId="6CE50DA5" w14:textId="77777777" w:rsidTr="00CC276C">
        <w:trPr>
          <w:trHeight w:val="568"/>
          <w:jc w:val="center"/>
        </w:trPr>
        <w:tc>
          <w:tcPr>
            <w:tcW w:w="372" w:type="dxa"/>
            <w:vAlign w:val="center"/>
          </w:tcPr>
          <w:p w14:paraId="3FFDA211"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63</w:t>
            </w:r>
          </w:p>
        </w:tc>
        <w:tc>
          <w:tcPr>
            <w:tcW w:w="1259" w:type="dxa"/>
            <w:gridSpan w:val="2"/>
            <w:shd w:val="clear" w:color="auto" w:fill="auto"/>
            <w:vAlign w:val="center"/>
          </w:tcPr>
          <w:p w14:paraId="003F3EE5"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de Planeación para el Desarrollo Urbano del Municipio de Benito Juárez</w:t>
            </w:r>
          </w:p>
        </w:tc>
        <w:tc>
          <w:tcPr>
            <w:tcW w:w="1428" w:type="dxa"/>
            <w:gridSpan w:val="2"/>
            <w:shd w:val="clear" w:color="auto" w:fill="auto"/>
            <w:vAlign w:val="center"/>
          </w:tcPr>
          <w:p w14:paraId="155C8D11"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2,522,572.55</w:t>
            </w:r>
          </w:p>
        </w:tc>
        <w:tc>
          <w:tcPr>
            <w:tcW w:w="1428" w:type="dxa"/>
            <w:gridSpan w:val="2"/>
            <w:shd w:val="clear" w:color="auto" w:fill="auto"/>
            <w:vAlign w:val="center"/>
          </w:tcPr>
          <w:p w14:paraId="1A9C8FA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1,983,495.59</w:t>
            </w:r>
          </w:p>
        </w:tc>
        <w:tc>
          <w:tcPr>
            <w:tcW w:w="920" w:type="dxa"/>
            <w:gridSpan w:val="2"/>
            <w:shd w:val="clear" w:color="auto" w:fill="auto"/>
            <w:vAlign w:val="center"/>
          </w:tcPr>
          <w:p w14:paraId="033FF702"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78.63</w:t>
            </w:r>
          </w:p>
        </w:tc>
        <w:tc>
          <w:tcPr>
            <w:tcW w:w="3421" w:type="dxa"/>
            <w:shd w:val="clear" w:color="auto" w:fill="auto"/>
            <w:vAlign w:val="center"/>
          </w:tcPr>
          <w:p w14:paraId="47F3BEA1"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cuenta con un remanente del Ejercicio Fiscal 2021; Las principales erogaciones corresponden a la adquisición de requerimientos para el funcionamiento del Instituto como son: papelería tintas y tóners, combustible, suministros para reuniones de trabajo, artículos de limpieza, energía eléctrica, servicio de agua potable, teléfono, capacitación del personal, seguros de vehículos, auditoria del último trimestre 2021 por despacho externo, el primer pago para la edición editorial del Programa de Desarrollo Urbano del Centro de Población Cancún 2022.</w:t>
            </w:r>
          </w:p>
        </w:tc>
      </w:tr>
      <w:tr w:rsidR="00712618" w:rsidRPr="00712618" w14:paraId="089D10D7" w14:textId="77777777" w:rsidTr="00CC276C">
        <w:trPr>
          <w:trHeight w:val="690"/>
          <w:jc w:val="center"/>
        </w:trPr>
        <w:tc>
          <w:tcPr>
            <w:tcW w:w="372" w:type="dxa"/>
            <w:vAlign w:val="center"/>
          </w:tcPr>
          <w:p w14:paraId="2A497039"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64</w:t>
            </w:r>
          </w:p>
        </w:tc>
        <w:tc>
          <w:tcPr>
            <w:tcW w:w="1259" w:type="dxa"/>
            <w:gridSpan w:val="2"/>
            <w:shd w:val="clear" w:color="auto" w:fill="auto"/>
            <w:vAlign w:val="center"/>
          </w:tcPr>
          <w:p w14:paraId="5E630928"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del Deporte del Municipio de Benito Juárez, Quintana Roo</w:t>
            </w:r>
          </w:p>
        </w:tc>
        <w:tc>
          <w:tcPr>
            <w:tcW w:w="1428" w:type="dxa"/>
            <w:gridSpan w:val="2"/>
            <w:shd w:val="clear" w:color="auto" w:fill="auto"/>
            <w:vAlign w:val="center"/>
          </w:tcPr>
          <w:p w14:paraId="18632431"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12,187,134.58</w:t>
            </w:r>
          </w:p>
        </w:tc>
        <w:tc>
          <w:tcPr>
            <w:tcW w:w="1428" w:type="dxa"/>
            <w:gridSpan w:val="2"/>
            <w:shd w:val="clear" w:color="auto" w:fill="auto"/>
            <w:vAlign w:val="center"/>
          </w:tcPr>
          <w:p w14:paraId="2E702B6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10,329,321.21</w:t>
            </w:r>
          </w:p>
        </w:tc>
        <w:tc>
          <w:tcPr>
            <w:tcW w:w="920" w:type="dxa"/>
            <w:gridSpan w:val="2"/>
            <w:shd w:val="clear" w:color="auto" w:fill="auto"/>
            <w:vAlign w:val="center"/>
          </w:tcPr>
          <w:p w14:paraId="203E638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84.76</w:t>
            </w:r>
          </w:p>
        </w:tc>
        <w:tc>
          <w:tcPr>
            <w:tcW w:w="3421" w:type="dxa"/>
            <w:shd w:val="clear" w:color="auto" w:fill="auto"/>
            <w:vAlign w:val="center"/>
          </w:tcPr>
          <w:p w14:paraId="147C88E9"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recibieron tardíamente ministraciones de los meses de agosto, septiembre, octubre y noviembre en el mes de diciembre por lo que no dió tiempo de aplicar el presupuesto en la compra de materiales y suministros; solo se utilizó lo necesario para funcionamiento de la las instalaciones; se han otorgado apoyos menores a deportistas ya que no se recibió en tiempo las ministraciones; solo se a adquirió equipo de cómputo; no se hizo obra por el mismo tema de ministraciones pendientes de recibir.</w:t>
            </w:r>
          </w:p>
        </w:tc>
      </w:tr>
      <w:tr w:rsidR="00712618" w:rsidRPr="00712618" w14:paraId="77F6D6F3" w14:textId="77777777" w:rsidTr="00CC276C">
        <w:trPr>
          <w:trHeight w:val="690"/>
          <w:jc w:val="center"/>
        </w:trPr>
        <w:tc>
          <w:tcPr>
            <w:tcW w:w="372" w:type="dxa"/>
            <w:vAlign w:val="center"/>
          </w:tcPr>
          <w:p w14:paraId="0C9BB272"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65</w:t>
            </w:r>
          </w:p>
        </w:tc>
        <w:tc>
          <w:tcPr>
            <w:tcW w:w="1259" w:type="dxa"/>
            <w:gridSpan w:val="2"/>
            <w:shd w:val="clear" w:color="auto" w:fill="auto"/>
            <w:vAlign w:val="center"/>
          </w:tcPr>
          <w:p w14:paraId="4C196494"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del Deporte del Municipio de Solidaridad</w:t>
            </w:r>
          </w:p>
        </w:tc>
        <w:tc>
          <w:tcPr>
            <w:tcW w:w="1428" w:type="dxa"/>
            <w:gridSpan w:val="2"/>
            <w:shd w:val="clear" w:color="auto" w:fill="auto"/>
            <w:vAlign w:val="center"/>
          </w:tcPr>
          <w:p w14:paraId="05345F3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72,607,750.03</w:t>
            </w:r>
          </w:p>
        </w:tc>
        <w:tc>
          <w:tcPr>
            <w:tcW w:w="1428" w:type="dxa"/>
            <w:gridSpan w:val="2"/>
            <w:shd w:val="clear" w:color="auto" w:fill="auto"/>
            <w:vAlign w:val="center"/>
          </w:tcPr>
          <w:p w14:paraId="453514C6"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72,507,779.30</w:t>
            </w:r>
          </w:p>
        </w:tc>
        <w:tc>
          <w:tcPr>
            <w:tcW w:w="920" w:type="dxa"/>
            <w:gridSpan w:val="2"/>
            <w:shd w:val="clear" w:color="auto" w:fill="auto"/>
            <w:vAlign w:val="center"/>
          </w:tcPr>
          <w:p w14:paraId="206AC354"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99.86</w:t>
            </w:r>
          </w:p>
        </w:tc>
        <w:tc>
          <w:tcPr>
            <w:tcW w:w="3421" w:type="dxa"/>
            <w:shd w:val="clear" w:color="auto" w:fill="auto"/>
            <w:vAlign w:val="center"/>
          </w:tcPr>
          <w:p w14:paraId="3AD4275C"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generaron distintos ahorros durante el Ejercicio Fiscal 2022; búsqueda de proveedores con precios competitivos y menores se obtuvo un ahorro presupuestario; las solicitudes de apoyo fueron atendidas en total correspondencia al tipo de solicitud y persona que lo requería, por lo que muchas veces de lo solicitado se podía otorgar el 100% o un porcentaje diferente.</w:t>
            </w:r>
          </w:p>
        </w:tc>
      </w:tr>
      <w:tr w:rsidR="00712618" w:rsidRPr="00712618" w14:paraId="4B3CA6CB" w14:textId="77777777" w:rsidTr="00CC276C">
        <w:trPr>
          <w:trHeight w:val="573"/>
          <w:jc w:val="center"/>
        </w:trPr>
        <w:tc>
          <w:tcPr>
            <w:tcW w:w="372" w:type="dxa"/>
            <w:vAlign w:val="center"/>
          </w:tcPr>
          <w:p w14:paraId="53A12302"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66</w:t>
            </w:r>
          </w:p>
        </w:tc>
        <w:tc>
          <w:tcPr>
            <w:tcW w:w="1259" w:type="dxa"/>
            <w:gridSpan w:val="2"/>
            <w:shd w:val="clear" w:color="auto" w:fill="auto"/>
            <w:vAlign w:val="center"/>
          </w:tcPr>
          <w:p w14:paraId="67C8F1F2"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Municipal Contra las Adicciones de Benito Juárez</w:t>
            </w:r>
          </w:p>
        </w:tc>
        <w:tc>
          <w:tcPr>
            <w:tcW w:w="1428" w:type="dxa"/>
            <w:gridSpan w:val="2"/>
            <w:shd w:val="clear" w:color="auto" w:fill="auto"/>
            <w:vAlign w:val="center"/>
          </w:tcPr>
          <w:p w14:paraId="22F6B22C"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6,708,740.58</w:t>
            </w:r>
          </w:p>
        </w:tc>
        <w:tc>
          <w:tcPr>
            <w:tcW w:w="1428" w:type="dxa"/>
            <w:gridSpan w:val="2"/>
            <w:shd w:val="clear" w:color="auto" w:fill="auto"/>
            <w:vAlign w:val="center"/>
          </w:tcPr>
          <w:p w14:paraId="6D1E12F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6,348,439.34</w:t>
            </w:r>
          </w:p>
        </w:tc>
        <w:tc>
          <w:tcPr>
            <w:tcW w:w="920" w:type="dxa"/>
            <w:gridSpan w:val="2"/>
            <w:shd w:val="clear" w:color="auto" w:fill="auto"/>
            <w:vAlign w:val="center"/>
          </w:tcPr>
          <w:p w14:paraId="35CB0E9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94.63</w:t>
            </w:r>
          </w:p>
        </w:tc>
        <w:tc>
          <w:tcPr>
            <w:tcW w:w="3421" w:type="dxa"/>
            <w:shd w:val="clear" w:color="auto" w:fill="auto"/>
            <w:vAlign w:val="center"/>
          </w:tcPr>
          <w:p w14:paraId="49FB5D71"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Menor devengo propiciando un ahorro, en virtud que durante el período de noviembre se solicitó una ampliación al presupuesto mismo que fue dispersado; asimismo se refleja el remanente del 2021 que se consideró por economía como parte del presupuesto del 2022.</w:t>
            </w:r>
          </w:p>
        </w:tc>
      </w:tr>
      <w:tr w:rsidR="00712618" w:rsidRPr="00712618" w14:paraId="7B02F6A7" w14:textId="77777777" w:rsidTr="00CC276C">
        <w:trPr>
          <w:trHeight w:val="690"/>
          <w:jc w:val="center"/>
        </w:trPr>
        <w:tc>
          <w:tcPr>
            <w:tcW w:w="372" w:type="dxa"/>
            <w:vAlign w:val="center"/>
          </w:tcPr>
          <w:p w14:paraId="70D7A56A"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67</w:t>
            </w:r>
          </w:p>
        </w:tc>
        <w:tc>
          <w:tcPr>
            <w:tcW w:w="1259" w:type="dxa"/>
            <w:gridSpan w:val="2"/>
            <w:shd w:val="clear" w:color="auto" w:fill="auto"/>
            <w:vAlign w:val="center"/>
          </w:tcPr>
          <w:p w14:paraId="1BF1D463"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Municipal de Desarrollo Administrativo e Innovación de Benito Juárez</w:t>
            </w:r>
          </w:p>
        </w:tc>
        <w:tc>
          <w:tcPr>
            <w:tcW w:w="1428" w:type="dxa"/>
            <w:gridSpan w:val="2"/>
            <w:shd w:val="clear" w:color="auto" w:fill="auto"/>
            <w:vAlign w:val="center"/>
          </w:tcPr>
          <w:p w14:paraId="276D9DA0"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3,317,063.91</w:t>
            </w:r>
          </w:p>
        </w:tc>
        <w:tc>
          <w:tcPr>
            <w:tcW w:w="1428" w:type="dxa"/>
            <w:gridSpan w:val="2"/>
            <w:shd w:val="clear" w:color="auto" w:fill="auto"/>
            <w:vAlign w:val="center"/>
          </w:tcPr>
          <w:p w14:paraId="3344DDC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3,074,889.64</w:t>
            </w:r>
          </w:p>
        </w:tc>
        <w:tc>
          <w:tcPr>
            <w:tcW w:w="920" w:type="dxa"/>
            <w:gridSpan w:val="2"/>
            <w:shd w:val="clear" w:color="auto" w:fill="auto"/>
            <w:vAlign w:val="center"/>
          </w:tcPr>
          <w:p w14:paraId="73FD5FFA"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92.70</w:t>
            </w:r>
          </w:p>
        </w:tc>
        <w:tc>
          <w:tcPr>
            <w:tcW w:w="3421" w:type="dxa"/>
            <w:shd w:val="clear" w:color="auto" w:fill="auto"/>
            <w:vAlign w:val="center"/>
          </w:tcPr>
          <w:p w14:paraId="5A57F29A"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presupuestó un poco más por si existía horas extras a pagar; se deja un ahorro para los compromisos de carácter jurídico a inicios del siguiente año 2023.</w:t>
            </w:r>
          </w:p>
        </w:tc>
      </w:tr>
      <w:tr w:rsidR="00712618" w:rsidRPr="00712618" w14:paraId="4549BA07" w14:textId="77777777" w:rsidTr="00CC276C">
        <w:trPr>
          <w:trHeight w:val="193"/>
          <w:jc w:val="center"/>
        </w:trPr>
        <w:tc>
          <w:tcPr>
            <w:tcW w:w="372" w:type="dxa"/>
            <w:vAlign w:val="center"/>
          </w:tcPr>
          <w:p w14:paraId="3BBD5669"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68</w:t>
            </w:r>
          </w:p>
        </w:tc>
        <w:tc>
          <w:tcPr>
            <w:tcW w:w="1259" w:type="dxa"/>
            <w:gridSpan w:val="2"/>
            <w:shd w:val="clear" w:color="auto" w:fill="auto"/>
            <w:vAlign w:val="center"/>
          </w:tcPr>
          <w:p w14:paraId="69A8C9CB"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Municipal de la Cultura y las Artes de Solidaridad</w:t>
            </w:r>
          </w:p>
        </w:tc>
        <w:tc>
          <w:tcPr>
            <w:tcW w:w="1428" w:type="dxa"/>
            <w:gridSpan w:val="2"/>
            <w:shd w:val="clear" w:color="auto" w:fill="auto"/>
            <w:vAlign w:val="center"/>
          </w:tcPr>
          <w:p w14:paraId="0B524DD0"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23,374,739.65</w:t>
            </w:r>
          </w:p>
        </w:tc>
        <w:tc>
          <w:tcPr>
            <w:tcW w:w="1428" w:type="dxa"/>
            <w:gridSpan w:val="2"/>
            <w:shd w:val="clear" w:color="auto" w:fill="auto"/>
            <w:vAlign w:val="center"/>
          </w:tcPr>
          <w:p w14:paraId="6F7FC89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21,928,249.64</w:t>
            </w:r>
          </w:p>
        </w:tc>
        <w:tc>
          <w:tcPr>
            <w:tcW w:w="920" w:type="dxa"/>
            <w:gridSpan w:val="2"/>
            <w:shd w:val="clear" w:color="auto" w:fill="auto"/>
            <w:vAlign w:val="center"/>
          </w:tcPr>
          <w:p w14:paraId="143FA3F3"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93.81</w:t>
            </w:r>
          </w:p>
        </w:tc>
        <w:tc>
          <w:tcPr>
            <w:tcW w:w="3421" w:type="dxa"/>
            <w:shd w:val="clear" w:color="auto" w:fill="auto"/>
            <w:vAlign w:val="center"/>
          </w:tcPr>
          <w:p w14:paraId="6881593F"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 xml:space="preserve">Se llevaron a cabo pagos de finiquitos de personal que causo baja del Instituto; Se adquirieron materiales y suministros por clausura de fin de año de los talleres, talleres autosustentables, escuela EMIIA de bellavista, escuela puerto aventuras, así como los diferentes programas que llevaron actividades en el instituto y por la necesidad se adquirieron más materiales; mayor actividad y del cual se han requerido servicios, tales como el pago </w:t>
            </w:r>
            <w:r w:rsidRPr="00712618">
              <w:rPr>
                <w:rFonts w:ascii="Arial" w:hAnsi="Arial" w:cs="Arial"/>
                <w:color w:val="000000"/>
                <w:sz w:val="14"/>
                <w:szCs w:val="14"/>
              </w:rPr>
              <w:lastRenderedPageBreak/>
              <w:t>del sistema contable, así como el arrendamiento de maquinaria de impresión y los diversos servicios de agua, luz y mantenimiento de instalaciones; talleres autosustentables 70/30 que entraron en vigor de acuerdo a la aprobación en junta de gobierno, esto derivado de una demanda cultural por parte de la población; compra de activos fijos que fueron autorizados necesarios para la operatividad de las áreas que conforman el IMCAS, en específico es importante señalar que se adquirió equipo de audiovisual, necesario en el Teatro de la ciudad.</w:t>
            </w:r>
          </w:p>
        </w:tc>
      </w:tr>
      <w:tr w:rsidR="00712618" w:rsidRPr="00712618" w14:paraId="52C2C5AC" w14:textId="77777777" w:rsidTr="00CC276C">
        <w:trPr>
          <w:trHeight w:val="690"/>
          <w:jc w:val="center"/>
        </w:trPr>
        <w:tc>
          <w:tcPr>
            <w:tcW w:w="372" w:type="dxa"/>
            <w:vAlign w:val="center"/>
          </w:tcPr>
          <w:p w14:paraId="387266D9"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69</w:t>
            </w:r>
          </w:p>
        </w:tc>
        <w:tc>
          <w:tcPr>
            <w:tcW w:w="1259" w:type="dxa"/>
            <w:gridSpan w:val="2"/>
            <w:shd w:val="clear" w:color="auto" w:fill="auto"/>
            <w:vAlign w:val="center"/>
          </w:tcPr>
          <w:p w14:paraId="17E0778A"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Municipal de la Juventud de Benito Juárez</w:t>
            </w:r>
          </w:p>
        </w:tc>
        <w:tc>
          <w:tcPr>
            <w:tcW w:w="1428" w:type="dxa"/>
            <w:gridSpan w:val="2"/>
            <w:shd w:val="clear" w:color="auto" w:fill="auto"/>
            <w:vAlign w:val="center"/>
          </w:tcPr>
          <w:p w14:paraId="1956A168"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3,067,511.26</w:t>
            </w:r>
          </w:p>
        </w:tc>
        <w:tc>
          <w:tcPr>
            <w:tcW w:w="1428" w:type="dxa"/>
            <w:gridSpan w:val="2"/>
            <w:shd w:val="clear" w:color="auto" w:fill="auto"/>
            <w:vAlign w:val="center"/>
          </w:tcPr>
          <w:p w14:paraId="2B7AD612"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3,001,772.03</w:t>
            </w:r>
          </w:p>
        </w:tc>
        <w:tc>
          <w:tcPr>
            <w:tcW w:w="920" w:type="dxa"/>
            <w:gridSpan w:val="2"/>
            <w:shd w:val="clear" w:color="auto" w:fill="auto"/>
            <w:vAlign w:val="center"/>
          </w:tcPr>
          <w:p w14:paraId="2273285D"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97.86</w:t>
            </w:r>
          </w:p>
        </w:tc>
        <w:tc>
          <w:tcPr>
            <w:tcW w:w="3421" w:type="dxa"/>
            <w:shd w:val="clear" w:color="auto" w:fill="auto"/>
            <w:vAlign w:val="center"/>
          </w:tcPr>
          <w:p w14:paraId="36E037A0"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Pagos de cuotas patronales IMSS que se realizan a principios del siguiente ejercicio fiscal; Se realizaron compras necesarias para la operación del Instituto; realizaron ayudas sociales la cual no se tenía contemplada, por lo que se realizó un traspaso a este capítulo, es por eso que hay una variación.</w:t>
            </w:r>
          </w:p>
        </w:tc>
      </w:tr>
      <w:tr w:rsidR="00712618" w:rsidRPr="00712618" w14:paraId="70B19E33" w14:textId="77777777" w:rsidTr="00CC276C">
        <w:trPr>
          <w:trHeight w:val="690"/>
          <w:jc w:val="center"/>
        </w:trPr>
        <w:tc>
          <w:tcPr>
            <w:tcW w:w="372" w:type="dxa"/>
            <w:vAlign w:val="center"/>
          </w:tcPr>
          <w:p w14:paraId="15263B71"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70</w:t>
            </w:r>
          </w:p>
        </w:tc>
        <w:tc>
          <w:tcPr>
            <w:tcW w:w="1259" w:type="dxa"/>
            <w:gridSpan w:val="2"/>
            <w:shd w:val="clear" w:color="auto" w:fill="auto"/>
            <w:vAlign w:val="center"/>
          </w:tcPr>
          <w:p w14:paraId="76C31D5D"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Instituto Municipal de la Mujer de Benito Juárez</w:t>
            </w:r>
          </w:p>
        </w:tc>
        <w:tc>
          <w:tcPr>
            <w:tcW w:w="1428" w:type="dxa"/>
            <w:gridSpan w:val="2"/>
            <w:shd w:val="clear" w:color="auto" w:fill="auto"/>
            <w:vAlign w:val="center"/>
          </w:tcPr>
          <w:p w14:paraId="364A6548"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14,646,123.29</w:t>
            </w:r>
          </w:p>
        </w:tc>
        <w:tc>
          <w:tcPr>
            <w:tcW w:w="1428" w:type="dxa"/>
            <w:gridSpan w:val="2"/>
            <w:shd w:val="clear" w:color="auto" w:fill="auto"/>
            <w:vAlign w:val="center"/>
          </w:tcPr>
          <w:p w14:paraId="5F1C5598"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13,230,117.69</w:t>
            </w:r>
          </w:p>
        </w:tc>
        <w:tc>
          <w:tcPr>
            <w:tcW w:w="920" w:type="dxa"/>
            <w:gridSpan w:val="2"/>
            <w:shd w:val="clear" w:color="auto" w:fill="auto"/>
            <w:vAlign w:val="center"/>
          </w:tcPr>
          <w:p w14:paraId="5D0C8B4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90.33</w:t>
            </w:r>
          </w:p>
        </w:tc>
        <w:tc>
          <w:tcPr>
            <w:tcW w:w="3421" w:type="dxa"/>
            <w:shd w:val="clear" w:color="auto" w:fill="auto"/>
            <w:vAlign w:val="center"/>
          </w:tcPr>
          <w:p w14:paraId="4547DB37"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Incrementó debido a la demanda de atención de la ciudadanía con la apertura de los módulos de atención; no se rebasó la meta del presupuesto aprobado inicialmente; se tomó la decisión de que no se iba a comprar activo y se iba a incrementar la contratación de personal asimilado así como otros gastos debido a la apertura de un nuevo módulo de atención.</w:t>
            </w:r>
          </w:p>
        </w:tc>
      </w:tr>
      <w:tr w:rsidR="00712618" w:rsidRPr="00712618" w14:paraId="2591D491" w14:textId="77777777" w:rsidTr="00CC276C">
        <w:trPr>
          <w:trHeight w:val="690"/>
          <w:jc w:val="center"/>
        </w:trPr>
        <w:tc>
          <w:tcPr>
            <w:tcW w:w="372" w:type="dxa"/>
            <w:vAlign w:val="center"/>
          </w:tcPr>
          <w:p w14:paraId="690F06D5"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71</w:t>
            </w:r>
          </w:p>
        </w:tc>
        <w:tc>
          <w:tcPr>
            <w:tcW w:w="1259" w:type="dxa"/>
            <w:gridSpan w:val="2"/>
            <w:shd w:val="clear" w:color="auto" w:fill="auto"/>
            <w:vAlign w:val="center"/>
          </w:tcPr>
          <w:p w14:paraId="00860069"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Operadora y Administradora de Bienes Municipales S.A. de C.V.,</w:t>
            </w:r>
            <w:r w:rsidRPr="00712618">
              <w:rPr>
                <w:rFonts w:ascii="Arial" w:hAnsi="Arial" w:cs="Arial"/>
                <w:color w:val="000000"/>
                <w:sz w:val="14"/>
                <w:szCs w:val="14"/>
              </w:rPr>
              <w:tab/>
            </w:r>
          </w:p>
        </w:tc>
        <w:tc>
          <w:tcPr>
            <w:tcW w:w="1428" w:type="dxa"/>
            <w:gridSpan w:val="2"/>
            <w:shd w:val="clear" w:color="auto" w:fill="auto"/>
            <w:vAlign w:val="center"/>
          </w:tcPr>
          <w:p w14:paraId="2FCA6641"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24,150,665.00</w:t>
            </w:r>
          </w:p>
        </w:tc>
        <w:tc>
          <w:tcPr>
            <w:tcW w:w="1428" w:type="dxa"/>
            <w:gridSpan w:val="2"/>
            <w:shd w:val="clear" w:color="auto" w:fill="auto"/>
            <w:vAlign w:val="center"/>
          </w:tcPr>
          <w:p w14:paraId="02C1A89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14,054,133.36</w:t>
            </w:r>
          </w:p>
        </w:tc>
        <w:tc>
          <w:tcPr>
            <w:tcW w:w="920" w:type="dxa"/>
            <w:gridSpan w:val="2"/>
            <w:shd w:val="clear" w:color="auto" w:fill="auto"/>
            <w:vAlign w:val="center"/>
          </w:tcPr>
          <w:p w14:paraId="5A6DEAE2"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58.19</w:t>
            </w:r>
          </w:p>
        </w:tc>
        <w:tc>
          <w:tcPr>
            <w:tcW w:w="3421" w:type="dxa"/>
            <w:shd w:val="clear" w:color="auto" w:fill="auto"/>
            <w:vAlign w:val="center"/>
          </w:tcPr>
          <w:p w14:paraId="45D8B48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Las diferentes unidades de funeraria, panteón y rastro municipal existe la rotación de personal; compra de accesorios de funeraria, panteón y rastro municipal; compra de accesorios rastro municipal para la matanza de cerdo, res, ovino y marrana ya que se había presupuestado para un bien vehicular.</w:t>
            </w:r>
          </w:p>
        </w:tc>
      </w:tr>
      <w:tr w:rsidR="00712618" w:rsidRPr="00712618" w14:paraId="2086555D" w14:textId="77777777" w:rsidTr="00CC276C">
        <w:trPr>
          <w:trHeight w:val="690"/>
          <w:jc w:val="center"/>
        </w:trPr>
        <w:tc>
          <w:tcPr>
            <w:tcW w:w="372" w:type="dxa"/>
            <w:vAlign w:val="center"/>
          </w:tcPr>
          <w:p w14:paraId="66948362"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72</w:t>
            </w:r>
          </w:p>
        </w:tc>
        <w:tc>
          <w:tcPr>
            <w:tcW w:w="1259" w:type="dxa"/>
            <w:gridSpan w:val="2"/>
            <w:shd w:val="clear" w:color="auto" w:fill="auto"/>
            <w:vAlign w:val="center"/>
          </w:tcPr>
          <w:p w14:paraId="6A813618"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Radio Cultural Ayuntamiento de Benito Juárez</w:t>
            </w:r>
          </w:p>
        </w:tc>
        <w:tc>
          <w:tcPr>
            <w:tcW w:w="1428" w:type="dxa"/>
            <w:gridSpan w:val="2"/>
            <w:shd w:val="clear" w:color="auto" w:fill="auto"/>
            <w:vAlign w:val="center"/>
          </w:tcPr>
          <w:p w14:paraId="7A051B58"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2,937,706.41</w:t>
            </w:r>
          </w:p>
        </w:tc>
        <w:tc>
          <w:tcPr>
            <w:tcW w:w="1428" w:type="dxa"/>
            <w:gridSpan w:val="2"/>
            <w:shd w:val="clear" w:color="auto" w:fill="auto"/>
            <w:vAlign w:val="center"/>
          </w:tcPr>
          <w:p w14:paraId="30F6FD00"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2,101,695.99</w:t>
            </w:r>
          </w:p>
        </w:tc>
        <w:tc>
          <w:tcPr>
            <w:tcW w:w="920" w:type="dxa"/>
            <w:gridSpan w:val="2"/>
            <w:shd w:val="clear" w:color="auto" w:fill="auto"/>
            <w:vAlign w:val="center"/>
          </w:tcPr>
          <w:p w14:paraId="0E54B08F"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71.54</w:t>
            </w:r>
          </w:p>
        </w:tc>
        <w:tc>
          <w:tcPr>
            <w:tcW w:w="3421" w:type="dxa"/>
            <w:shd w:val="clear" w:color="auto" w:fill="auto"/>
            <w:vAlign w:val="center"/>
          </w:tcPr>
          <w:p w14:paraId="62062355"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No se ejecutó en: papelería; material impreso; materiales y artículos de construcción y limpieza; alimentos; productos químicos; combustible; vestuario; refacciones y accesorios menores. Así también se informa que se nos depositó lo del complemento de equipamiento del 2022; no se ejecutó en: telefonía celular; servicio de redes; servicio de consultoría y administrativo; mantenimiento menor de inmueble; servicio de limpieza, seguro de bienes pasaje terrestre; gastos de orden social; Impuestos; no se adquirieron como se contempló: muebles de oficina; equipo de cómputo; equipo de comunicación.</w:t>
            </w:r>
          </w:p>
        </w:tc>
      </w:tr>
      <w:tr w:rsidR="00712618" w:rsidRPr="00712618" w14:paraId="332F3BBB" w14:textId="77777777" w:rsidTr="00CC276C">
        <w:trPr>
          <w:trHeight w:val="690"/>
          <w:jc w:val="center"/>
        </w:trPr>
        <w:tc>
          <w:tcPr>
            <w:tcW w:w="372" w:type="dxa"/>
            <w:vAlign w:val="center"/>
          </w:tcPr>
          <w:p w14:paraId="5C859053" w14:textId="77777777" w:rsidR="00712618" w:rsidRPr="00712618" w:rsidRDefault="00712618" w:rsidP="00712618">
            <w:pPr>
              <w:adjustRightInd w:val="0"/>
              <w:spacing w:before="120" w:after="120"/>
              <w:jc w:val="both"/>
              <w:rPr>
                <w:rFonts w:ascii="Arial" w:hAnsi="Arial" w:cs="Arial"/>
                <w:color w:val="000000"/>
                <w:sz w:val="14"/>
                <w:szCs w:val="14"/>
              </w:rPr>
            </w:pPr>
          </w:p>
        </w:tc>
        <w:tc>
          <w:tcPr>
            <w:tcW w:w="1259" w:type="dxa"/>
            <w:gridSpan w:val="2"/>
            <w:shd w:val="clear" w:color="auto" w:fill="auto"/>
            <w:vAlign w:val="center"/>
          </w:tcPr>
          <w:p w14:paraId="0AFE9B32" w14:textId="77777777" w:rsidR="00712618" w:rsidRPr="00712618" w:rsidRDefault="00712618" w:rsidP="00712618">
            <w:pPr>
              <w:adjustRightInd w:val="0"/>
              <w:spacing w:before="120" w:after="120"/>
              <w:jc w:val="both"/>
              <w:rPr>
                <w:rFonts w:ascii="Arial" w:hAnsi="Arial" w:cs="Arial"/>
                <w:color w:val="000000"/>
                <w:sz w:val="14"/>
                <w:szCs w:val="14"/>
              </w:rPr>
            </w:pPr>
          </w:p>
        </w:tc>
        <w:tc>
          <w:tcPr>
            <w:tcW w:w="1428" w:type="dxa"/>
            <w:gridSpan w:val="2"/>
            <w:shd w:val="clear" w:color="auto" w:fill="auto"/>
            <w:vAlign w:val="center"/>
          </w:tcPr>
          <w:p w14:paraId="649474E0" w14:textId="77777777" w:rsidR="00712618" w:rsidRPr="00712618" w:rsidRDefault="00712618" w:rsidP="00712618">
            <w:pPr>
              <w:spacing w:before="120" w:after="120"/>
              <w:jc w:val="right"/>
              <w:rPr>
                <w:rFonts w:ascii="Arial" w:hAnsi="Arial" w:cs="Arial"/>
                <w:bCs/>
                <w:color w:val="000000"/>
                <w:sz w:val="14"/>
                <w:szCs w:val="14"/>
              </w:rPr>
            </w:pPr>
          </w:p>
        </w:tc>
        <w:tc>
          <w:tcPr>
            <w:tcW w:w="1428" w:type="dxa"/>
            <w:gridSpan w:val="2"/>
            <w:shd w:val="clear" w:color="auto" w:fill="auto"/>
            <w:vAlign w:val="center"/>
          </w:tcPr>
          <w:p w14:paraId="2E54998E" w14:textId="77777777" w:rsidR="00712618" w:rsidRPr="00712618" w:rsidRDefault="00712618" w:rsidP="00712618">
            <w:pPr>
              <w:spacing w:before="120" w:after="120"/>
              <w:jc w:val="right"/>
              <w:rPr>
                <w:rFonts w:ascii="Arial" w:hAnsi="Arial" w:cs="Arial"/>
                <w:bCs/>
                <w:color w:val="000000"/>
                <w:sz w:val="14"/>
                <w:szCs w:val="14"/>
              </w:rPr>
            </w:pPr>
          </w:p>
        </w:tc>
        <w:tc>
          <w:tcPr>
            <w:tcW w:w="920" w:type="dxa"/>
            <w:gridSpan w:val="2"/>
            <w:shd w:val="clear" w:color="auto" w:fill="auto"/>
            <w:vAlign w:val="center"/>
          </w:tcPr>
          <w:p w14:paraId="7E93B0CD" w14:textId="77777777" w:rsidR="00712618" w:rsidRPr="00712618" w:rsidRDefault="00712618" w:rsidP="00712618">
            <w:pPr>
              <w:spacing w:before="120" w:after="120"/>
              <w:jc w:val="center"/>
              <w:rPr>
                <w:rFonts w:ascii="Arial" w:hAnsi="Arial" w:cs="Arial"/>
                <w:color w:val="000000"/>
                <w:sz w:val="14"/>
                <w:szCs w:val="14"/>
              </w:rPr>
            </w:pPr>
          </w:p>
        </w:tc>
        <w:tc>
          <w:tcPr>
            <w:tcW w:w="3421" w:type="dxa"/>
            <w:shd w:val="clear" w:color="auto" w:fill="auto"/>
            <w:vAlign w:val="center"/>
          </w:tcPr>
          <w:p w14:paraId="02F2AEF9" w14:textId="77777777" w:rsidR="00712618" w:rsidRPr="00712618" w:rsidDel="00222FB7" w:rsidRDefault="00712618" w:rsidP="00712618">
            <w:pPr>
              <w:spacing w:before="120" w:after="120"/>
              <w:jc w:val="both"/>
              <w:rPr>
                <w:rFonts w:ascii="Arial" w:hAnsi="Arial" w:cs="Arial"/>
                <w:color w:val="000000"/>
                <w:sz w:val="14"/>
                <w:szCs w:val="14"/>
              </w:rPr>
            </w:pPr>
          </w:p>
        </w:tc>
      </w:tr>
      <w:tr w:rsidR="00712618" w:rsidRPr="00712618" w14:paraId="3DBD99BE" w14:textId="77777777" w:rsidTr="00CC276C">
        <w:trPr>
          <w:trHeight w:val="431"/>
          <w:jc w:val="center"/>
        </w:trPr>
        <w:tc>
          <w:tcPr>
            <w:tcW w:w="372" w:type="dxa"/>
            <w:vAlign w:val="center"/>
          </w:tcPr>
          <w:p w14:paraId="36135465"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73</w:t>
            </w:r>
          </w:p>
        </w:tc>
        <w:tc>
          <w:tcPr>
            <w:tcW w:w="1259" w:type="dxa"/>
            <w:gridSpan w:val="2"/>
            <w:shd w:val="clear" w:color="auto" w:fill="auto"/>
            <w:vAlign w:val="center"/>
          </w:tcPr>
          <w:p w14:paraId="1E9980E8"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Sistema para el Desarrollo Integral de la Familia del Municipio de Benito Juárez</w:t>
            </w:r>
          </w:p>
        </w:tc>
        <w:tc>
          <w:tcPr>
            <w:tcW w:w="1428" w:type="dxa"/>
            <w:gridSpan w:val="2"/>
            <w:shd w:val="clear" w:color="auto" w:fill="auto"/>
            <w:vAlign w:val="center"/>
          </w:tcPr>
          <w:p w14:paraId="01F31270"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40,792,889.61</w:t>
            </w:r>
          </w:p>
        </w:tc>
        <w:tc>
          <w:tcPr>
            <w:tcW w:w="1428" w:type="dxa"/>
            <w:gridSpan w:val="2"/>
            <w:shd w:val="clear" w:color="auto" w:fill="auto"/>
            <w:vAlign w:val="center"/>
          </w:tcPr>
          <w:p w14:paraId="6516F11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37,600,298.65</w:t>
            </w:r>
          </w:p>
        </w:tc>
        <w:tc>
          <w:tcPr>
            <w:tcW w:w="920" w:type="dxa"/>
            <w:gridSpan w:val="2"/>
            <w:shd w:val="clear" w:color="auto" w:fill="auto"/>
            <w:vAlign w:val="center"/>
          </w:tcPr>
          <w:p w14:paraId="3C2C8F46"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92.17</w:t>
            </w:r>
          </w:p>
        </w:tc>
        <w:tc>
          <w:tcPr>
            <w:tcW w:w="3421" w:type="dxa"/>
            <w:shd w:val="clear" w:color="auto" w:fill="auto"/>
            <w:vAlign w:val="center"/>
          </w:tcPr>
          <w:p w14:paraId="14814194"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lang w:val="es-ES_tradnl"/>
              </w:rPr>
              <w:t>Modificaciones presupuestales que se han realizado debido a</w:t>
            </w:r>
            <w:r w:rsidR="001376C7">
              <w:rPr>
                <w:rFonts w:ascii="Arial" w:hAnsi="Arial" w:cs="Arial"/>
                <w:color w:val="000000"/>
                <w:sz w:val="14"/>
                <w:szCs w:val="14"/>
                <w:lang w:val="es-ES_tradnl"/>
              </w:rPr>
              <w:t xml:space="preserve"> </w:t>
            </w:r>
            <w:r w:rsidRPr="00712618">
              <w:rPr>
                <w:rFonts w:ascii="Arial" w:hAnsi="Arial" w:cs="Arial"/>
                <w:color w:val="000000"/>
                <w:sz w:val="14"/>
                <w:szCs w:val="14"/>
                <w:lang w:val="es-ES_tradnl"/>
              </w:rPr>
              <w:t>la disminución</w:t>
            </w:r>
            <w:r w:rsidR="001376C7">
              <w:rPr>
                <w:rFonts w:ascii="Arial" w:hAnsi="Arial" w:cs="Arial"/>
                <w:color w:val="000000"/>
                <w:sz w:val="14"/>
                <w:szCs w:val="14"/>
                <w:lang w:val="es-ES_tradnl"/>
              </w:rPr>
              <w:t xml:space="preserve"> </w:t>
            </w:r>
            <w:r w:rsidRPr="00712618">
              <w:rPr>
                <w:rFonts w:ascii="Arial" w:hAnsi="Arial" w:cs="Arial"/>
                <w:color w:val="000000"/>
                <w:sz w:val="14"/>
                <w:szCs w:val="14"/>
                <w:lang w:val="es-ES_tradnl"/>
              </w:rPr>
              <w:t>de personal que se ha llevado a cabo por concepto de operatividad</w:t>
            </w:r>
            <w:r w:rsidR="001376C7">
              <w:rPr>
                <w:rFonts w:ascii="Arial" w:hAnsi="Arial" w:cs="Arial"/>
                <w:color w:val="000000"/>
                <w:sz w:val="14"/>
                <w:szCs w:val="14"/>
                <w:lang w:val="es-ES_tradnl"/>
              </w:rPr>
              <w:t xml:space="preserve"> </w:t>
            </w:r>
            <w:r w:rsidRPr="00712618">
              <w:rPr>
                <w:rFonts w:ascii="Arial" w:hAnsi="Arial" w:cs="Arial"/>
                <w:color w:val="000000"/>
                <w:sz w:val="14"/>
                <w:szCs w:val="14"/>
                <w:lang w:val="es-ES_tradnl"/>
              </w:rPr>
              <w:t xml:space="preserve">en las diferentes áreas del Sistema; </w:t>
            </w:r>
            <w:r w:rsidRPr="00712618">
              <w:rPr>
                <w:rFonts w:ascii="Arial" w:hAnsi="Arial" w:cs="Arial"/>
                <w:color w:val="000000"/>
                <w:sz w:val="14"/>
                <w:szCs w:val="14"/>
              </w:rPr>
              <w:t xml:space="preserve">no fueron realizadas algunas actividades en los diferentes programas; </w:t>
            </w:r>
            <w:r w:rsidRPr="00712618">
              <w:rPr>
                <w:rFonts w:ascii="Arial" w:hAnsi="Arial" w:cs="Arial"/>
                <w:color w:val="000000"/>
                <w:sz w:val="14"/>
                <w:szCs w:val="14"/>
                <w:lang w:val="es-ES_tradnl"/>
              </w:rPr>
              <w:t>se han realizado modificaciones presupuestales en la Coordinación de Suministros, los Centro de Desarrollo Comunitario (CDC) la Casa Asistencia Temporal (CAT) debido a la captación de una</w:t>
            </w:r>
            <w:r w:rsidR="001376C7">
              <w:rPr>
                <w:rFonts w:ascii="Arial" w:hAnsi="Arial" w:cs="Arial"/>
                <w:color w:val="000000"/>
                <w:sz w:val="14"/>
                <w:szCs w:val="14"/>
                <w:lang w:val="es-ES_tradnl"/>
              </w:rPr>
              <w:t xml:space="preserve"> </w:t>
            </w:r>
            <w:r w:rsidRPr="00712618">
              <w:rPr>
                <w:rFonts w:ascii="Arial" w:hAnsi="Arial" w:cs="Arial"/>
                <w:color w:val="000000"/>
                <w:sz w:val="14"/>
                <w:szCs w:val="14"/>
                <w:lang w:val="es-ES_tradnl"/>
              </w:rPr>
              <w:t>mayor recaudación de Ingresos propios por cuotas de recuperación</w:t>
            </w:r>
            <w:r w:rsidRPr="00712618">
              <w:rPr>
                <w:rFonts w:ascii="Arial" w:hAnsi="Arial" w:cs="Arial"/>
                <w:color w:val="000000"/>
                <w:sz w:val="14"/>
                <w:szCs w:val="14"/>
              </w:rPr>
              <w:t xml:space="preserve">; en todo el período de enero y hasta el mes de noviembre de 2022 se tuvo limitado el flujo de efectivo ya que nos efectuaban completas las ministraciones municipales; </w:t>
            </w:r>
            <w:r w:rsidRPr="00712618">
              <w:rPr>
                <w:rFonts w:ascii="Arial" w:hAnsi="Arial" w:cs="Arial"/>
                <w:color w:val="000000"/>
                <w:sz w:val="14"/>
                <w:szCs w:val="14"/>
                <w:lang w:val="es-ES_tradnl"/>
              </w:rPr>
              <w:t xml:space="preserve">no se llevaron a cabo la totalidad de programas presupuestados destinados a ayudas sociales; en el período de enero a </w:t>
            </w:r>
            <w:r w:rsidRPr="00712618">
              <w:rPr>
                <w:rFonts w:ascii="Arial" w:hAnsi="Arial" w:cs="Arial"/>
                <w:color w:val="000000"/>
                <w:sz w:val="14"/>
                <w:szCs w:val="14"/>
                <w:lang w:val="es-ES_tradnl"/>
              </w:rPr>
              <w:lastRenderedPageBreak/>
              <w:t>diciembre a 2022, se recibieron donativos en efectivo para el otorgamiento de ayudas sociales</w:t>
            </w:r>
            <w:r w:rsidRPr="00712618">
              <w:rPr>
                <w:rFonts w:ascii="Arial" w:hAnsi="Arial" w:cs="Arial"/>
                <w:color w:val="000000"/>
                <w:sz w:val="14"/>
                <w:szCs w:val="14"/>
              </w:rPr>
              <w:t>.</w:t>
            </w:r>
          </w:p>
        </w:tc>
      </w:tr>
      <w:tr w:rsidR="00712618" w:rsidRPr="00712618" w14:paraId="0CEC7125" w14:textId="77777777" w:rsidTr="00CC276C">
        <w:trPr>
          <w:trHeight w:val="690"/>
          <w:jc w:val="center"/>
        </w:trPr>
        <w:tc>
          <w:tcPr>
            <w:tcW w:w="372" w:type="dxa"/>
            <w:vAlign w:val="center"/>
          </w:tcPr>
          <w:p w14:paraId="2DBFD2BC"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74</w:t>
            </w:r>
          </w:p>
        </w:tc>
        <w:tc>
          <w:tcPr>
            <w:tcW w:w="1259" w:type="dxa"/>
            <w:gridSpan w:val="2"/>
            <w:shd w:val="clear" w:color="auto" w:fill="auto"/>
            <w:vAlign w:val="center"/>
          </w:tcPr>
          <w:p w14:paraId="33043F6E"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Sistema para el Desarrollo Integral de la Familia del Municipio de Cozumel</w:t>
            </w:r>
          </w:p>
        </w:tc>
        <w:tc>
          <w:tcPr>
            <w:tcW w:w="1428" w:type="dxa"/>
            <w:gridSpan w:val="2"/>
            <w:shd w:val="clear" w:color="auto" w:fill="auto"/>
            <w:vAlign w:val="center"/>
          </w:tcPr>
          <w:p w14:paraId="45021D3A"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9,784,685.28</w:t>
            </w:r>
          </w:p>
        </w:tc>
        <w:tc>
          <w:tcPr>
            <w:tcW w:w="1428" w:type="dxa"/>
            <w:gridSpan w:val="2"/>
            <w:shd w:val="clear" w:color="auto" w:fill="auto"/>
            <w:vAlign w:val="center"/>
          </w:tcPr>
          <w:p w14:paraId="7D2811BC"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9,137,391.12</w:t>
            </w:r>
          </w:p>
        </w:tc>
        <w:tc>
          <w:tcPr>
            <w:tcW w:w="920" w:type="dxa"/>
            <w:gridSpan w:val="2"/>
            <w:shd w:val="clear" w:color="auto" w:fill="auto"/>
            <w:vAlign w:val="center"/>
          </w:tcPr>
          <w:p w14:paraId="053D4712"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93.38</w:t>
            </w:r>
          </w:p>
        </w:tc>
        <w:tc>
          <w:tcPr>
            <w:tcW w:w="3421" w:type="dxa"/>
            <w:shd w:val="clear" w:color="auto" w:fill="auto"/>
            <w:vAlign w:val="center"/>
          </w:tcPr>
          <w:p w14:paraId="1ADC3510"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logró cumplir con los compromisos y requerimientos de las diferentes coordinaciones del sistema DIF Cozumel satisfactoriamente. La variación es mínima debido a una sana administración y decidir por las mejores opciones en precios.</w:t>
            </w:r>
          </w:p>
        </w:tc>
      </w:tr>
      <w:tr w:rsidR="00712618" w:rsidRPr="00712618" w14:paraId="45DD7106" w14:textId="77777777" w:rsidTr="00CC276C">
        <w:trPr>
          <w:trHeight w:val="690"/>
          <w:jc w:val="center"/>
        </w:trPr>
        <w:tc>
          <w:tcPr>
            <w:tcW w:w="372" w:type="dxa"/>
            <w:vAlign w:val="center"/>
          </w:tcPr>
          <w:p w14:paraId="65BD531C"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75</w:t>
            </w:r>
          </w:p>
        </w:tc>
        <w:tc>
          <w:tcPr>
            <w:tcW w:w="1259" w:type="dxa"/>
            <w:gridSpan w:val="2"/>
            <w:shd w:val="clear" w:color="auto" w:fill="auto"/>
            <w:vAlign w:val="center"/>
          </w:tcPr>
          <w:p w14:paraId="2B2A3BA1"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Sistema para el Desarrollo Integral de la Familia del Municipio de Isla Mujeres</w:t>
            </w:r>
          </w:p>
        </w:tc>
        <w:tc>
          <w:tcPr>
            <w:tcW w:w="1428" w:type="dxa"/>
            <w:gridSpan w:val="2"/>
            <w:shd w:val="clear" w:color="auto" w:fill="auto"/>
            <w:vAlign w:val="center"/>
          </w:tcPr>
          <w:p w14:paraId="0E3E5CE4"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30,231,261.94</w:t>
            </w:r>
          </w:p>
        </w:tc>
        <w:tc>
          <w:tcPr>
            <w:tcW w:w="1428" w:type="dxa"/>
            <w:gridSpan w:val="2"/>
            <w:shd w:val="clear" w:color="auto" w:fill="auto"/>
            <w:vAlign w:val="center"/>
          </w:tcPr>
          <w:p w14:paraId="097E62A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31,040,876.83</w:t>
            </w:r>
          </w:p>
        </w:tc>
        <w:tc>
          <w:tcPr>
            <w:tcW w:w="920" w:type="dxa"/>
            <w:gridSpan w:val="2"/>
            <w:shd w:val="clear" w:color="auto" w:fill="auto"/>
            <w:vAlign w:val="center"/>
          </w:tcPr>
          <w:p w14:paraId="509B99FA"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102.68</w:t>
            </w:r>
          </w:p>
        </w:tc>
        <w:tc>
          <w:tcPr>
            <w:tcW w:w="3421" w:type="dxa"/>
            <w:shd w:val="clear" w:color="auto" w:fill="auto"/>
            <w:vAlign w:val="center"/>
          </w:tcPr>
          <w:p w14:paraId="7C6EE894"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Sobregiro que se presenta correspondiente a las prestaciones que se provisionan como ISSSTE, FOVISSSTE, y SAR; se incrementó el gasto corriente en este último periodo ya que se hicieron eventos tradicionales de estas épocas; se hicieron algunas adquisiciones del periodo sin embargo no se ejerció al 100% con estas adquisiciones.</w:t>
            </w:r>
          </w:p>
        </w:tc>
      </w:tr>
      <w:tr w:rsidR="00712618" w:rsidRPr="00712618" w14:paraId="418C8DFB" w14:textId="77777777" w:rsidTr="00CC276C">
        <w:trPr>
          <w:trHeight w:val="370"/>
          <w:jc w:val="center"/>
        </w:trPr>
        <w:tc>
          <w:tcPr>
            <w:tcW w:w="372" w:type="dxa"/>
            <w:vAlign w:val="center"/>
          </w:tcPr>
          <w:p w14:paraId="5B45C560"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76</w:t>
            </w:r>
          </w:p>
        </w:tc>
        <w:tc>
          <w:tcPr>
            <w:tcW w:w="1259" w:type="dxa"/>
            <w:gridSpan w:val="2"/>
            <w:shd w:val="clear" w:color="auto" w:fill="auto"/>
            <w:vAlign w:val="center"/>
          </w:tcPr>
          <w:p w14:paraId="1EB1D7AF"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Sistema para el Desarrollo Integral de la Familia del Municipio de Othón P. Blanco</w:t>
            </w:r>
          </w:p>
        </w:tc>
        <w:tc>
          <w:tcPr>
            <w:tcW w:w="1428" w:type="dxa"/>
            <w:gridSpan w:val="2"/>
            <w:shd w:val="clear" w:color="auto" w:fill="auto"/>
            <w:vAlign w:val="center"/>
          </w:tcPr>
          <w:p w14:paraId="27AC05F4"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3,269,616.25</w:t>
            </w:r>
          </w:p>
        </w:tc>
        <w:tc>
          <w:tcPr>
            <w:tcW w:w="1428" w:type="dxa"/>
            <w:gridSpan w:val="2"/>
            <w:shd w:val="clear" w:color="auto" w:fill="auto"/>
            <w:vAlign w:val="center"/>
          </w:tcPr>
          <w:p w14:paraId="0D6D3005"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2,498,502.03</w:t>
            </w:r>
          </w:p>
        </w:tc>
        <w:tc>
          <w:tcPr>
            <w:tcW w:w="920" w:type="dxa"/>
            <w:gridSpan w:val="2"/>
            <w:shd w:val="clear" w:color="auto" w:fill="auto"/>
            <w:vAlign w:val="center"/>
          </w:tcPr>
          <w:p w14:paraId="30D7E325"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76.42</w:t>
            </w:r>
          </w:p>
        </w:tc>
        <w:tc>
          <w:tcPr>
            <w:tcW w:w="3421" w:type="dxa"/>
            <w:shd w:val="clear" w:color="auto" w:fill="auto"/>
            <w:vAlign w:val="center"/>
          </w:tcPr>
          <w:p w14:paraId="6531C62D"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El Ayuntamiento de OPB no ministro los recursos del mes de noviembre y diciembre del 2022, sin embargo, se dio prioridad a las necesidades propias del sistema; se dio prioridad</w:t>
            </w:r>
            <w:r w:rsidR="001376C7">
              <w:rPr>
                <w:rFonts w:ascii="Arial" w:hAnsi="Arial" w:cs="Arial"/>
                <w:color w:val="000000"/>
                <w:sz w:val="14"/>
                <w:szCs w:val="14"/>
              </w:rPr>
              <w:t xml:space="preserve"> </w:t>
            </w:r>
            <w:r w:rsidRPr="00712618">
              <w:rPr>
                <w:rFonts w:ascii="Arial" w:hAnsi="Arial" w:cs="Arial"/>
                <w:color w:val="000000"/>
                <w:sz w:val="14"/>
                <w:szCs w:val="14"/>
              </w:rPr>
              <w:t>a este rubro como es viáticos, mantenimiento de edificios y de vehículos; de acuerdo a las necesidades de la gente vulnerable de las comunidades del municipio y de sus colonias, se le dio prioridad, en los apoyos solicitados.</w:t>
            </w:r>
          </w:p>
        </w:tc>
      </w:tr>
      <w:tr w:rsidR="00712618" w:rsidRPr="00712618" w14:paraId="5E3E3F58" w14:textId="77777777" w:rsidTr="00CC276C">
        <w:trPr>
          <w:trHeight w:val="455"/>
          <w:jc w:val="center"/>
        </w:trPr>
        <w:tc>
          <w:tcPr>
            <w:tcW w:w="372" w:type="dxa"/>
            <w:vAlign w:val="center"/>
          </w:tcPr>
          <w:p w14:paraId="482FA3A9"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77</w:t>
            </w:r>
          </w:p>
        </w:tc>
        <w:tc>
          <w:tcPr>
            <w:tcW w:w="1259" w:type="dxa"/>
            <w:gridSpan w:val="2"/>
            <w:shd w:val="clear" w:color="auto" w:fill="auto"/>
            <w:vAlign w:val="center"/>
          </w:tcPr>
          <w:p w14:paraId="66A65D30"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Sistema para el Desarrollo Integral de la Familia del Municipio de Solidaridad</w:t>
            </w:r>
          </w:p>
        </w:tc>
        <w:tc>
          <w:tcPr>
            <w:tcW w:w="1428" w:type="dxa"/>
            <w:gridSpan w:val="2"/>
            <w:shd w:val="clear" w:color="auto" w:fill="auto"/>
            <w:vAlign w:val="center"/>
          </w:tcPr>
          <w:p w14:paraId="1751EFA1"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123,557,831.44</w:t>
            </w:r>
          </w:p>
        </w:tc>
        <w:tc>
          <w:tcPr>
            <w:tcW w:w="1428" w:type="dxa"/>
            <w:gridSpan w:val="2"/>
            <w:shd w:val="clear" w:color="auto" w:fill="auto"/>
            <w:vAlign w:val="center"/>
          </w:tcPr>
          <w:p w14:paraId="3D62AA43"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119,375,346.34</w:t>
            </w:r>
          </w:p>
        </w:tc>
        <w:tc>
          <w:tcPr>
            <w:tcW w:w="920" w:type="dxa"/>
            <w:gridSpan w:val="2"/>
            <w:shd w:val="clear" w:color="auto" w:fill="auto"/>
            <w:vAlign w:val="center"/>
          </w:tcPr>
          <w:p w14:paraId="0D2A9DB7"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96.61</w:t>
            </w:r>
          </w:p>
        </w:tc>
        <w:tc>
          <w:tcPr>
            <w:tcW w:w="3421" w:type="dxa"/>
            <w:shd w:val="clear" w:color="auto" w:fill="auto"/>
            <w:vAlign w:val="center"/>
          </w:tcPr>
          <w:p w14:paraId="36F132FF"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Pago de las percepciones de los 393 servidores públicos, se cubrió el pago de percepciones de fin de año; se devengó los servicios generales necesarios para el funcionamiento de cada unidad administrativa del sistema DIF; contratación de servicios profesionales habilitación del edificio CRIM viejo, para adecuarla para oficinas de servicios de salud para el público en general; ayudas sociales a la población vulnerable del municipio, apoyo de material de construcción de 30 metros cuadrados (losetas) para punto violeta, apoyo de ayudas sociales a institucionales sin fines de lucro, material donado;.</w:t>
            </w:r>
          </w:p>
        </w:tc>
      </w:tr>
      <w:tr w:rsidR="00712618" w:rsidRPr="00712618" w14:paraId="1F118791" w14:textId="77777777" w:rsidTr="00CC276C">
        <w:trPr>
          <w:trHeight w:val="690"/>
          <w:jc w:val="center"/>
        </w:trPr>
        <w:tc>
          <w:tcPr>
            <w:tcW w:w="372" w:type="dxa"/>
            <w:vAlign w:val="center"/>
          </w:tcPr>
          <w:p w14:paraId="15110397"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78</w:t>
            </w:r>
          </w:p>
        </w:tc>
        <w:tc>
          <w:tcPr>
            <w:tcW w:w="1259" w:type="dxa"/>
            <w:gridSpan w:val="2"/>
            <w:shd w:val="clear" w:color="auto" w:fill="auto"/>
            <w:vAlign w:val="center"/>
          </w:tcPr>
          <w:p w14:paraId="48C36B8E"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Sistema para el Desarrollo Integral de la Familia del Municipio de Tulum</w:t>
            </w:r>
          </w:p>
        </w:tc>
        <w:tc>
          <w:tcPr>
            <w:tcW w:w="1428" w:type="dxa"/>
            <w:gridSpan w:val="2"/>
            <w:shd w:val="clear" w:color="auto" w:fill="auto"/>
            <w:vAlign w:val="center"/>
          </w:tcPr>
          <w:p w14:paraId="0C020D2B"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40,776,045.00</w:t>
            </w:r>
          </w:p>
        </w:tc>
        <w:tc>
          <w:tcPr>
            <w:tcW w:w="1428" w:type="dxa"/>
            <w:gridSpan w:val="2"/>
            <w:shd w:val="clear" w:color="auto" w:fill="auto"/>
            <w:vAlign w:val="center"/>
          </w:tcPr>
          <w:p w14:paraId="45BFD149"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30,440,353.79</w:t>
            </w:r>
          </w:p>
        </w:tc>
        <w:tc>
          <w:tcPr>
            <w:tcW w:w="920" w:type="dxa"/>
            <w:gridSpan w:val="2"/>
            <w:shd w:val="clear" w:color="auto" w:fill="auto"/>
            <w:vAlign w:val="center"/>
          </w:tcPr>
          <w:p w14:paraId="6ACCACDE"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74.65</w:t>
            </w:r>
          </w:p>
        </w:tc>
        <w:tc>
          <w:tcPr>
            <w:tcW w:w="3421" w:type="dxa"/>
            <w:shd w:val="clear" w:color="auto" w:fill="auto"/>
            <w:vAlign w:val="center"/>
          </w:tcPr>
          <w:p w14:paraId="4910A833"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Se presupuestaron diversos pagos referentes a nómina de los cuales no se alcanzaron a cubrir; al no realizarse mejoras en algunas áreas no se hizo uso del presupuesto; no se pudieron brindar todas las ayudas sociales ya que se había realizado la planeación de diversos programas para dar ayudas los cuales no se realizaron; debido a que no se realizaron las oficinas no se requirieron los muebles.</w:t>
            </w:r>
          </w:p>
        </w:tc>
      </w:tr>
      <w:tr w:rsidR="00712618" w:rsidRPr="00712618" w14:paraId="4372DB41" w14:textId="77777777" w:rsidTr="00CC276C">
        <w:trPr>
          <w:trHeight w:val="690"/>
          <w:jc w:val="center"/>
        </w:trPr>
        <w:tc>
          <w:tcPr>
            <w:tcW w:w="372" w:type="dxa"/>
            <w:vAlign w:val="center"/>
          </w:tcPr>
          <w:p w14:paraId="7E8A93BF"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79</w:t>
            </w:r>
          </w:p>
        </w:tc>
        <w:tc>
          <w:tcPr>
            <w:tcW w:w="1259" w:type="dxa"/>
            <w:gridSpan w:val="2"/>
            <w:shd w:val="clear" w:color="auto" w:fill="auto"/>
            <w:vAlign w:val="center"/>
          </w:tcPr>
          <w:p w14:paraId="255310EE" w14:textId="77777777" w:rsidR="00712618" w:rsidRPr="00712618" w:rsidRDefault="00712618" w:rsidP="00712618">
            <w:pPr>
              <w:adjustRightInd w:val="0"/>
              <w:spacing w:before="120" w:after="120"/>
              <w:jc w:val="both"/>
              <w:rPr>
                <w:rFonts w:ascii="Arial" w:hAnsi="Arial" w:cs="Arial"/>
                <w:color w:val="000000"/>
                <w:sz w:val="14"/>
                <w:szCs w:val="14"/>
              </w:rPr>
            </w:pPr>
            <w:r w:rsidRPr="00712618">
              <w:rPr>
                <w:rFonts w:ascii="Arial" w:hAnsi="Arial" w:cs="Arial"/>
                <w:color w:val="000000"/>
                <w:sz w:val="14"/>
                <w:szCs w:val="14"/>
              </w:rPr>
              <w:t>Solución Integral de Residuos Sólidos Cancún</w:t>
            </w:r>
          </w:p>
        </w:tc>
        <w:tc>
          <w:tcPr>
            <w:tcW w:w="1428" w:type="dxa"/>
            <w:gridSpan w:val="2"/>
            <w:shd w:val="clear" w:color="auto" w:fill="auto"/>
            <w:vAlign w:val="center"/>
          </w:tcPr>
          <w:p w14:paraId="7EBD4EC0"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617,557,197.71</w:t>
            </w:r>
          </w:p>
        </w:tc>
        <w:tc>
          <w:tcPr>
            <w:tcW w:w="1428" w:type="dxa"/>
            <w:gridSpan w:val="2"/>
            <w:shd w:val="clear" w:color="auto" w:fill="auto"/>
            <w:vAlign w:val="center"/>
          </w:tcPr>
          <w:p w14:paraId="3F832937" w14:textId="77777777" w:rsidR="00712618" w:rsidRPr="00712618" w:rsidRDefault="00712618" w:rsidP="00712618">
            <w:pPr>
              <w:spacing w:before="120" w:after="120"/>
              <w:jc w:val="right"/>
              <w:rPr>
                <w:rFonts w:ascii="Arial" w:hAnsi="Arial" w:cs="Arial"/>
                <w:bCs/>
                <w:color w:val="000000"/>
                <w:sz w:val="14"/>
                <w:szCs w:val="14"/>
              </w:rPr>
            </w:pPr>
            <w:r w:rsidRPr="00712618">
              <w:rPr>
                <w:rFonts w:ascii="Arial" w:hAnsi="Arial" w:cs="Arial"/>
                <w:bCs/>
                <w:color w:val="000000"/>
                <w:sz w:val="14"/>
                <w:szCs w:val="14"/>
              </w:rPr>
              <w:t>601,859,043.65</w:t>
            </w:r>
          </w:p>
        </w:tc>
        <w:tc>
          <w:tcPr>
            <w:tcW w:w="920" w:type="dxa"/>
            <w:gridSpan w:val="2"/>
            <w:shd w:val="clear" w:color="auto" w:fill="auto"/>
            <w:vAlign w:val="center"/>
          </w:tcPr>
          <w:p w14:paraId="25D0FA6C" w14:textId="77777777" w:rsidR="00712618" w:rsidRPr="00712618" w:rsidRDefault="00712618" w:rsidP="00712618">
            <w:pPr>
              <w:spacing w:before="120" w:after="120"/>
              <w:jc w:val="center"/>
              <w:rPr>
                <w:rFonts w:ascii="Arial" w:hAnsi="Arial" w:cs="Arial"/>
                <w:color w:val="000000"/>
                <w:sz w:val="14"/>
                <w:szCs w:val="14"/>
              </w:rPr>
            </w:pPr>
            <w:r w:rsidRPr="00712618">
              <w:rPr>
                <w:rFonts w:ascii="Arial" w:hAnsi="Arial" w:cs="Arial"/>
                <w:color w:val="000000"/>
                <w:sz w:val="14"/>
                <w:szCs w:val="14"/>
              </w:rPr>
              <w:t>97.46</w:t>
            </w:r>
          </w:p>
        </w:tc>
        <w:tc>
          <w:tcPr>
            <w:tcW w:w="3421" w:type="dxa"/>
            <w:shd w:val="clear" w:color="auto" w:fill="auto"/>
            <w:vAlign w:val="center"/>
          </w:tcPr>
          <w:p w14:paraId="5D23DA19" w14:textId="77777777" w:rsidR="00712618" w:rsidRPr="00712618" w:rsidRDefault="00712618" w:rsidP="00712618">
            <w:pPr>
              <w:spacing w:before="120" w:after="120"/>
              <w:jc w:val="both"/>
              <w:rPr>
                <w:rFonts w:ascii="Arial" w:hAnsi="Arial" w:cs="Arial"/>
                <w:color w:val="000000"/>
                <w:sz w:val="14"/>
                <w:szCs w:val="14"/>
              </w:rPr>
            </w:pPr>
            <w:r w:rsidRPr="00712618">
              <w:rPr>
                <w:rFonts w:ascii="Arial" w:hAnsi="Arial" w:cs="Arial"/>
                <w:color w:val="000000"/>
                <w:sz w:val="14"/>
                <w:szCs w:val="14"/>
              </w:rPr>
              <w:t>Menor devengo es originado debido a cambios en la forma de pago de las percepciones de la plantilla; disminución de compras de insumos y suministros; recolección menor de lo estimado al cierre del ejercicio; no se autorizaron todas las compras de bienes muebles estimadas para el Organismo durante los 12 meses del año 2022.</w:t>
            </w:r>
          </w:p>
        </w:tc>
      </w:tr>
    </w:tbl>
    <w:p w14:paraId="28523537" w14:textId="77777777" w:rsidR="00712618" w:rsidRPr="00712618" w:rsidRDefault="00712618" w:rsidP="00712618">
      <w:pPr>
        <w:ind w:right="1065"/>
        <w:jc w:val="both"/>
        <w:rPr>
          <w:sz w:val="24"/>
          <w:szCs w:val="24"/>
        </w:rPr>
      </w:pPr>
    </w:p>
    <w:p w14:paraId="74D04855" w14:textId="77777777" w:rsidR="00712618" w:rsidRDefault="00712618" w:rsidP="00712618">
      <w:pPr>
        <w:ind w:right="1065"/>
        <w:jc w:val="both"/>
        <w:rPr>
          <w:sz w:val="24"/>
          <w:szCs w:val="24"/>
        </w:rPr>
      </w:pPr>
    </w:p>
    <w:p w14:paraId="7573DE69" w14:textId="77777777" w:rsidR="00CC276C" w:rsidRPr="00712618" w:rsidRDefault="00CC276C" w:rsidP="00712618">
      <w:pPr>
        <w:ind w:right="1065"/>
        <w:jc w:val="both"/>
        <w:rPr>
          <w:sz w:val="24"/>
          <w:szCs w:val="24"/>
        </w:rPr>
      </w:pPr>
    </w:p>
    <w:p w14:paraId="792853F5" w14:textId="77777777" w:rsidR="00712618" w:rsidRPr="00712618" w:rsidRDefault="00712618" w:rsidP="00712618">
      <w:pPr>
        <w:ind w:right="1065"/>
        <w:jc w:val="both"/>
        <w:rPr>
          <w:sz w:val="24"/>
          <w:szCs w:val="24"/>
        </w:rPr>
      </w:pPr>
    </w:p>
    <w:p w14:paraId="1B29DAE9" w14:textId="77777777" w:rsidR="00712618" w:rsidRPr="00712618" w:rsidRDefault="00712618" w:rsidP="00683FD0">
      <w:pPr>
        <w:widowControl w:val="0"/>
        <w:numPr>
          <w:ilvl w:val="0"/>
          <w:numId w:val="13"/>
        </w:numPr>
        <w:autoSpaceDE w:val="0"/>
        <w:autoSpaceDN w:val="0"/>
        <w:spacing w:after="0" w:line="240" w:lineRule="auto"/>
        <w:ind w:left="360"/>
        <w:jc w:val="both"/>
        <w:rPr>
          <w:rFonts w:ascii="Arial" w:eastAsia="Arial" w:hAnsi="Arial" w:cs="Arial"/>
          <w:b/>
          <w:sz w:val="24"/>
          <w:szCs w:val="24"/>
          <w:lang w:val="es-ES"/>
        </w:rPr>
      </w:pPr>
      <w:r w:rsidRPr="00712618">
        <w:rPr>
          <w:rFonts w:ascii="Arial" w:eastAsia="Arial" w:hAnsi="Arial" w:cs="Arial"/>
          <w:b/>
          <w:sz w:val="24"/>
          <w:szCs w:val="24"/>
          <w:lang w:val="es-ES"/>
        </w:rPr>
        <w:lastRenderedPageBreak/>
        <w:t>Del cumplimiento de los programas y objetivos</w:t>
      </w:r>
    </w:p>
    <w:p w14:paraId="2FBFEEB1" w14:textId="77777777" w:rsidR="00712618" w:rsidRPr="00712618" w:rsidRDefault="00712618" w:rsidP="00712618">
      <w:pPr>
        <w:spacing w:line="276" w:lineRule="auto"/>
        <w:ind w:right="49"/>
        <w:jc w:val="both"/>
        <w:rPr>
          <w:rFonts w:ascii="Arial" w:hAnsi="Arial" w:cs="Arial"/>
          <w:sz w:val="24"/>
          <w:szCs w:val="24"/>
        </w:rPr>
      </w:pPr>
    </w:p>
    <w:p w14:paraId="7134D22A" w14:textId="77777777" w:rsidR="00712618" w:rsidRPr="00712618" w:rsidRDefault="00712618" w:rsidP="00712618">
      <w:pPr>
        <w:spacing w:line="360" w:lineRule="auto"/>
        <w:ind w:left="283" w:right="49"/>
        <w:jc w:val="both"/>
        <w:rPr>
          <w:rFonts w:ascii="Arial" w:hAnsi="Arial" w:cs="Arial"/>
          <w:sz w:val="24"/>
          <w:szCs w:val="24"/>
          <w:u w:val="single"/>
        </w:rPr>
      </w:pPr>
      <w:r w:rsidRPr="00712618">
        <w:rPr>
          <w:rFonts w:ascii="Arial" w:hAnsi="Arial" w:cs="Arial"/>
          <w:sz w:val="24"/>
          <w:szCs w:val="24"/>
          <w:u w:val="single"/>
        </w:rPr>
        <w:t>Precisiones respecto del avance de los programas, objetivos y metas:</w:t>
      </w:r>
    </w:p>
    <w:p w14:paraId="126F9B9B" w14:textId="77777777" w:rsidR="00712618" w:rsidRPr="00712618" w:rsidRDefault="00712618" w:rsidP="00712618">
      <w:pPr>
        <w:spacing w:line="360" w:lineRule="auto"/>
        <w:ind w:left="283" w:right="49"/>
        <w:jc w:val="both"/>
        <w:rPr>
          <w:rFonts w:ascii="Arial" w:hAnsi="Arial" w:cs="Arial"/>
          <w:sz w:val="6"/>
          <w:szCs w:val="24"/>
        </w:rPr>
      </w:pPr>
    </w:p>
    <w:p w14:paraId="5EB15702" w14:textId="77777777" w:rsidR="00712618" w:rsidRPr="00712618" w:rsidRDefault="00712618" w:rsidP="00712618">
      <w:pPr>
        <w:spacing w:line="360" w:lineRule="auto"/>
        <w:ind w:left="283" w:right="49"/>
        <w:jc w:val="both"/>
        <w:rPr>
          <w:rFonts w:ascii="Arial" w:hAnsi="Arial" w:cs="Arial"/>
          <w:sz w:val="24"/>
          <w:szCs w:val="24"/>
        </w:rPr>
      </w:pPr>
      <w:r w:rsidRPr="00712618">
        <w:rPr>
          <w:rFonts w:ascii="Arial" w:hAnsi="Arial" w:cs="Arial"/>
          <w:sz w:val="24"/>
          <w:szCs w:val="24"/>
        </w:rPr>
        <w:t>El Informe de Avance de la Gestión Financiera que rinde cada una de las Entidades Fiscalizables de manera trimestral a la Auditoría Superior del Estado, integra la Matriz de Indicadores para Resultados de los programas presupuestarios, esta matriz nos permite identificar en forma resumida los objetivos de los mismos, incorpora también, los indicadores estratégicos y de gestión que miden dichos objetivos, especifica los medios para obtener y verificar la información de los indicadores, e incluye los supuestos que pueden afectar al desempeño del programa.</w:t>
      </w:r>
    </w:p>
    <w:p w14:paraId="5463CF6D" w14:textId="77777777" w:rsidR="00712618" w:rsidRPr="00712618" w:rsidRDefault="00712618" w:rsidP="00712618">
      <w:pPr>
        <w:spacing w:line="360" w:lineRule="auto"/>
        <w:ind w:left="283" w:right="49"/>
        <w:jc w:val="both"/>
        <w:rPr>
          <w:rFonts w:ascii="Arial" w:hAnsi="Arial" w:cs="Arial"/>
          <w:sz w:val="4"/>
          <w:szCs w:val="24"/>
        </w:rPr>
      </w:pPr>
    </w:p>
    <w:p w14:paraId="1419716D" w14:textId="77777777" w:rsidR="00712618" w:rsidRPr="00712618" w:rsidRDefault="00712618" w:rsidP="00712618">
      <w:pPr>
        <w:spacing w:line="360" w:lineRule="auto"/>
        <w:ind w:left="283" w:right="49"/>
        <w:jc w:val="both"/>
        <w:rPr>
          <w:rFonts w:ascii="Arial" w:hAnsi="Arial" w:cs="Arial"/>
          <w:sz w:val="24"/>
          <w:szCs w:val="24"/>
        </w:rPr>
      </w:pPr>
      <w:r w:rsidRPr="00712618">
        <w:rPr>
          <w:rFonts w:ascii="Arial" w:hAnsi="Arial" w:cs="Arial"/>
          <w:sz w:val="24"/>
          <w:szCs w:val="24"/>
        </w:rPr>
        <w:t>En este tenor, la Auditoría Superior realiza el análisis de la información presentada, que consiste en verificar el avance trimestral de las metas alcanzadas con respecto a las programadas, y que se miden a través de los indicadores construidos por el ente para cada uno de los programas presupuestarios establecidos.</w:t>
      </w:r>
    </w:p>
    <w:p w14:paraId="2F211A7F" w14:textId="77777777" w:rsidR="00712618" w:rsidRPr="00712618" w:rsidRDefault="00712618" w:rsidP="00712618">
      <w:pPr>
        <w:spacing w:line="360" w:lineRule="auto"/>
        <w:ind w:left="283" w:right="49"/>
        <w:jc w:val="both"/>
        <w:rPr>
          <w:rFonts w:ascii="Arial" w:hAnsi="Arial" w:cs="Arial"/>
          <w:sz w:val="10"/>
          <w:szCs w:val="24"/>
        </w:rPr>
      </w:pPr>
    </w:p>
    <w:p w14:paraId="240240F2" w14:textId="77777777" w:rsidR="00712618" w:rsidRPr="00712618" w:rsidRDefault="00712618" w:rsidP="00712618">
      <w:pPr>
        <w:spacing w:line="360" w:lineRule="auto"/>
        <w:ind w:left="283" w:right="49"/>
        <w:jc w:val="both"/>
        <w:rPr>
          <w:rFonts w:ascii="Arial" w:hAnsi="Arial" w:cs="Arial"/>
          <w:sz w:val="24"/>
          <w:szCs w:val="24"/>
        </w:rPr>
      </w:pPr>
      <w:r w:rsidRPr="00712618">
        <w:rPr>
          <w:rFonts w:ascii="Arial" w:hAnsi="Arial" w:cs="Arial"/>
          <w:sz w:val="24"/>
          <w:szCs w:val="24"/>
        </w:rPr>
        <w:t xml:space="preserve">Bajo estas precisiones se incluye al Informe General Ejecutivo, un resumen de los resultados a los análisis de los Informes de Avance de Gestión Financiera del avance de objetivos y metas de los programas, presentamos el total de programas presupuestarios que registra la entidad con los indicadores correspondientes en el logro de sus objetivos. </w:t>
      </w:r>
    </w:p>
    <w:p w14:paraId="05825058" w14:textId="77777777" w:rsidR="00712618" w:rsidRPr="00712618" w:rsidRDefault="00712618" w:rsidP="00712618">
      <w:pPr>
        <w:spacing w:line="360" w:lineRule="auto"/>
        <w:ind w:left="283" w:right="49"/>
        <w:jc w:val="both"/>
        <w:rPr>
          <w:rFonts w:ascii="Arial" w:hAnsi="Arial" w:cs="Arial"/>
          <w:sz w:val="8"/>
          <w:szCs w:val="24"/>
        </w:rPr>
      </w:pPr>
    </w:p>
    <w:p w14:paraId="7350FDEF" w14:textId="77777777" w:rsidR="00712618" w:rsidRPr="00712618" w:rsidRDefault="00712618" w:rsidP="00712618">
      <w:pPr>
        <w:spacing w:line="360" w:lineRule="auto"/>
        <w:ind w:left="283" w:right="49"/>
        <w:jc w:val="both"/>
        <w:rPr>
          <w:rFonts w:ascii="Arial" w:hAnsi="Arial" w:cs="Arial"/>
          <w:sz w:val="24"/>
          <w:szCs w:val="24"/>
        </w:rPr>
      </w:pPr>
      <w:r w:rsidRPr="00712618">
        <w:rPr>
          <w:rFonts w:ascii="Arial" w:hAnsi="Arial" w:cs="Arial"/>
          <w:sz w:val="24"/>
          <w:szCs w:val="24"/>
        </w:rPr>
        <w:t>El grado de cumplimiento de los objetivos y las metas establecidos en cada plan de trabajo de las Entidades Fiscalizables que se presentan, son puntos claves para una sana gestión gubernamental, esto no solo evidencia el logro de los propósitos establecidos, sino también el uso correcto de los recursos asignados por programa presupuestario.</w:t>
      </w:r>
    </w:p>
    <w:p w14:paraId="052A9BFC" w14:textId="77777777" w:rsidR="00712618" w:rsidRPr="00712618" w:rsidRDefault="00712618" w:rsidP="00712618">
      <w:pPr>
        <w:spacing w:line="276" w:lineRule="auto"/>
        <w:ind w:right="49"/>
        <w:jc w:val="both"/>
        <w:rPr>
          <w:rFonts w:ascii="Arial" w:hAnsi="Arial" w:cs="Arial"/>
          <w:sz w:val="24"/>
          <w:szCs w:val="24"/>
        </w:rPr>
      </w:pPr>
    </w:p>
    <w:p w14:paraId="4EAEC439" w14:textId="77777777" w:rsidR="00712618" w:rsidRPr="00712618" w:rsidRDefault="00712618" w:rsidP="00712618">
      <w:pPr>
        <w:spacing w:line="276" w:lineRule="auto"/>
        <w:ind w:right="49"/>
        <w:jc w:val="both"/>
        <w:rPr>
          <w:rFonts w:ascii="Arial" w:hAnsi="Arial" w:cs="Arial"/>
          <w:sz w:val="24"/>
          <w:szCs w:val="24"/>
        </w:rPr>
      </w:pPr>
    </w:p>
    <w:tbl>
      <w:tblPr>
        <w:tblW w:w="10380" w:type="dxa"/>
        <w:jc w:val="center"/>
        <w:tblLayout w:type="fixed"/>
        <w:tblCellMar>
          <w:left w:w="70" w:type="dxa"/>
          <w:right w:w="70" w:type="dxa"/>
        </w:tblCellMar>
        <w:tblLook w:val="0000" w:firstRow="0" w:lastRow="0" w:firstColumn="0" w:lastColumn="0" w:noHBand="0" w:noVBand="0"/>
      </w:tblPr>
      <w:tblGrid>
        <w:gridCol w:w="562"/>
        <w:gridCol w:w="1134"/>
        <w:gridCol w:w="709"/>
        <w:gridCol w:w="425"/>
        <w:gridCol w:w="851"/>
        <w:gridCol w:w="709"/>
        <w:gridCol w:w="694"/>
        <w:gridCol w:w="440"/>
        <w:gridCol w:w="689"/>
        <w:gridCol w:w="728"/>
        <w:gridCol w:w="709"/>
        <w:gridCol w:w="2713"/>
        <w:gridCol w:w="17"/>
      </w:tblGrid>
      <w:tr w:rsidR="00712618" w:rsidRPr="00712618" w14:paraId="2CEA0FBF" w14:textId="77777777" w:rsidTr="009E04D5">
        <w:trPr>
          <w:gridAfter w:val="1"/>
          <w:wAfter w:w="17" w:type="dxa"/>
          <w:trHeight w:val="282"/>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9E9142"/>
            <w:vAlign w:val="center"/>
          </w:tcPr>
          <w:p w14:paraId="21AAA8F5" w14:textId="77777777" w:rsidR="00712618" w:rsidRPr="00712618" w:rsidRDefault="00712618" w:rsidP="00712618">
            <w:pPr>
              <w:adjustRightInd w:val="0"/>
              <w:spacing w:after="0" w:line="240" w:lineRule="auto"/>
              <w:ind w:left="-72" w:right="-68" w:hanging="72"/>
              <w:jc w:val="center"/>
              <w:rPr>
                <w:rFonts w:ascii="Arial" w:hAnsi="Arial" w:cs="Arial"/>
                <w:b/>
                <w:bCs/>
                <w:color w:val="FFFFFF"/>
                <w:sz w:val="12"/>
                <w:szCs w:val="12"/>
              </w:rPr>
            </w:pPr>
            <w:r w:rsidRPr="00712618">
              <w:rPr>
                <w:rFonts w:ascii="Arial" w:hAnsi="Arial" w:cs="Arial"/>
                <w:b/>
                <w:bCs/>
                <w:color w:val="FFFFFF"/>
                <w:sz w:val="12"/>
                <w:szCs w:val="12"/>
              </w:rPr>
              <w:t>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E9142"/>
            <w:vAlign w:val="center"/>
          </w:tcPr>
          <w:p w14:paraId="2B208836" w14:textId="77777777" w:rsidR="00712618" w:rsidRPr="00712618" w:rsidRDefault="00712618" w:rsidP="00712618">
            <w:pPr>
              <w:adjustRightInd w:val="0"/>
              <w:spacing w:after="0" w:line="240" w:lineRule="auto"/>
              <w:jc w:val="center"/>
              <w:rPr>
                <w:rFonts w:ascii="Arial" w:hAnsi="Arial" w:cs="Arial"/>
                <w:b/>
                <w:bCs/>
                <w:color w:val="FFFFFF"/>
                <w:sz w:val="12"/>
                <w:szCs w:val="12"/>
              </w:rPr>
            </w:pPr>
            <w:r w:rsidRPr="00712618">
              <w:rPr>
                <w:rFonts w:ascii="Arial" w:hAnsi="Arial" w:cs="Arial"/>
                <w:b/>
                <w:bCs/>
                <w:color w:val="FFFFFF"/>
                <w:sz w:val="12"/>
                <w:szCs w:val="12"/>
              </w:rPr>
              <w:t xml:space="preserve">ENTIDAD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E9142"/>
            <w:vAlign w:val="center"/>
          </w:tcPr>
          <w:p w14:paraId="1A1644DB" w14:textId="77777777" w:rsidR="00712618" w:rsidRPr="00712618" w:rsidRDefault="00712618" w:rsidP="00712618">
            <w:pPr>
              <w:adjustRightInd w:val="0"/>
              <w:spacing w:after="0" w:line="240" w:lineRule="auto"/>
              <w:jc w:val="center"/>
              <w:rPr>
                <w:rFonts w:ascii="Arial" w:hAnsi="Arial" w:cs="Arial"/>
                <w:b/>
                <w:bCs/>
                <w:color w:val="FFFFFF"/>
                <w:sz w:val="12"/>
                <w:szCs w:val="12"/>
              </w:rPr>
            </w:pPr>
            <w:r w:rsidRPr="00712618">
              <w:rPr>
                <w:rFonts w:ascii="Arial" w:hAnsi="Arial" w:cs="Arial"/>
                <w:b/>
                <w:bCs/>
                <w:color w:val="FFFFFF"/>
                <w:sz w:val="12"/>
                <w:szCs w:val="12"/>
              </w:rPr>
              <w:t>TOTAL</w:t>
            </w:r>
          </w:p>
          <w:p w14:paraId="635C32BD" w14:textId="77777777" w:rsidR="00712618" w:rsidRPr="00712618" w:rsidRDefault="00712618" w:rsidP="00712618">
            <w:pPr>
              <w:adjustRightInd w:val="0"/>
              <w:spacing w:after="0" w:line="240" w:lineRule="auto"/>
              <w:jc w:val="center"/>
              <w:rPr>
                <w:rFonts w:ascii="Arial" w:hAnsi="Arial" w:cs="Arial"/>
                <w:b/>
                <w:bCs/>
                <w:color w:val="FFFFFF"/>
                <w:sz w:val="12"/>
                <w:szCs w:val="12"/>
              </w:rPr>
            </w:pPr>
            <w:r w:rsidRPr="00712618">
              <w:rPr>
                <w:rFonts w:ascii="Arial" w:hAnsi="Arial" w:cs="Arial"/>
                <w:b/>
                <w:bCs/>
                <w:color w:val="FFFFFF"/>
                <w:sz w:val="12"/>
                <w:szCs w:val="12"/>
              </w:rPr>
              <w:t>DE PROG. PRESUP</w:t>
            </w:r>
          </w:p>
        </w:tc>
        <w:tc>
          <w:tcPr>
            <w:tcW w:w="5245" w:type="dxa"/>
            <w:gridSpan w:val="8"/>
            <w:tcBorders>
              <w:top w:val="single" w:sz="4" w:space="0" w:color="auto"/>
              <w:left w:val="single" w:sz="4" w:space="0" w:color="auto"/>
              <w:bottom w:val="single" w:sz="4" w:space="0" w:color="auto"/>
              <w:right w:val="single" w:sz="4" w:space="0" w:color="auto"/>
            </w:tcBorders>
            <w:shd w:val="clear" w:color="auto" w:fill="9E9142"/>
            <w:vAlign w:val="center"/>
          </w:tcPr>
          <w:p w14:paraId="63136ACE" w14:textId="77777777" w:rsidR="00712618" w:rsidRPr="00712618" w:rsidRDefault="00712618" w:rsidP="00712618">
            <w:pPr>
              <w:adjustRightInd w:val="0"/>
              <w:spacing w:after="0" w:line="240" w:lineRule="auto"/>
              <w:jc w:val="center"/>
              <w:rPr>
                <w:rFonts w:ascii="Arial" w:hAnsi="Arial" w:cs="Arial"/>
                <w:b/>
                <w:bCs/>
                <w:color w:val="FFFFFF"/>
                <w:sz w:val="12"/>
                <w:szCs w:val="12"/>
              </w:rPr>
            </w:pPr>
            <w:r w:rsidRPr="00712618">
              <w:rPr>
                <w:rFonts w:ascii="Arial" w:hAnsi="Arial" w:cs="Arial"/>
                <w:b/>
                <w:bCs/>
                <w:color w:val="FFFFFF"/>
                <w:sz w:val="12"/>
                <w:szCs w:val="12"/>
              </w:rPr>
              <w:t>CUMPLIMIENTO AL CUARTO TRIMESTRE</w:t>
            </w:r>
          </w:p>
        </w:tc>
        <w:tc>
          <w:tcPr>
            <w:tcW w:w="2713" w:type="dxa"/>
            <w:vMerge w:val="restart"/>
            <w:tcBorders>
              <w:top w:val="single" w:sz="4" w:space="0" w:color="auto"/>
              <w:left w:val="single" w:sz="4" w:space="0" w:color="auto"/>
              <w:bottom w:val="single" w:sz="4" w:space="0" w:color="auto"/>
              <w:right w:val="single" w:sz="4" w:space="0" w:color="auto"/>
            </w:tcBorders>
            <w:shd w:val="clear" w:color="auto" w:fill="9E9142"/>
            <w:vAlign w:val="center"/>
          </w:tcPr>
          <w:p w14:paraId="7AF53B1F" w14:textId="77777777" w:rsidR="00712618" w:rsidRPr="00712618" w:rsidRDefault="00712618" w:rsidP="00712618">
            <w:pPr>
              <w:adjustRightInd w:val="0"/>
              <w:spacing w:before="120" w:after="120" w:line="240" w:lineRule="auto"/>
              <w:jc w:val="center"/>
              <w:rPr>
                <w:rFonts w:ascii="Arial" w:hAnsi="Arial" w:cs="Arial"/>
                <w:b/>
                <w:bCs/>
                <w:color w:val="FFFFFF"/>
                <w:sz w:val="12"/>
                <w:szCs w:val="12"/>
              </w:rPr>
            </w:pPr>
            <w:r w:rsidRPr="00712618">
              <w:rPr>
                <w:rFonts w:ascii="Arial" w:hAnsi="Arial" w:cs="Arial"/>
                <w:b/>
                <w:bCs/>
                <w:color w:val="FFFFFF"/>
                <w:sz w:val="12"/>
                <w:szCs w:val="12"/>
              </w:rPr>
              <w:t>COMENTARIOS A JUSTIFICACIONES</w:t>
            </w:r>
          </w:p>
        </w:tc>
      </w:tr>
      <w:tr w:rsidR="00712618" w:rsidRPr="00712618" w14:paraId="17190604" w14:textId="77777777" w:rsidTr="009E04D5">
        <w:trPr>
          <w:gridAfter w:val="1"/>
          <w:wAfter w:w="17" w:type="dxa"/>
          <w:trHeight w:val="163"/>
          <w:tblHeader/>
          <w:jc w:val="center"/>
        </w:trPr>
        <w:tc>
          <w:tcPr>
            <w:tcW w:w="562" w:type="dxa"/>
            <w:vMerge/>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2A6AD30D" w14:textId="77777777" w:rsidR="00712618" w:rsidRPr="00712618" w:rsidRDefault="00712618" w:rsidP="00712618">
            <w:pPr>
              <w:adjustRightInd w:val="0"/>
              <w:spacing w:after="0" w:line="240" w:lineRule="auto"/>
              <w:jc w:val="center"/>
              <w:rPr>
                <w:rFonts w:ascii="Arial" w:hAnsi="Arial" w:cs="Arial"/>
                <w:b/>
                <w:bCs/>
                <w:color w:val="FFFFFF"/>
                <w:sz w:val="12"/>
                <w:szCs w:val="12"/>
              </w:rPr>
            </w:pPr>
          </w:p>
        </w:tc>
        <w:tc>
          <w:tcPr>
            <w:tcW w:w="1134" w:type="dxa"/>
            <w:vMerge/>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5F2F6A32" w14:textId="77777777" w:rsidR="00712618" w:rsidRPr="00712618" w:rsidRDefault="00712618" w:rsidP="00712618">
            <w:pPr>
              <w:adjustRightInd w:val="0"/>
              <w:spacing w:after="0" w:line="240" w:lineRule="auto"/>
              <w:jc w:val="center"/>
              <w:rPr>
                <w:rFonts w:ascii="Arial" w:hAnsi="Arial" w:cs="Arial"/>
                <w:b/>
                <w:bCs/>
                <w:color w:val="FFFFFF"/>
                <w:sz w:val="12"/>
                <w:szCs w:val="12"/>
              </w:rPr>
            </w:pPr>
          </w:p>
        </w:tc>
        <w:tc>
          <w:tcPr>
            <w:tcW w:w="709" w:type="dxa"/>
            <w:vMerge/>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3909DD27" w14:textId="77777777" w:rsidR="00712618" w:rsidRPr="00712618" w:rsidRDefault="00712618" w:rsidP="00712618">
            <w:pPr>
              <w:adjustRightInd w:val="0"/>
              <w:spacing w:after="0" w:line="240" w:lineRule="auto"/>
              <w:jc w:val="center"/>
              <w:rPr>
                <w:rFonts w:ascii="Arial" w:hAnsi="Arial" w:cs="Arial"/>
                <w:b/>
                <w:bCs/>
                <w:color w:val="FFFFFF"/>
                <w:sz w:val="12"/>
                <w:szCs w:val="12"/>
              </w:rPr>
            </w:pPr>
          </w:p>
        </w:tc>
        <w:tc>
          <w:tcPr>
            <w:tcW w:w="2679" w:type="dxa"/>
            <w:gridSpan w:val="4"/>
            <w:tcBorders>
              <w:top w:val="single" w:sz="4" w:space="0" w:color="auto"/>
              <w:left w:val="single" w:sz="4" w:space="0" w:color="auto"/>
              <w:bottom w:val="single" w:sz="4" w:space="0" w:color="auto"/>
              <w:right w:val="single" w:sz="4" w:space="0" w:color="auto"/>
            </w:tcBorders>
            <w:shd w:val="clear" w:color="auto" w:fill="9E9142"/>
            <w:vAlign w:val="center"/>
          </w:tcPr>
          <w:p w14:paraId="4A75E49A" w14:textId="77777777" w:rsidR="00712618" w:rsidRPr="00712618" w:rsidRDefault="00712618" w:rsidP="00712618">
            <w:pPr>
              <w:adjustRightInd w:val="0"/>
              <w:spacing w:after="0" w:line="240" w:lineRule="auto"/>
              <w:jc w:val="center"/>
              <w:rPr>
                <w:rFonts w:ascii="Arial" w:hAnsi="Arial" w:cs="Arial"/>
                <w:b/>
                <w:bCs/>
                <w:color w:val="FFFFFF"/>
                <w:sz w:val="12"/>
                <w:szCs w:val="12"/>
              </w:rPr>
            </w:pPr>
            <w:r w:rsidRPr="00712618">
              <w:rPr>
                <w:rFonts w:ascii="Arial" w:hAnsi="Arial" w:cs="Arial"/>
                <w:b/>
                <w:bCs/>
                <w:color w:val="FFFFFF"/>
                <w:sz w:val="12"/>
                <w:szCs w:val="12"/>
              </w:rPr>
              <w:t>INDICADORES ESTRATÉGICOS</w:t>
            </w:r>
          </w:p>
        </w:tc>
        <w:tc>
          <w:tcPr>
            <w:tcW w:w="2566" w:type="dxa"/>
            <w:gridSpan w:val="4"/>
            <w:tcBorders>
              <w:top w:val="single" w:sz="4" w:space="0" w:color="auto"/>
              <w:left w:val="single" w:sz="4" w:space="0" w:color="auto"/>
              <w:bottom w:val="single" w:sz="4" w:space="0" w:color="auto"/>
              <w:right w:val="single" w:sz="4" w:space="0" w:color="auto"/>
            </w:tcBorders>
            <w:shd w:val="clear" w:color="auto" w:fill="9E9142"/>
            <w:vAlign w:val="center"/>
          </w:tcPr>
          <w:p w14:paraId="27CFD412" w14:textId="77777777" w:rsidR="00712618" w:rsidRPr="00712618" w:rsidRDefault="00712618" w:rsidP="00712618">
            <w:pPr>
              <w:adjustRightInd w:val="0"/>
              <w:spacing w:after="0" w:line="240" w:lineRule="auto"/>
              <w:jc w:val="center"/>
              <w:rPr>
                <w:rFonts w:ascii="Arial" w:hAnsi="Arial" w:cs="Arial"/>
                <w:b/>
                <w:bCs/>
                <w:color w:val="FFFFFF"/>
                <w:sz w:val="12"/>
                <w:szCs w:val="12"/>
              </w:rPr>
            </w:pPr>
            <w:r w:rsidRPr="00712618">
              <w:rPr>
                <w:rFonts w:ascii="Arial" w:hAnsi="Arial" w:cs="Arial"/>
                <w:b/>
                <w:bCs/>
                <w:color w:val="FFFFFF"/>
                <w:sz w:val="12"/>
                <w:szCs w:val="12"/>
              </w:rPr>
              <w:t>INDICADORES DE GESTIÓN (COMPONENTE)</w:t>
            </w:r>
          </w:p>
        </w:tc>
        <w:tc>
          <w:tcPr>
            <w:tcW w:w="2713" w:type="dxa"/>
            <w:vMerge/>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6B076E22" w14:textId="77777777" w:rsidR="00712618" w:rsidRPr="00712618" w:rsidRDefault="00712618" w:rsidP="00712618">
            <w:pPr>
              <w:adjustRightInd w:val="0"/>
              <w:spacing w:before="120" w:after="120" w:line="240" w:lineRule="auto"/>
              <w:jc w:val="center"/>
              <w:rPr>
                <w:rFonts w:ascii="Arial" w:hAnsi="Arial" w:cs="Arial"/>
                <w:b/>
                <w:bCs/>
                <w:color w:val="FFFFFF"/>
                <w:sz w:val="14"/>
                <w:szCs w:val="14"/>
              </w:rPr>
            </w:pPr>
          </w:p>
        </w:tc>
      </w:tr>
      <w:tr w:rsidR="00712618" w:rsidRPr="00712618" w14:paraId="3F1233AD" w14:textId="77777777" w:rsidTr="009E04D5">
        <w:trPr>
          <w:gridAfter w:val="1"/>
          <w:wAfter w:w="17" w:type="dxa"/>
          <w:trHeight w:val="624"/>
          <w:tblHeader/>
          <w:jc w:val="center"/>
        </w:trPr>
        <w:tc>
          <w:tcPr>
            <w:tcW w:w="562" w:type="dxa"/>
            <w:vMerge/>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36087E14" w14:textId="77777777" w:rsidR="00712618" w:rsidRPr="00712618" w:rsidRDefault="00712618" w:rsidP="00712618">
            <w:pPr>
              <w:adjustRightInd w:val="0"/>
              <w:spacing w:after="0" w:line="240" w:lineRule="auto"/>
              <w:jc w:val="center"/>
              <w:rPr>
                <w:rFonts w:ascii="Arial" w:hAnsi="Arial" w:cs="Arial"/>
                <w:b/>
                <w:bCs/>
                <w:color w:val="FFFFFF"/>
                <w:sz w:val="12"/>
                <w:szCs w:val="12"/>
              </w:rPr>
            </w:pPr>
          </w:p>
        </w:tc>
        <w:tc>
          <w:tcPr>
            <w:tcW w:w="1134" w:type="dxa"/>
            <w:vMerge/>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7ED988B3" w14:textId="77777777" w:rsidR="00712618" w:rsidRPr="00712618" w:rsidRDefault="00712618" w:rsidP="00712618">
            <w:pPr>
              <w:adjustRightInd w:val="0"/>
              <w:spacing w:after="0" w:line="240" w:lineRule="auto"/>
              <w:jc w:val="center"/>
              <w:rPr>
                <w:rFonts w:ascii="Arial" w:hAnsi="Arial" w:cs="Arial"/>
                <w:b/>
                <w:bCs/>
                <w:color w:val="FFFFFF"/>
                <w:sz w:val="12"/>
                <w:szCs w:val="12"/>
              </w:rPr>
            </w:pPr>
          </w:p>
        </w:tc>
        <w:tc>
          <w:tcPr>
            <w:tcW w:w="709" w:type="dxa"/>
            <w:vMerge/>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7A5E2725" w14:textId="77777777" w:rsidR="00712618" w:rsidRPr="00712618" w:rsidRDefault="00712618" w:rsidP="00712618">
            <w:pPr>
              <w:adjustRightInd w:val="0"/>
              <w:spacing w:after="0" w:line="240" w:lineRule="auto"/>
              <w:jc w:val="center"/>
              <w:rPr>
                <w:rFonts w:ascii="Arial" w:hAnsi="Arial" w:cs="Arial"/>
                <w:b/>
                <w:bCs/>
                <w:color w:val="FFFFFF"/>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9E9142"/>
            <w:vAlign w:val="center"/>
          </w:tcPr>
          <w:p w14:paraId="0910BAD8" w14:textId="77777777" w:rsidR="00712618" w:rsidRPr="00712618" w:rsidRDefault="00712618" w:rsidP="00712618">
            <w:pPr>
              <w:adjustRightInd w:val="0"/>
              <w:spacing w:after="0" w:line="240" w:lineRule="auto"/>
              <w:ind w:left="-74" w:right="-73"/>
              <w:jc w:val="center"/>
              <w:rPr>
                <w:rFonts w:ascii="Arial" w:hAnsi="Arial" w:cs="Arial"/>
                <w:b/>
                <w:bCs/>
                <w:color w:val="FFFFFF"/>
                <w:sz w:val="12"/>
                <w:szCs w:val="12"/>
              </w:rPr>
            </w:pPr>
            <w:r w:rsidRPr="00712618">
              <w:rPr>
                <w:rFonts w:ascii="Arial" w:hAnsi="Arial" w:cs="Arial"/>
                <w:b/>
                <w:bCs/>
                <w:color w:val="FFFFFF"/>
                <w:sz w:val="12"/>
                <w:szCs w:val="12"/>
              </w:rPr>
              <w:t>TOTAL DE IND</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tcPr>
          <w:p w14:paraId="61DCA272"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MENOR A 75.00% Y MAYOR A 115%</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6850CF2C"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MAYOR/ IGUAL A</w:t>
            </w:r>
          </w:p>
          <w:p w14:paraId="7F28AA11"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75.00% MENOR/ IGUAL A</w:t>
            </w:r>
          </w:p>
          <w:p w14:paraId="56113B45"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84.99%</w:t>
            </w:r>
          </w:p>
        </w:tc>
        <w:tc>
          <w:tcPr>
            <w:tcW w:w="694" w:type="dxa"/>
            <w:tcBorders>
              <w:top w:val="single" w:sz="4" w:space="0" w:color="auto"/>
              <w:left w:val="single" w:sz="4" w:space="0" w:color="auto"/>
              <w:bottom w:val="single" w:sz="4" w:space="0" w:color="auto"/>
              <w:right w:val="single" w:sz="4" w:space="0" w:color="auto"/>
            </w:tcBorders>
            <w:shd w:val="clear" w:color="auto" w:fill="00B050"/>
            <w:vAlign w:val="center"/>
          </w:tcPr>
          <w:p w14:paraId="6E1BB1E3"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MAYOR/ IGUAL A</w:t>
            </w:r>
          </w:p>
          <w:p w14:paraId="378439EA"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85.00 % MENOR/ IGUAL A</w:t>
            </w:r>
          </w:p>
          <w:p w14:paraId="66AEA7F0"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115%</w:t>
            </w:r>
          </w:p>
        </w:tc>
        <w:tc>
          <w:tcPr>
            <w:tcW w:w="440" w:type="dxa"/>
            <w:tcBorders>
              <w:top w:val="single" w:sz="4" w:space="0" w:color="auto"/>
              <w:left w:val="single" w:sz="4" w:space="0" w:color="auto"/>
              <w:bottom w:val="single" w:sz="4" w:space="0" w:color="auto"/>
              <w:right w:val="single" w:sz="4" w:space="0" w:color="auto"/>
            </w:tcBorders>
            <w:shd w:val="clear" w:color="auto" w:fill="9E9142"/>
            <w:vAlign w:val="center"/>
          </w:tcPr>
          <w:p w14:paraId="556D8B89" w14:textId="77777777" w:rsidR="00712618" w:rsidRPr="00712618" w:rsidRDefault="00712618" w:rsidP="00712618">
            <w:pPr>
              <w:adjustRightInd w:val="0"/>
              <w:spacing w:after="0" w:line="240" w:lineRule="auto"/>
              <w:ind w:left="-69" w:right="-73"/>
              <w:jc w:val="center"/>
              <w:rPr>
                <w:rFonts w:ascii="Arial" w:hAnsi="Arial" w:cs="Arial"/>
                <w:b/>
                <w:bCs/>
                <w:color w:val="FFFFFF"/>
                <w:sz w:val="12"/>
                <w:szCs w:val="12"/>
              </w:rPr>
            </w:pPr>
            <w:r w:rsidRPr="00712618">
              <w:rPr>
                <w:rFonts w:ascii="Arial" w:hAnsi="Arial" w:cs="Arial"/>
                <w:b/>
                <w:bCs/>
                <w:color w:val="FFFFFF"/>
                <w:sz w:val="12"/>
                <w:szCs w:val="12"/>
              </w:rPr>
              <w:t>TOTAL DE IND.</w:t>
            </w:r>
          </w:p>
        </w:tc>
        <w:tc>
          <w:tcPr>
            <w:tcW w:w="689" w:type="dxa"/>
            <w:tcBorders>
              <w:top w:val="single" w:sz="4" w:space="0" w:color="auto"/>
              <w:left w:val="single" w:sz="4" w:space="0" w:color="auto"/>
              <w:bottom w:val="single" w:sz="4" w:space="0" w:color="auto"/>
              <w:right w:val="single" w:sz="4" w:space="0" w:color="auto"/>
            </w:tcBorders>
            <w:shd w:val="clear" w:color="auto" w:fill="FF0000"/>
            <w:vAlign w:val="center"/>
          </w:tcPr>
          <w:p w14:paraId="668EEF71"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MENOR A 75.00% Y MAYOR A 115%</w:t>
            </w:r>
          </w:p>
        </w:tc>
        <w:tc>
          <w:tcPr>
            <w:tcW w:w="728" w:type="dxa"/>
            <w:tcBorders>
              <w:top w:val="single" w:sz="4" w:space="0" w:color="auto"/>
              <w:left w:val="single" w:sz="4" w:space="0" w:color="auto"/>
              <w:bottom w:val="single" w:sz="4" w:space="0" w:color="auto"/>
              <w:right w:val="single" w:sz="4" w:space="0" w:color="auto"/>
            </w:tcBorders>
            <w:shd w:val="clear" w:color="auto" w:fill="FFFF00"/>
            <w:vAlign w:val="center"/>
          </w:tcPr>
          <w:p w14:paraId="1484B8BD"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MAYOR/ IGUAL A</w:t>
            </w:r>
          </w:p>
          <w:p w14:paraId="42AFF9B6"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75.00% MENOR/ IGUAL A</w:t>
            </w:r>
          </w:p>
          <w:p w14:paraId="740B86CB"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84.99%</w:t>
            </w:r>
          </w:p>
        </w:tc>
        <w:tc>
          <w:tcPr>
            <w:tcW w:w="709" w:type="dxa"/>
            <w:tcBorders>
              <w:top w:val="single" w:sz="4" w:space="0" w:color="auto"/>
              <w:left w:val="single" w:sz="4" w:space="0" w:color="auto"/>
              <w:bottom w:val="single" w:sz="4" w:space="0" w:color="auto"/>
              <w:right w:val="single" w:sz="4" w:space="0" w:color="auto"/>
            </w:tcBorders>
            <w:shd w:val="clear" w:color="auto" w:fill="00B050"/>
            <w:vAlign w:val="center"/>
          </w:tcPr>
          <w:p w14:paraId="793F051D"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MAYOR/ IGUAL A</w:t>
            </w:r>
          </w:p>
          <w:p w14:paraId="01B434FB"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85.00 % MENOR/ IGUAL A</w:t>
            </w:r>
          </w:p>
          <w:p w14:paraId="79613601" w14:textId="77777777" w:rsidR="00712618" w:rsidRPr="00712618" w:rsidRDefault="00712618" w:rsidP="00712618">
            <w:pPr>
              <w:adjustRightInd w:val="0"/>
              <w:spacing w:after="0" w:line="240" w:lineRule="auto"/>
              <w:jc w:val="center"/>
              <w:rPr>
                <w:rFonts w:ascii="Arial" w:hAnsi="Arial" w:cs="Arial"/>
                <w:b/>
                <w:bCs/>
                <w:sz w:val="12"/>
                <w:szCs w:val="12"/>
              </w:rPr>
            </w:pPr>
            <w:r w:rsidRPr="00712618">
              <w:rPr>
                <w:rFonts w:ascii="Arial" w:hAnsi="Arial" w:cs="Arial"/>
                <w:b/>
                <w:bCs/>
                <w:sz w:val="12"/>
                <w:szCs w:val="12"/>
              </w:rPr>
              <w:t>115%</w:t>
            </w:r>
          </w:p>
        </w:tc>
        <w:tc>
          <w:tcPr>
            <w:tcW w:w="2713" w:type="dxa"/>
            <w:vMerge/>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14:paraId="2161C6BE" w14:textId="77777777" w:rsidR="00712618" w:rsidRPr="00712618" w:rsidRDefault="00712618" w:rsidP="00712618">
            <w:pPr>
              <w:adjustRightInd w:val="0"/>
              <w:spacing w:before="120" w:after="120" w:line="240" w:lineRule="auto"/>
              <w:jc w:val="center"/>
              <w:rPr>
                <w:rFonts w:ascii="Arial" w:hAnsi="Arial" w:cs="Arial"/>
                <w:b/>
                <w:bCs/>
                <w:color w:val="FFFFFF"/>
                <w:sz w:val="14"/>
                <w:szCs w:val="14"/>
              </w:rPr>
            </w:pPr>
          </w:p>
        </w:tc>
      </w:tr>
      <w:tr w:rsidR="00712618" w:rsidRPr="00712618" w14:paraId="3A86D6A3" w14:textId="77777777" w:rsidTr="009E04D5">
        <w:trPr>
          <w:trHeight w:val="274"/>
          <w:jc w:val="center"/>
        </w:trPr>
        <w:tc>
          <w:tcPr>
            <w:tcW w:w="10380" w:type="dxa"/>
            <w:gridSpan w:val="13"/>
            <w:tcBorders>
              <w:top w:val="single" w:sz="4" w:space="0" w:color="auto"/>
              <w:left w:val="single" w:sz="4" w:space="0" w:color="auto"/>
              <w:bottom w:val="single" w:sz="4" w:space="0" w:color="auto"/>
              <w:right w:val="single" w:sz="4" w:space="0" w:color="auto"/>
            </w:tcBorders>
            <w:shd w:val="clear" w:color="auto" w:fill="9E9142"/>
            <w:vAlign w:val="center"/>
          </w:tcPr>
          <w:p w14:paraId="385546B8" w14:textId="77777777" w:rsidR="00712618" w:rsidRPr="00712618" w:rsidRDefault="00712618" w:rsidP="00712618">
            <w:pPr>
              <w:adjustRightInd w:val="0"/>
              <w:spacing w:before="120" w:after="120" w:line="240" w:lineRule="auto"/>
              <w:jc w:val="center"/>
              <w:rPr>
                <w:rFonts w:ascii="Arial" w:hAnsi="Arial" w:cs="Arial"/>
                <w:b/>
                <w:bCs/>
                <w:color w:val="FFFFFF" w:themeColor="background1"/>
                <w:sz w:val="14"/>
                <w:szCs w:val="14"/>
              </w:rPr>
            </w:pPr>
            <w:r w:rsidRPr="00712618">
              <w:rPr>
                <w:rFonts w:ascii="Arial" w:hAnsi="Arial" w:cs="Arial"/>
                <w:b/>
                <w:bCs/>
                <w:color w:val="FFFFFF" w:themeColor="background1"/>
                <w:sz w:val="14"/>
                <w:szCs w:val="14"/>
              </w:rPr>
              <w:t>PODERES</w:t>
            </w:r>
          </w:p>
        </w:tc>
      </w:tr>
      <w:tr w:rsidR="00712618" w:rsidRPr="00712618" w14:paraId="4E82BA34" w14:textId="77777777" w:rsidTr="009E04D5">
        <w:trPr>
          <w:gridAfter w:val="1"/>
          <w:wAfter w:w="17" w:type="dxa"/>
          <w:trHeight w:val="2107"/>
          <w:jc w:val="center"/>
        </w:trPr>
        <w:tc>
          <w:tcPr>
            <w:tcW w:w="562" w:type="dxa"/>
            <w:vAlign w:val="center"/>
          </w:tcPr>
          <w:p w14:paraId="61E5043A" w14:textId="77777777" w:rsidR="00712618" w:rsidRPr="00712618" w:rsidRDefault="00712618" w:rsidP="00712618">
            <w:pPr>
              <w:adjustRightInd w:val="0"/>
              <w:spacing w:before="120" w:after="120" w:line="240" w:lineRule="auto"/>
              <w:ind w:right="-66"/>
              <w:jc w:val="center"/>
              <w:rPr>
                <w:rFonts w:ascii="Arial" w:hAnsi="Arial" w:cs="Arial"/>
                <w:b/>
                <w:bCs/>
                <w:sz w:val="14"/>
                <w:szCs w:val="14"/>
              </w:rPr>
            </w:pPr>
            <w:r w:rsidRPr="00712618">
              <w:rPr>
                <w:rFonts w:ascii="Arial" w:hAnsi="Arial" w:cs="Arial"/>
                <w:sz w:val="14"/>
                <w:szCs w:val="14"/>
              </w:rPr>
              <w:t>1</w:t>
            </w:r>
          </w:p>
        </w:tc>
        <w:tc>
          <w:tcPr>
            <w:tcW w:w="1134" w:type="dxa"/>
            <w:vAlign w:val="center"/>
          </w:tcPr>
          <w:p w14:paraId="29E01D2F"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H. Poder Judicial</w:t>
            </w:r>
          </w:p>
        </w:tc>
        <w:tc>
          <w:tcPr>
            <w:tcW w:w="709" w:type="dxa"/>
            <w:vAlign w:val="center"/>
          </w:tcPr>
          <w:p w14:paraId="15CC4E1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9DBD2A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612CD01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vAlign w:val="center"/>
          </w:tcPr>
          <w:p w14:paraId="0F370AF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vAlign w:val="center"/>
          </w:tcPr>
          <w:p w14:paraId="4DADA4E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199C7B6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9</w:t>
            </w:r>
          </w:p>
        </w:tc>
        <w:tc>
          <w:tcPr>
            <w:tcW w:w="689" w:type="dxa"/>
            <w:vAlign w:val="center"/>
          </w:tcPr>
          <w:p w14:paraId="2336E27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728" w:type="dxa"/>
            <w:vAlign w:val="center"/>
          </w:tcPr>
          <w:p w14:paraId="0B9A534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3A79D48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2713" w:type="dxa"/>
            <w:vAlign w:val="center"/>
          </w:tcPr>
          <w:p w14:paraId="6EDA79E2"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Los indicadores estratégicos a nivel Fin tienen el 125.00% de avance, superando la meta anual debido a la implementación de mejoras administrativas. A nivel Propósito supera la meta anual con un 172.22%, derivado de la efectividad en los mecanismos para brindar soluciones a las diversas controversias judiciales. Los indicadores de gestión tienen un promedio de 274.91% superando la meta anual, debido a que fueron eficientes los procesos administrativos, el Plan anual de obra y mantenimiento. </w:t>
            </w:r>
          </w:p>
        </w:tc>
      </w:tr>
      <w:tr w:rsidR="00712618" w:rsidRPr="00712618" w14:paraId="7FDD2A00" w14:textId="77777777" w:rsidTr="009E04D5">
        <w:trPr>
          <w:gridAfter w:val="1"/>
          <w:wAfter w:w="17" w:type="dxa"/>
          <w:trHeight w:val="591"/>
          <w:jc w:val="center"/>
        </w:trPr>
        <w:tc>
          <w:tcPr>
            <w:tcW w:w="562" w:type="dxa"/>
            <w:vAlign w:val="center"/>
          </w:tcPr>
          <w:p w14:paraId="082E3456" w14:textId="77777777" w:rsidR="00712618" w:rsidRPr="00712618" w:rsidRDefault="00712618" w:rsidP="00712618">
            <w:pPr>
              <w:adjustRightInd w:val="0"/>
              <w:spacing w:before="120" w:after="120" w:line="240" w:lineRule="auto"/>
              <w:ind w:right="-66"/>
              <w:jc w:val="center"/>
              <w:rPr>
                <w:rFonts w:ascii="Arial" w:hAnsi="Arial" w:cs="Arial"/>
                <w:sz w:val="14"/>
                <w:szCs w:val="14"/>
              </w:rPr>
            </w:pPr>
            <w:r w:rsidRPr="00712618">
              <w:rPr>
                <w:rFonts w:ascii="Arial" w:hAnsi="Arial" w:cs="Arial"/>
                <w:sz w:val="14"/>
                <w:szCs w:val="14"/>
              </w:rPr>
              <w:t>2</w:t>
            </w:r>
          </w:p>
        </w:tc>
        <w:tc>
          <w:tcPr>
            <w:tcW w:w="1134" w:type="dxa"/>
            <w:vAlign w:val="center"/>
          </w:tcPr>
          <w:p w14:paraId="6F9A79BE"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H. Poder Legislativo</w:t>
            </w:r>
          </w:p>
        </w:tc>
        <w:tc>
          <w:tcPr>
            <w:tcW w:w="709" w:type="dxa"/>
            <w:vAlign w:val="center"/>
          </w:tcPr>
          <w:p w14:paraId="143D583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106D5ED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851" w:type="dxa"/>
            <w:vAlign w:val="center"/>
          </w:tcPr>
          <w:p w14:paraId="4EDC2E6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vAlign w:val="center"/>
          </w:tcPr>
          <w:p w14:paraId="6FEE010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vAlign w:val="center"/>
          </w:tcPr>
          <w:p w14:paraId="18A99BC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3DC999B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7A1B412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28" w:type="dxa"/>
            <w:vAlign w:val="center"/>
          </w:tcPr>
          <w:p w14:paraId="029F1AB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2CD06BB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vAlign w:val="center"/>
          </w:tcPr>
          <w:p w14:paraId="52C237A2"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"Los indicadores estratégicos a nivel Fin tienen un avance del 126.41% y propósito 122.14%. La entidad manifiesta que su meta era llegar a 3,717 puntos, este supera la meta anual. Los 3 indicadores de gestión en rojo con un promedio de 37.57% de avance. En la justificación no se aclara el motivo por el cual no se alcanzó la meta. </w:t>
            </w:r>
          </w:p>
        </w:tc>
      </w:tr>
      <w:tr w:rsidR="00712618" w:rsidRPr="00712618" w14:paraId="0E6C49AA" w14:textId="77777777" w:rsidTr="009E04D5">
        <w:trPr>
          <w:gridAfter w:val="1"/>
          <w:wAfter w:w="17" w:type="dxa"/>
          <w:trHeight w:val="517"/>
          <w:jc w:val="center"/>
        </w:trPr>
        <w:tc>
          <w:tcPr>
            <w:tcW w:w="562" w:type="dxa"/>
            <w:vAlign w:val="center"/>
          </w:tcPr>
          <w:p w14:paraId="62A12E45" w14:textId="77777777" w:rsidR="00712618" w:rsidRPr="00712618" w:rsidRDefault="00712618" w:rsidP="00712618">
            <w:pPr>
              <w:adjustRightInd w:val="0"/>
              <w:spacing w:before="120" w:after="120" w:line="240" w:lineRule="auto"/>
              <w:ind w:right="-66"/>
              <w:jc w:val="center"/>
              <w:rPr>
                <w:rFonts w:ascii="Arial" w:hAnsi="Arial" w:cs="Arial"/>
                <w:b/>
                <w:bCs/>
                <w:color w:val="000000"/>
                <w:sz w:val="14"/>
                <w:szCs w:val="14"/>
              </w:rPr>
            </w:pPr>
            <w:r w:rsidRPr="00712618">
              <w:rPr>
                <w:rFonts w:ascii="Arial" w:hAnsi="Arial" w:cs="Arial"/>
                <w:sz w:val="14"/>
                <w:szCs w:val="14"/>
              </w:rPr>
              <w:t>2.1</w:t>
            </w:r>
          </w:p>
        </w:tc>
        <w:tc>
          <w:tcPr>
            <w:tcW w:w="1134" w:type="dxa"/>
            <w:vAlign w:val="center"/>
          </w:tcPr>
          <w:p w14:paraId="5C78F909" w14:textId="77777777" w:rsidR="00712618" w:rsidRPr="00712618" w:rsidRDefault="00712618" w:rsidP="00712618">
            <w:pPr>
              <w:adjustRightInd w:val="0"/>
              <w:spacing w:before="120" w:after="120" w:line="240" w:lineRule="auto"/>
              <w:jc w:val="both"/>
              <w:rPr>
                <w:rFonts w:ascii="Arial" w:hAnsi="Arial" w:cs="Arial"/>
                <w:color w:val="000000"/>
                <w:sz w:val="14"/>
                <w:szCs w:val="14"/>
              </w:rPr>
            </w:pPr>
            <w:r w:rsidRPr="00712618">
              <w:rPr>
                <w:rFonts w:ascii="Arial" w:hAnsi="Arial" w:cs="Arial"/>
                <w:sz w:val="14"/>
                <w:szCs w:val="14"/>
              </w:rPr>
              <w:t>Auditoría Superior del Estado de Quintana Roo</w:t>
            </w:r>
          </w:p>
        </w:tc>
        <w:tc>
          <w:tcPr>
            <w:tcW w:w="709" w:type="dxa"/>
            <w:vAlign w:val="center"/>
          </w:tcPr>
          <w:p w14:paraId="27F6C4A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40E33A9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851" w:type="dxa"/>
            <w:vAlign w:val="center"/>
          </w:tcPr>
          <w:p w14:paraId="684ACF3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18FBC16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vAlign w:val="center"/>
          </w:tcPr>
          <w:p w14:paraId="0D37592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1F63BA4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vAlign w:val="center"/>
          </w:tcPr>
          <w:p w14:paraId="4FEE2DD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7F60F76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46001F0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2713" w:type="dxa"/>
            <w:vAlign w:val="center"/>
          </w:tcPr>
          <w:p w14:paraId="0DB25B7C"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Fin tuvieron un 53.33% de avance.</w:t>
            </w:r>
            <w:r w:rsidRPr="00712618" w:rsidDel="001A25E4">
              <w:rPr>
                <w:rFonts w:ascii="Arial" w:hAnsi="Arial" w:cs="Arial"/>
                <w:sz w:val="14"/>
                <w:szCs w:val="14"/>
              </w:rPr>
              <w:t xml:space="preserve"> </w:t>
            </w:r>
          </w:p>
        </w:tc>
      </w:tr>
      <w:tr w:rsidR="00712618" w:rsidRPr="00712618" w14:paraId="3E1F0817" w14:textId="77777777" w:rsidTr="009E04D5">
        <w:trPr>
          <w:gridAfter w:val="1"/>
          <w:wAfter w:w="17" w:type="dxa"/>
          <w:trHeight w:val="544"/>
          <w:jc w:val="center"/>
        </w:trPr>
        <w:tc>
          <w:tcPr>
            <w:tcW w:w="562" w:type="dxa"/>
            <w:vAlign w:val="center"/>
          </w:tcPr>
          <w:p w14:paraId="6B52B946" w14:textId="77777777" w:rsidR="00712618" w:rsidRPr="00712618" w:rsidRDefault="00712618" w:rsidP="00712618">
            <w:pPr>
              <w:adjustRightInd w:val="0"/>
              <w:spacing w:before="120" w:after="120" w:line="240" w:lineRule="auto"/>
              <w:ind w:right="-66"/>
              <w:jc w:val="center"/>
              <w:rPr>
                <w:rFonts w:ascii="Arial" w:hAnsi="Arial" w:cs="Arial"/>
                <w:b/>
                <w:bCs/>
                <w:color w:val="000000"/>
                <w:sz w:val="14"/>
                <w:szCs w:val="14"/>
              </w:rPr>
            </w:pPr>
          </w:p>
        </w:tc>
        <w:tc>
          <w:tcPr>
            <w:tcW w:w="1134" w:type="dxa"/>
            <w:vAlign w:val="center"/>
          </w:tcPr>
          <w:p w14:paraId="5F9AAD4F" w14:textId="77777777" w:rsidR="00712618" w:rsidRPr="00712618" w:rsidRDefault="00712618" w:rsidP="00712618">
            <w:pPr>
              <w:adjustRightInd w:val="0"/>
              <w:spacing w:before="120" w:after="120" w:line="240" w:lineRule="auto"/>
              <w:jc w:val="both"/>
              <w:rPr>
                <w:rFonts w:ascii="Arial" w:hAnsi="Arial" w:cs="Arial"/>
                <w:sz w:val="14"/>
                <w:szCs w:val="14"/>
              </w:rPr>
            </w:pPr>
          </w:p>
          <w:p w14:paraId="4BF7ABB5" w14:textId="77777777" w:rsidR="00712618" w:rsidRPr="00712618" w:rsidRDefault="00712618" w:rsidP="00712618">
            <w:pPr>
              <w:adjustRightInd w:val="0"/>
              <w:spacing w:before="120" w:after="120" w:line="240" w:lineRule="auto"/>
              <w:jc w:val="both"/>
              <w:rPr>
                <w:rFonts w:ascii="Arial" w:hAnsi="Arial" w:cs="Arial"/>
                <w:sz w:val="14"/>
                <w:szCs w:val="14"/>
              </w:rPr>
            </w:pPr>
          </w:p>
          <w:p w14:paraId="778309D4" w14:textId="77777777" w:rsidR="00712618" w:rsidRPr="00712618" w:rsidRDefault="00712618" w:rsidP="00712618">
            <w:pPr>
              <w:adjustRightInd w:val="0"/>
              <w:spacing w:before="120" w:after="120" w:line="240" w:lineRule="auto"/>
              <w:jc w:val="both"/>
              <w:rPr>
                <w:rFonts w:ascii="Arial" w:hAnsi="Arial" w:cs="Arial"/>
                <w:color w:val="000000"/>
                <w:sz w:val="14"/>
                <w:szCs w:val="14"/>
              </w:rPr>
            </w:pPr>
            <w:r w:rsidRPr="00712618">
              <w:rPr>
                <w:rFonts w:ascii="Arial" w:hAnsi="Arial" w:cs="Arial"/>
                <w:sz w:val="14"/>
                <w:szCs w:val="14"/>
              </w:rPr>
              <w:t>H. Poder Ejecutivo</w:t>
            </w:r>
          </w:p>
        </w:tc>
        <w:tc>
          <w:tcPr>
            <w:tcW w:w="709" w:type="dxa"/>
            <w:vAlign w:val="center"/>
          </w:tcPr>
          <w:p w14:paraId="791D0A5D" w14:textId="77777777" w:rsidR="00712618" w:rsidRPr="00712618" w:rsidRDefault="00712618" w:rsidP="00712618">
            <w:pPr>
              <w:spacing w:before="120" w:after="120" w:line="240" w:lineRule="auto"/>
              <w:jc w:val="center"/>
              <w:rPr>
                <w:rFonts w:ascii="Arial" w:hAnsi="Arial" w:cs="Arial"/>
                <w:sz w:val="14"/>
                <w:szCs w:val="14"/>
              </w:rPr>
            </w:pPr>
          </w:p>
        </w:tc>
        <w:tc>
          <w:tcPr>
            <w:tcW w:w="425" w:type="dxa"/>
            <w:shd w:val="clear" w:color="auto" w:fill="D9D9D9" w:themeFill="background1" w:themeFillShade="D9"/>
            <w:vAlign w:val="center"/>
          </w:tcPr>
          <w:p w14:paraId="6A2397D4" w14:textId="77777777" w:rsidR="00712618" w:rsidRPr="00712618" w:rsidRDefault="00712618" w:rsidP="00712618">
            <w:pPr>
              <w:spacing w:before="120" w:after="120" w:line="240" w:lineRule="auto"/>
              <w:jc w:val="center"/>
              <w:rPr>
                <w:rFonts w:ascii="Arial" w:hAnsi="Arial" w:cs="Arial"/>
                <w:sz w:val="14"/>
                <w:szCs w:val="14"/>
              </w:rPr>
            </w:pPr>
          </w:p>
        </w:tc>
        <w:tc>
          <w:tcPr>
            <w:tcW w:w="851" w:type="dxa"/>
            <w:vAlign w:val="center"/>
          </w:tcPr>
          <w:p w14:paraId="72849E91" w14:textId="77777777" w:rsidR="00712618" w:rsidRPr="00712618" w:rsidRDefault="00712618" w:rsidP="00712618">
            <w:pPr>
              <w:spacing w:before="120" w:after="120" w:line="240" w:lineRule="auto"/>
              <w:jc w:val="center"/>
              <w:rPr>
                <w:rFonts w:ascii="Arial" w:hAnsi="Arial" w:cs="Arial"/>
                <w:sz w:val="14"/>
                <w:szCs w:val="14"/>
              </w:rPr>
            </w:pPr>
          </w:p>
        </w:tc>
        <w:tc>
          <w:tcPr>
            <w:tcW w:w="709" w:type="dxa"/>
            <w:vAlign w:val="center"/>
          </w:tcPr>
          <w:p w14:paraId="64C418DC" w14:textId="77777777" w:rsidR="00712618" w:rsidRPr="00712618" w:rsidRDefault="00712618" w:rsidP="00712618">
            <w:pPr>
              <w:spacing w:before="120" w:after="120" w:line="240" w:lineRule="auto"/>
              <w:jc w:val="center"/>
              <w:rPr>
                <w:rFonts w:ascii="Arial" w:hAnsi="Arial" w:cs="Arial"/>
                <w:sz w:val="14"/>
                <w:szCs w:val="14"/>
              </w:rPr>
            </w:pPr>
          </w:p>
        </w:tc>
        <w:tc>
          <w:tcPr>
            <w:tcW w:w="694" w:type="dxa"/>
            <w:vAlign w:val="center"/>
          </w:tcPr>
          <w:p w14:paraId="51FA973F" w14:textId="77777777" w:rsidR="00712618" w:rsidRPr="00712618" w:rsidRDefault="00712618" w:rsidP="00712618">
            <w:pPr>
              <w:spacing w:before="120" w:after="120" w:line="240" w:lineRule="auto"/>
              <w:jc w:val="center"/>
              <w:rPr>
                <w:rFonts w:ascii="Arial" w:hAnsi="Arial" w:cs="Arial"/>
                <w:sz w:val="14"/>
                <w:szCs w:val="14"/>
              </w:rPr>
            </w:pPr>
          </w:p>
        </w:tc>
        <w:tc>
          <w:tcPr>
            <w:tcW w:w="440" w:type="dxa"/>
            <w:shd w:val="clear" w:color="auto" w:fill="D9D9D9" w:themeFill="background1" w:themeFillShade="D9"/>
            <w:vAlign w:val="center"/>
          </w:tcPr>
          <w:p w14:paraId="1589383C" w14:textId="77777777" w:rsidR="00712618" w:rsidRPr="00712618" w:rsidRDefault="00712618" w:rsidP="00712618">
            <w:pPr>
              <w:spacing w:before="120" w:after="120" w:line="240" w:lineRule="auto"/>
              <w:jc w:val="center"/>
              <w:rPr>
                <w:rFonts w:ascii="Arial" w:hAnsi="Arial" w:cs="Arial"/>
                <w:sz w:val="14"/>
                <w:szCs w:val="14"/>
              </w:rPr>
            </w:pPr>
          </w:p>
        </w:tc>
        <w:tc>
          <w:tcPr>
            <w:tcW w:w="689" w:type="dxa"/>
            <w:vAlign w:val="center"/>
          </w:tcPr>
          <w:p w14:paraId="4C3F224C" w14:textId="77777777" w:rsidR="00712618" w:rsidRPr="00712618" w:rsidRDefault="00712618" w:rsidP="00712618">
            <w:pPr>
              <w:spacing w:before="120" w:after="120" w:line="240" w:lineRule="auto"/>
              <w:jc w:val="center"/>
              <w:rPr>
                <w:rFonts w:ascii="Arial" w:hAnsi="Arial" w:cs="Arial"/>
                <w:sz w:val="14"/>
                <w:szCs w:val="14"/>
              </w:rPr>
            </w:pPr>
          </w:p>
        </w:tc>
        <w:tc>
          <w:tcPr>
            <w:tcW w:w="728" w:type="dxa"/>
            <w:vAlign w:val="center"/>
          </w:tcPr>
          <w:p w14:paraId="2D13A8E8" w14:textId="77777777" w:rsidR="00712618" w:rsidRPr="00712618" w:rsidRDefault="00712618" w:rsidP="00712618">
            <w:pPr>
              <w:spacing w:before="120" w:after="120" w:line="240" w:lineRule="auto"/>
              <w:jc w:val="center"/>
              <w:rPr>
                <w:rFonts w:ascii="Arial" w:hAnsi="Arial" w:cs="Arial"/>
                <w:sz w:val="14"/>
                <w:szCs w:val="14"/>
              </w:rPr>
            </w:pPr>
          </w:p>
        </w:tc>
        <w:tc>
          <w:tcPr>
            <w:tcW w:w="709" w:type="dxa"/>
            <w:vAlign w:val="center"/>
          </w:tcPr>
          <w:p w14:paraId="6643AA50" w14:textId="77777777" w:rsidR="00712618" w:rsidRPr="00712618" w:rsidRDefault="00712618" w:rsidP="00712618">
            <w:pPr>
              <w:spacing w:before="120" w:after="120" w:line="240" w:lineRule="auto"/>
              <w:jc w:val="center"/>
              <w:rPr>
                <w:rFonts w:ascii="Arial" w:hAnsi="Arial" w:cs="Arial"/>
                <w:sz w:val="14"/>
                <w:szCs w:val="14"/>
              </w:rPr>
            </w:pPr>
          </w:p>
        </w:tc>
        <w:tc>
          <w:tcPr>
            <w:tcW w:w="2713" w:type="dxa"/>
            <w:vAlign w:val="center"/>
          </w:tcPr>
          <w:p w14:paraId="4CE9BDB1"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La información del Poder Ejecutivo, se desglosa en cada una de la Secretarias que integran la administración pública centralizada.</w:t>
            </w:r>
          </w:p>
        </w:tc>
      </w:tr>
      <w:tr w:rsidR="00712618" w:rsidRPr="00712618" w14:paraId="41B08A93" w14:textId="77777777" w:rsidTr="009E04D5">
        <w:trPr>
          <w:gridAfter w:val="1"/>
          <w:wAfter w:w="17" w:type="dxa"/>
          <w:trHeight w:val="369"/>
          <w:jc w:val="center"/>
        </w:trPr>
        <w:tc>
          <w:tcPr>
            <w:tcW w:w="562" w:type="dxa"/>
            <w:vAlign w:val="center"/>
          </w:tcPr>
          <w:p w14:paraId="47863D8F" w14:textId="77777777" w:rsidR="00712618" w:rsidRPr="00712618" w:rsidRDefault="00712618" w:rsidP="00712618">
            <w:pPr>
              <w:adjustRightInd w:val="0"/>
              <w:spacing w:before="120" w:after="120" w:line="240" w:lineRule="auto"/>
              <w:ind w:right="-66"/>
              <w:jc w:val="center"/>
              <w:rPr>
                <w:rFonts w:ascii="Arial" w:hAnsi="Arial" w:cs="Arial"/>
                <w:b/>
                <w:bCs/>
                <w:color w:val="000000"/>
                <w:sz w:val="14"/>
                <w:szCs w:val="14"/>
              </w:rPr>
            </w:pPr>
            <w:r w:rsidRPr="00712618">
              <w:rPr>
                <w:rFonts w:ascii="Arial" w:hAnsi="Arial" w:cs="Arial"/>
                <w:sz w:val="14"/>
                <w:szCs w:val="14"/>
              </w:rPr>
              <w:t>3</w:t>
            </w:r>
          </w:p>
        </w:tc>
        <w:tc>
          <w:tcPr>
            <w:tcW w:w="1134" w:type="dxa"/>
            <w:vAlign w:val="center"/>
          </w:tcPr>
          <w:p w14:paraId="03F483AD" w14:textId="77777777" w:rsidR="00712618" w:rsidRPr="00712618" w:rsidRDefault="00712618" w:rsidP="00712618">
            <w:pPr>
              <w:adjustRightInd w:val="0"/>
              <w:spacing w:before="120" w:after="120" w:line="240" w:lineRule="auto"/>
              <w:jc w:val="both"/>
              <w:rPr>
                <w:rFonts w:ascii="Arial" w:hAnsi="Arial" w:cs="Arial"/>
                <w:color w:val="000000"/>
                <w:sz w:val="14"/>
                <w:szCs w:val="14"/>
              </w:rPr>
            </w:pPr>
            <w:r w:rsidRPr="00712618">
              <w:rPr>
                <w:rFonts w:ascii="Arial" w:hAnsi="Arial" w:cs="Arial"/>
                <w:sz w:val="14"/>
                <w:szCs w:val="14"/>
              </w:rPr>
              <w:t>Secretaría de Finanzas y Planeación</w:t>
            </w:r>
          </w:p>
        </w:tc>
        <w:tc>
          <w:tcPr>
            <w:tcW w:w="709" w:type="dxa"/>
            <w:vAlign w:val="center"/>
          </w:tcPr>
          <w:p w14:paraId="566C267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25" w:type="dxa"/>
            <w:shd w:val="clear" w:color="auto" w:fill="D9D9D9" w:themeFill="background1" w:themeFillShade="D9"/>
            <w:vAlign w:val="center"/>
          </w:tcPr>
          <w:p w14:paraId="0E0C79E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8</w:t>
            </w:r>
          </w:p>
        </w:tc>
        <w:tc>
          <w:tcPr>
            <w:tcW w:w="851" w:type="dxa"/>
            <w:vAlign w:val="center"/>
          </w:tcPr>
          <w:p w14:paraId="0FAE32A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28D9AA9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94" w:type="dxa"/>
            <w:vAlign w:val="center"/>
          </w:tcPr>
          <w:p w14:paraId="4172947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40" w:type="dxa"/>
            <w:shd w:val="clear" w:color="auto" w:fill="D9D9D9" w:themeFill="background1" w:themeFillShade="D9"/>
            <w:vAlign w:val="center"/>
          </w:tcPr>
          <w:p w14:paraId="63B552E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12</w:t>
            </w:r>
          </w:p>
        </w:tc>
        <w:tc>
          <w:tcPr>
            <w:tcW w:w="689" w:type="dxa"/>
            <w:vAlign w:val="center"/>
          </w:tcPr>
          <w:p w14:paraId="3E39FC9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728" w:type="dxa"/>
            <w:vAlign w:val="center"/>
          </w:tcPr>
          <w:p w14:paraId="519C588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75FC9F1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7</w:t>
            </w:r>
          </w:p>
        </w:tc>
        <w:tc>
          <w:tcPr>
            <w:tcW w:w="2713" w:type="dxa"/>
            <w:vAlign w:val="center"/>
          </w:tcPr>
          <w:p w14:paraId="7770E93C"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representa un 84.93% de avance, indicando que el crecimiento de los ingresos propios no fue conforme a lo esperado; en tanto, que los ingresos federales superaron la estimación anual. Los indicadores de gestión promedia un 91.76% de avance, debido a que en la fecha en que se proyectaron los pagos solo se tenían cinco créditos de corto plazo y a la fecha se cuenta con once créditos vigentes. De igual manera</w:t>
            </w:r>
            <w:r w:rsidR="001376C7">
              <w:rPr>
                <w:rFonts w:ascii="Arial" w:hAnsi="Arial" w:cs="Arial"/>
                <w:sz w:val="14"/>
                <w:szCs w:val="14"/>
              </w:rPr>
              <w:t xml:space="preserve"> </w:t>
            </w:r>
            <w:r w:rsidRPr="00712618">
              <w:rPr>
                <w:rFonts w:ascii="Arial" w:hAnsi="Arial" w:cs="Arial"/>
                <w:sz w:val="14"/>
                <w:szCs w:val="14"/>
              </w:rPr>
              <w:t>se</w:t>
            </w:r>
            <w:r w:rsidR="001376C7">
              <w:rPr>
                <w:rFonts w:ascii="Arial" w:hAnsi="Arial" w:cs="Arial"/>
                <w:sz w:val="14"/>
                <w:szCs w:val="14"/>
              </w:rPr>
              <w:t xml:space="preserve"> </w:t>
            </w:r>
            <w:r w:rsidRPr="00712618">
              <w:rPr>
                <w:rFonts w:ascii="Arial" w:hAnsi="Arial" w:cs="Arial"/>
                <w:sz w:val="14"/>
                <w:szCs w:val="14"/>
              </w:rPr>
              <w:t>registró una mayor cantidad de visitas al micrositio debido a un curso impartido y que los participantes hicieron uso de la información ahí publicada.</w:t>
            </w:r>
          </w:p>
        </w:tc>
      </w:tr>
      <w:tr w:rsidR="00712618" w:rsidRPr="00712618" w14:paraId="77438D08" w14:textId="77777777" w:rsidTr="009E04D5">
        <w:trPr>
          <w:gridAfter w:val="1"/>
          <w:wAfter w:w="17" w:type="dxa"/>
          <w:trHeight w:val="968"/>
          <w:jc w:val="center"/>
        </w:trPr>
        <w:tc>
          <w:tcPr>
            <w:tcW w:w="562" w:type="dxa"/>
            <w:shd w:val="clear" w:color="auto" w:fill="auto"/>
            <w:vAlign w:val="center"/>
          </w:tcPr>
          <w:p w14:paraId="2CC0F2E9"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3.1</w:t>
            </w:r>
          </w:p>
        </w:tc>
        <w:tc>
          <w:tcPr>
            <w:tcW w:w="1134" w:type="dxa"/>
            <w:shd w:val="clear" w:color="auto" w:fill="auto"/>
            <w:vAlign w:val="center"/>
          </w:tcPr>
          <w:p w14:paraId="01338F64"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Instituto Geográfico y Catastral del Estado de Quintana Roo</w:t>
            </w:r>
          </w:p>
        </w:tc>
        <w:tc>
          <w:tcPr>
            <w:tcW w:w="709" w:type="dxa"/>
            <w:shd w:val="clear" w:color="auto" w:fill="auto"/>
            <w:vAlign w:val="center"/>
          </w:tcPr>
          <w:p w14:paraId="3210B26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45986F9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03FE8B6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5735BFF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shd w:val="clear" w:color="auto" w:fill="auto"/>
            <w:vAlign w:val="center"/>
          </w:tcPr>
          <w:p w14:paraId="441305C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40" w:type="dxa"/>
            <w:shd w:val="clear" w:color="auto" w:fill="D9D9D9" w:themeFill="background1" w:themeFillShade="D9"/>
            <w:vAlign w:val="center"/>
          </w:tcPr>
          <w:p w14:paraId="28D19E5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0CB3B9B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shd w:val="clear" w:color="auto" w:fill="auto"/>
            <w:vAlign w:val="center"/>
          </w:tcPr>
          <w:p w14:paraId="65E9242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3C1C071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2713" w:type="dxa"/>
            <w:shd w:val="clear" w:color="auto" w:fill="auto"/>
            <w:vAlign w:val="center"/>
          </w:tcPr>
          <w:p w14:paraId="1A48D5EC"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representa un 84.93% de avance. El reporte presenta datos preliminares de la cuenta pública 2022.</w:t>
            </w:r>
          </w:p>
        </w:tc>
      </w:tr>
      <w:tr w:rsidR="00712618" w:rsidRPr="00712618" w14:paraId="2B20919C" w14:textId="77777777" w:rsidTr="009E04D5">
        <w:trPr>
          <w:gridAfter w:val="1"/>
          <w:wAfter w:w="17" w:type="dxa"/>
          <w:trHeight w:val="567"/>
          <w:jc w:val="center"/>
        </w:trPr>
        <w:tc>
          <w:tcPr>
            <w:tcW w:w="562" w:type="dxa"/>
            <w:shd w:val="clear" w:color="auto" w:fill="auto"/>
            <w:vAlign w:val="center"/>
          </w:tcPr>
          <w:p w14:paraId="758664FD"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p>
        </w:tc>
        <w:tc>
          <w:tcPr>
            <w:tcW w:w="1134" w:type="dxa"/>
            <w:shd w:val="clear" w:color="auto" w:fill="auto"/>
            <w:vAlign w:val="center"/>
          </w:tcPr>
          <w:p w14:paraId="3FDD2C21"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p>
        </w:tc>
        <w:tc>
          <w:tcPr>
            <w:tcW w:w="709" w:type="dxa"/>
            <w:shd w:val="clear" w:color="auto" w:fill="auto"/>
            <w:vAlign w:val="center"/>
          </w:tcPr>
          <w:p w14:paraId="22F2CF52" w14:textId="77777777" w:rsidR="00712618" w:rsidRPr="00712618" w:rsidRDefault="00712618" w:rsidP="00712618">
            <w:pPr>
              <w:spacing w:before="120" w:after="120" w:line="240" w:lineRule="auto"/>
              <w:jc w:val="center"/>
              <w:rPr>
                <w:rFonts w:ascii="Arial" w:hAnsi="Arial" w:cs="Arial"/>
                <w:sz w:val="14"/>
                <w:szCs w:val="14"/>
              </w:rPr>
            </w:pPr>
          </w:p>
        </w:tc>
        <w:tc>
          <w:tcPr>
            <w:tcW w:w="425" w:type="dxa"/>
            <w:shd w:val="clear" w:color="auto" w:fill="auto"/>
            <w:vAlign w:val="center"/>
          </w:tcPr>
          <w:p w14:paraId="580854C1" w14:textId="77777777" w:rsidR="00712618" w:rsidRPr="00712618" w:rsidRDefault="00712618" w:rsidP="00712618">
            <w:pPr>
              <w:spacing w:before="120" w:after="120" w:line="240" w:lineRule="auto"/>
              <w:jc w:val="center"/>
              <w:rPr>
                <w:rFonts w:ascii="Arial" w:hAnsi="Arial" w:cs="Arial"/>
                <w:sz w:val="14"/>
                <w:szCs w:val="14"/>
              </w:rPr>
            </w:pPr>
          </w:p>
        </w:tc>
        <w:tc>
          <w:tcPr>
            <w:tcW w:w="851" w:type="dxa"/>
            <w:shd w:val="clear" w:color="auto" w:fill="auto"/>
            <w:vAlign w:val="center"/>
          </w:tcPr>
          <w:p w14:paraId="52A85364" w14:textId="77777777" w:rsidR="00712618" w:rsidRPr="00712618" w:rsidRDefault="00712618" w:rsidP="00712618">
            <w:pPr>
              <w:spacing w:before="120" w:after="120" w:line="240" w:lineRule="auto"/>
              <w:jc w:val="center"/>
              <w:rPr>
                <w:rFonts w:ascii="Arial" w:hAnsi="Arial" w:cs="Arial"/>
                <w:sz w:val="14"/>
                <w:szCs w:val="14"/>
              </w:rPr>
            </w:pPr>
          </w:p>
        </w:tc>
        <w:tc>
          <w:tcPr>
            <w:tcW w:w="709" w:type="dxa"/>
            <w:shd w:val="clear" w:color="auto" w:fill="auto"/>
            <w:vAlign w:val="center"/>
          </w:tcPr>
          <w:p w14:paraId="1E941705" w14:textId="77777777" w:rsidR="00712618" w:rsidRPr="00712618" w:rsidRDefault="00712618" w:rsidP="00712618">
            <w:pPr>
              <w:spacing w:before="120" w:after="120" w:line="240" w:lineRule="auto"/>
              <w:jc w:val="center"/>
              <w:rPr>
                <w:rFonts w:ascii="Arial" w:hAnsi="Arial" w:cs="Arial"/>
                <w:sz w:val="14"/>
                <w:szCs w:val="14"/>
              </w:rPr>
            </w:pPr>
          </w:p>
        </w:tc>
        <w:tc>
          <w:tcPr>
            <w:tcW w:w="694" w:type="dxa"/>
            <w:shd w:val="clear" w:color="auto" w:fill="auto"/>
            <w:vAlign w:val="center"/>
          </w:tcPr>
          <w:p w14:paraId="3243DFAD" w14:textId="77777777" w:rsidR="00712618" w:rsidRPr="00712618" w:rsidRDefault="00712618" w:rsidP="00712618">
            <w:pPr>
              <w:spacing w:before="120" w:after="120" w:line="240" w:lineRule="auto"/>
              <w:jc w:val="center"/>
              <w:rPr>
                <w:rFonts w:ascii="Arial" w:hAnsi="Arial" w:cs="Arial"/>
                <w:sz w:val="14"/>
                <w:szCs w:val="14"/>
              </w:rPr>
            </w:pPr>
          </w:p>
        </w:tc>
        <w:tc>
          <w:tcPr>
            <w:tcW w:w="440" w:type="dxa"/>
            <w:shd w:val="clear" w:color="auto" w:fill="auto"/>
            <w:vAlign w:val="center"/>
          </w:tcPr>
          <w:p w14:paraId="70E8C6E9" w14:textId="77777777" w:rsidR="00712618" w:rsidRPr="00712618" w:rsidRDefault="00712618" w:rsidP="00712618">
            <w:pPr>
              <w:spacing w:before="120" w:after="120" w:line="240" w:lineRule="auto"/>
              <w:jc w:val="center"/>
              <w:rPr>
                <w:rFonts w:ascii="Arial" w:hAnsi="Arial" w:cs="Arial"/>
                <w:sz w:val="14"/>
                <w:szCs w:val="14"/>
              </w:rPr>
            </w:pPr>
          </w:p>
        </w:tc>
        <w:tc>
          <w:tcPr>
            <w:tcW w:w="689" w:type="dxa"/>
            <w:shd w:val="clear" w:color="auto" w:fill="auto"/>
            <w:vAlign w:val="center"/>
          </w:tcPr>
          <w:p w14:paraId="2D23DB65" w14:textId="77777777" w:rsidR="00712618" w:rsidRPr="00712618" w:rsidRDefault="00712618" w:rsidP="00712618">
            <w:pPr>
              <w:spacing w:before="120" w:after="120" w:line="240" w:lineRule="auto"/>
              <w:jc w:val="center"/>
              <w:rPr>
                <w:rFonts w:ascii="Arial" w:hAnsi="Arial" w:cs="Arial"/>
                <w:sz w:val="14"/>
                <w:szCs w:val="14"/>
              </w:rPr>
            </w:pPr>
          </w:p>
        </w:tc>
        <w:tc>
          <w:tcPr>
            <w:tcW w:w="728" w:type="dxa"/>
            <w:shd w:val="clear" w:color="auto" w:fill="auto"/>
            <w:vAlign w:val="center"/>
          </w:tcPr>
          <w:p w14:paraId="53A48A2E" w14:textId="77777777" w:rsidR="00712618" w:rsidRPr="00712618" w:rsidRDefault="00712618" w:rsidP="00712618">
            <w:pPr>
              <w:spacing w:before="120" w:after="120" w:line="240" w:lineRule="auto"/>
              <w:jc w:val="center"/>
              <w:rPr>
                <w:rFonts w:ascii="Arial" w:hAnsi="Arial" w:cs="Arial"/>
                <w:sz w:val="14"/>
                <w:szCs w:val="14"/>
              </w:rPr>
            </w:pPr>
          </w:p>
        </w:tc>
        <w:tc>
          <w:tcPr>
            <w:tcW w:w="709" w:type="dxa"/>
            <w:shd w:val="clear" w:color="auto" w:fill="auto"/>
            <w:vAlign w:val="center"/>
          </w:tcPr>
          <w:p w14:paraId="6A55F467" w14:textId="77777777" w:rsidR="00712618" w:rsidRPr="00712618" w:rsidRDefault="00712618" w:rsidP="00712618">
            <w:pPr>
              <w:spacing w:before="120" w:after="120" w:line="240" w:lineRule="auto"/>
              <w:jc w:val="center"/>
              <w:rPr>
                <w:rFonts w:ascii="Arial" w:hAnsi="Arial" w:cs="Arial"/>
                <w:sz w:val="14"/>
                <w:szCs w:val="14"/>
              </w:rPr>
            </w:pPr>
          </w:p>
        </w:tc>
        <w:tc>
          <w:tcPr>
            <w:tcW w:w="2713" w:type="dxa"/>
            <w:shd w:val="clear" w:color="auto" w:fill="auto"/>
            <w:vAlign w:val="center"/>
          </w:tcPr>
          <w:p w14:paraId="7E8E109F" w14:textId="77777777" w:rsidR="00712618" w:rsidRPr="00712618" w:rsidRDefault="00712618" w:rsidP="00712618">
            <w:pPr>
              <w:spacing w:before="120" w:after="120" w:line="240" w:lineRule="auto"/>
              <w:jc w:val="both"/>
              <w:rPr>
                <w:rFonts w:ascii="Arial" w:hAnsi="Arial" w:cs="Arial"/>
                <w:sz w:val="14"/>
                <w:szCs w:val="14"/>
              </w:rPr>
            </w:pPr>
          </w:p>
        </w:tc>
      </w:tr>
      <w:tr w:rsidR="00712618" w:rsidRPr="00712618" w14:paraId="73257305" w14:textId="77777777" w:rsidTr="009E04D5">
        <w:trPr>
          <w:gridAfter w:val="1"/>
          <w:wAfter w:w="17" w:type="dxa"/>
          <w:trHeight w:val="529"/>
          <w:jc w:val="center"/>
        </w:trPr>
        <w:tc>
          <w:tcPr>
            <w:tcW w:w="562" w:type="dxa"/>
            <w:shd w:val="clear" w:color="auto" w:fill="auto"/>
            <w:vAlign w:val="center"/>
          </w:tcPr>
          <w:p w14:paraId="1B7ECC3D"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3.2.</w:t>
            </w:r>
          </w:p>
        </w:tc>
        <w:tc>
          <w:tcPr>
            <w:tcW w:w="1134" w:type="dxa"/>
            <w:shd w:val="clear" w:color="auto" w:fill="auto"/>
            <w:vAlign w:val="center"/>
          </w:tcPr>
          <w:p w14:paraId="6A6E0D56"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Procuraduría Fiscal del Estado de Quintana Roo</w:t>
            </w:r>
          </w:p>
        </w:tc>
        <w:tc>
          <w:tcPr>
            <w:tcW w:w="709" w:type="dxa"/>
            <w:shd w:val="clear" w:color="auto" w:fill="auto"/>
            <w:vAlign w:val="center"/>
          </w:tcPr>
          <w:p w14:paraId="1B02798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48FD0F5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2F42CB5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307F5B5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20DFDBD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4700B82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01A5276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shd w:val="clear" w:color="auto" w:fill="auto"/>
            <w:vAlign w:val="center"/>
          </w:tcPr>
          <w:p w14:paraId="37E56A9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77370A5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shd w:val="clear" w:color="auto" w:fill="auto"/>
            <w:vAlign w:val="center"/>
          </w:tcPr>
          <w:p w14:paraId="15943E44"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a nivel fin representa un 84.93% de avance, los ingresos propios no se recaudaron conforme a lo esperado y los ingresos federales superaron la estimación anual, lo que afecta el cálculo del indicador y el cumplimiento de la meta del ejercicio. Los indicadores de gestión representan un 80.00% de avance,</w:t>
            </w:r>
            <w:r w:rsidR="001376C7">
              <w:rPr>
                <w:rFonts w:ascii="Arial" w:hAnsi="Arial" w:cs="Arial"/>
                <w:sz w:val="14"/>
                <w:szCs w:val="14"/>
              </w:rPr>
              <w:t xml:space="preserve"> </w:t>
            </w:r>
            <w:r w:rsidRPr="00712618">
              <w:rPr>
                <w:rFonts w:ascii="Arial" w:hAnsi="Arial" w:cs="Arial"/>
                <w:sz w:val="14"/>
                <w:szCs w:val="14"/>
              </w:rPr>
              <w:t>debido a que fueron evaluados para el periodo que se reporta.</w:t>
            </w:r>
          </w:p>
        </w:tc>
      </w:tr>
      <w:tr w:rsidR="00712618" w:rsidRPr="00712618" w14:paraId="6E693BA3" w14:textId="77777777" w:rsidTr="009E04D5">
        <w:trPr>
          <w:gridAfter w:val="1"/>
          <w:wAfter w:w="17" w:type="dxa"/>
          <w:trHeight w:val="174"/>
          <w:jc w:val="center"/>
        </w:trPr>
        <w:tc>
          <w:tcPr>
            <w:tcW w:w="562" w:type="dxa"/>
            <w:shd w:val="clear" w:color="auto" w:fill="auto"/>
            <w:vAlign w:val="center"/>
          </w:tcPr>
          <w:p w14:paraId="7EBA691E"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3.3.</w:t>
            </w:r>
          </w:p>
        </w:tc>
        <w:tc>
          <w:tcPr>
            <w:tcW w:w="1134" w:type="dxa"/>
            <w:shd w:val="clear" w:color="auto" w:fill="auto"/>
            <w:vAlign w:val="center"/>
          </w:tcPr>
          <w:p w14:paraId="505FB017"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Centro de Evaluación del Desempeño del Estado de Quintana Roo</w:t>
            </w:r>
          </w:p>
        </w:tc>
        <w:tc>
          <w:tcPr>
            <w:tcW w:w="709" w:type="dxa"/>
            <w:shd w:val="clear" w:color="auto" w:fill="auto"/>
            <w:vAlign w:val="center"/>
          </w:tcPr>
          <w:p w14:paraId="01F3368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6A7EA5A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17A64A7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09" w:type="dxa"/>
            <w:shd w:val="clear" w:color="auto" w:fill="auto"/>
            <w:vAlign w:val="center"/>
          </w:tcPr>
          <w:p w14:paraId="6182C02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701319C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27D086D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05D1ABB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shd w:val="clear" w:color="auto" w:fill="auto"/>
            <w:vAlign w:val="center"/>
          </w:tcPr>
          <w:p w14:paraId="57B55B8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63843D6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2713" w:type="dxa"/>
            <w:shd w:val="clear" w:color="auto" w:fill="auto"/>
            <w:vAlign w:val="center"/>
          </w:tcPr>
          <w:p w14:paraId="63347494"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de gestión promedian un avance de 254.08%; señalando que</w:t>
            </w:r>
            <w:r w:rsidR="001376C7">
              <w:rPr>
                <w:rFonts w:ascii="Arial" w:hAnsi="Arial" w:cs="Arial"/>
                <w:sz w:val="14"/>
                <w:szCs w:val="14"/>
              </w:rPr>
              <w:t xml:space="preserve"> </w:t>
            </w:r>
            <w:r w:rsidRPr="00712618">
              <w:rPr>
                <w:rFonts w:ascii="Arial" w:hAnsi="Arial" w:cs="Arial"/>
                <w:sz w:val="14"/>
                <w:szCs w:val="14"/>
              </w:rPr>
              <w:t>se alcanzó la posición #16 de 32 Estados; sin embargo, esta cifra no resulta desfavorable para destacar el desempeño de la Entidad, la cual representa un incremento de dos puntos porcentuales con relación al ejercicio fiscal anterior.</w:t>
            </w:r>
          </w:p>
        </w:tc>
      </w:tr>
      <w:tr w:rsidR="00712618" w:rsidRPr="00712618" w14:paraId="2DA637BE" w14:textId="77777777" w:rsidTr="009E04D5">
        <w:trPr>
          <w:gridAfter w:val="1"/>
          <w:wAfter w:w="17" w:type="dxa"/>
          <w:trHeight w:val="174"/>
          <w:jc w:val="center"/>
        </w:trPr>
        <w:tc>
          <w:tcPr>
            <w:tcW w:w="562" w:type="dxa"/>
            <w:shd w:val="clear" w:color="auto" w:fill="auto"/>
            <w:vAlign w:val="center"/>
          </w:tcPr>
          <w:p w14:paraId="5621CF4E"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3.4.</w:t>
            </w:r>
          </w:p>
        </w:tc>
        <w:tc>
          <w:tcPr>
            <w:tcW w:w="1134" w:type="dxa"/>
            <w:shd w:val="clear" w:color="auto" w:fill="auto"/>
            <w:vAlign w:val="center"/>
          </w:tcPr>
          <w:p w14:paraId="6A1ABD2C"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Servicio de Administración Tributaria del Estado de Quintana Roo</w:t>
            </w:r>
          </w:p>
        </w:tc>
        <w:tc>
          <w:tcPr>
            <w:tcW w:w="709" w:type="dxa"/>
            <w:shd w:val="clear" w:color="auto" w:fill="auto"/>
            <w:vAlign w:val="center"/>
          </w:tcPr>
          <w:p w14:paraId="1ED8390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68104E3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5495157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09" w:type="dxa"/>
            <w:shd w:val="clear" w:color="auto" w:fill="auto"/>
            <w:vAlign w:val="center"/>
          </w:tcPr>
          <w:p w14:paraId="7665DB6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shd w:val="clear" w:color="auto" w:fill="auto"/>
            <w:vAlign w:val="center"/>
          </w:tcPr>
          <w:p w14:paraId="3CA023A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668511C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1A0854D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shd w:val="clear" w:color="auto" w:fill="auto"/>
            <w:vAlign w:val="center"/>
          </w:tcPr>
          <w:p w14:paraId="4CAB898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6BC70C0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2713" w:type="dxa"/>
            <w:shd w:val="clear" w:color="auto" w:fill="auto"/>
            <w:vAlign w:val="center"/>
          </w:tcPr>
          <w:p w14:paraId="4E264808"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presentan un promedio de 533.33% de avance. El Estado analítico no se encontraba publicado en el portal de la SEFIPLAN; de igual forma señalan que el Estado de Quintana Roo alcanzó la posición #16 de 32 Estados; sin embargo, esta cifra no resulta desfavorable para destacar el desempeño de la Entidad la cual representa un avance del 75.9%. Los indicadores de gestión presentan un promedio de 36.36% de avance.</w:t>
            </w:r>
          </w:p>
        </w:tc>
      </w:tr>
      <w:tr w:rsidR="00712618" w:rsidRPr="00712618" w14:paraId="684053C6" w14:textId="77777777" w:rsidTr="009E04D5">
        <w:trPr>
          <w:gridAfter w:val="1"/>
          <w:wAfter w:w="17" w:type="dxa"/>
          <w:trHeight w:val="174"/>
          <w:jc w:val="center"/>
        </w:trPr>
        <w:tc>
          <w:tcPr>
            <w:tcW w:w="562" w:type="dxa"/>
            <w:shd w:val="clear" w:color="auto" w:fill="auto"/>
            <w:vAlign w:val="center"/>
          </w:tcPr>
          <w:p w14:paraId="5CB54FE2"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4</w:t>
            </w:r>
          </w:p>
        </w:tc>
        <w:tc>
          <w:tcPr>
            <w:tcW w:w="1134" w:type="dxa"/>
            <w:shd w:val="clear" w:color="auto" w:fill="auto"/>
            <w:vAlign w:val="center"/>
          </w:tcPr>
          <w:p w14:paraId="32C68577"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Consejería Jurídica del Poder Ejecutivo del Estado</w:t>
            </w:r>
          </w:p>
        </w:tc>
        <w:tc>
          <w:tcPr>
            <w:tcW w:w="709" w:type="dxa"/>
            <w:shd w:val="clear" w:color="auto" w:fill="auto"/>
            <w:vAlign w:val="center"/>
          </w:tcPr>
          <w:p w14:paraId="04FB037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2CBFDE6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57C3821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0262651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13CC770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25FE007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689" w:type="dxa"/>
            <w:shd w:val="clear" w:color="auto" w:fill="auto"/>
            <w:vAlign w:val="center"/>
          </w:tcPr>
          <w:p w14:paraId="1C6487F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shd w:val="clear" w:color="auto" w:fill="auto"/>
            <w:vAlign w:val="center"/>
          </w:tcPr>
          <w:p w14:paraId="57C09AB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shd w:val="clear" w:color="auto" w:fill="auto"/>
            <w:vAlign w:val="center"/>
          </w:tcPr>
          <w:p w14:paraId="12FC611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2713" w:type="dxa"/>
            <w:shd w:val="clear" w:color="auto" w:fill="auto"/>
            <w:vAlign w:val="center"/>
          </w:tcPr>
          <w:p w14:paraId="77252D1B"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Fin reflejan un porcentaje avance del 533.33% de avance.</w:t>
            </w:r>
            <w:r w:rsidR="001376C7">
              <w:rPr>
                <w:rFonts w:ascii="Arial" w:hAnsi="Arial" w:cs="Arial"/>
                <w:sz w:val="14"/>
                <w:szCs w:val="14"/>
              </w:rPr>
              <w:t xml:space="preserve"> </w:t>
            </w:r>
            <w:r w:rsidRPr="00712618">
              <w:rPr>
                <w:rFonts w:ascii="Arial" w:hAnsi="Arial" w:cs="Arial"/>
                <w:sz w:val="14"/>
                <w:szCs w:val="14"/>
              </w:rPr>
              <w:t>El Estado de Quintana Roo, alcanzó la posición #16 de 32 Estados.</w:t>
            </w:r>
          </w:p>
        </w:tc>
      </w:tr>
      <w:tr w:rsidR="00712618" w:rsidRPr="00712618" w14:paraId="4720C05B" w14:textId="77777777" w:rsidTr="009E04D5">
        <w:trPr>
          <w:gridAfter w:val="1"/>
          <w:wAfter w:w="17" w:type="dxa"/>
          <w:trHeight w:val="174"/>
          <w:jc w:val="center"/>
        </w:trPr>
        <w:tc>
          <w:tcPr>
            <w:tcW w:w="562" w:type="dxa"/>
            <w:shd w:val="clear" w:color="auto" w:fill="auto"/>
            <w:vAlign w:val="center"/>
          </w:tcPr>
          <w:p w14:paraId="06DAD396"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5</w:t>
            </w:r>
          </w:p>
        </w:tc>
        <w:tc>
          <w:tcPr>
            <w:tcW w:w="1134" w:type="dxa"/>
            <w:shd w:val="clear" w:color="auto" w:fill="auto"/>
            <w:vAlign w:val="center"/>
          </w:tcPr>
          <w:p w14:paraId="13F3D040"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Secretaría de Desarrollo Agropecuario, Rural y Pesca</w:t>
            </w:r>
          </w:p>
        </w:tc>
        <w:tc>
          <w:tcPr>
            <w:tcW w:w="709" w:type="dxa"/>
            <w:shd w:val="clear" w:color="auto" w:fill="auto"/>
            <w:vAlign w:val="center"/>
          </w:tcPr>
          <w:p w14:paraId="0B88E7EB" w14:textId="77777777" w:rsidR="00712618" w:rsidRPr="00712618" w:rsidRDefault="00712618" w:rsidP="00712618">
            <w:pPr>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2</w:t>
            </w:r>
          </w:p>
        </w:tc>
        <w:tc>
          <w:tcPr>
            <w:tcW w:w="425" w:type="dxa"/>
            <w:shd w:val="clear" w:color="auto" w:fill="D9D9D9" w:themeFill="background1" w:themeFillShade="D9"/>
            <w:vAlign w:val="center"/>
          </w:tcPr>
          <w:p w14:paraId="1E35CC7C" w14:textId="77777777" w:rsidR="00712618" w:rsidRPr="00712618" w:rsidRDefault="00712618" w:rsidP="00712618">
            <w:pPr>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4</w:t>
            </w:r>
          </w:p>
        </w:tc>
        <w:tc>
          <w:tcPr>
            <w:tcW w:w="851" w:type="dxa"/>
            <w:shd w:val="clear" w:color="auto" w:fill="auto"/>
            <w:vAlign w:val="center"/>
          </w:tcPr>
          <w:p w14:paraId="10F267AC" w14:textId="77777777" w:rsidR="00712618" w:rsidRPr="00712618" w:rsidRDefault="00712618" w:rsidP="00712618">
            <w:pPr>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2</w:t>
            </w:r>
          </w:p>
        </w:tc>
        <w:tc>
          <w:tcPr>
            <w:tcW w:w="709" w:type="dxa"/>
            <w:shd w:val="clear" w:color="auto" w:fill="auto"/>
            <w:vAlign w:val="center"/>
          </w:tcPr>
          <w:p w14:paraId="3E7FF4EC" w14:textId="77777777" w:rsidR="00712618" w:rsidRPr="00712618" w:rsidRDefault="00712618" w:rsidP="00712618">
            <w:pPr>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w:t>
            </w:r>
          </w:p>
        </w:tc>
        <w:tc>
          <w:tcPr>
            <w:tcW w:w="694" w:type="dxa"/>
            <w:shd w:val="clear" w:color="auto" w:fill="auto"/>
            <w:vAlign w:val="center"/>
          </w:tcPr>
          <w:p w14:paraId="4DE3C77E" w14:textId="77777777" w:rsidR="00712618" w:rsidRPr="00712618" w:rsidRDefault="00712618" w:rsidP="00712618">
            <w:pPr>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w:t>
            </w:r>
          </w:p>
        </w:tc>
        <w:tc>
          <w:tcPr>
            <w:tcW w:w="440" w:type="dxa"/>
            <w:shd w:val="clear" w:color="auto" w:fill="D9D9D9" w:themeFill="background1" w:themeFillShade="D9"/>
            <w:vAlign w:val="center"/>
          </w:tcPr>
          <w:p w14:paraId="36690ABC" w14:textId="77777777" w:rsidR="00712618" w:rsidRPr="00712618" w:rsidRDefault="00712618" w:rsidP="00712618">
            <w:pPr>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9</w:t>
            </w:r>
          </w:p>
        </w:tc>
        <w:tc>
          <w:tcPr>
            <w:tcW w:w="689" w:type="dxa"/>
            <w:shd w:val="clear" w:color="auto" w:fill="auto"/>
            <w:vAlign w:val="center"/>
          </w:tcPr>
          <w:p w14:paraId="76CD9F97" w14:textId="77777777" w:rsidR="00712618" w:rsidRPr="00712618" w:rsidRDefault="00712618" w:rsidP="00712618">
            <w:pPr>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5</w:t>
            </w:r>
          </w:p>
        </w:tc>
        <w:tc>
          <w:tcPr>
            <w:tcW w:w="728" w:type="dxa"/>
            <w:shd w:val="clear" w:color="auto" w:fill="auto"/>
            <w:vAlign w:val="center"/>
          </w:tcPr>
          <w:p w14:paraId="49706721" w14:textId="77777777" w:rsidR="00712618" w:rsidRPr="00712618" w:rsidRDefault="00712618" w:rsidP="00712618">
            <w:pPr>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0</w:t>
            </w:r>
          </w:p>
        </w:tc>
        <w:tc>
          <w:tcPr>
            <w:tcW w:w="709" w:type="dxa"/>
            <w:shd w:val="clear" w:color="auto" w:fill="auto"/>
            <w:vAlign w:val="center"/>
          </w:tcPr>
          <w:p w14:paraId="78313FD1" w14:textId="77777777" w:rsidR="00712618" w:rsidRPr="00712618" w:rsidRDefault="00712618" w:rsidP="00712618">
            <w:pPr>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4</w:t>
            </w:r>
          </w:p>
        </w:tc>
        <w:tc>
          <w:tcPr>
            <w:tcW w:w="2713" w:type="dxa"/>
            <w:shd w:val="clear" w:color="auto" w:fill="auto"/>
            <w:vAlign w:val="center"/>
          </w:tcPr>
          <w:p w14:paraId="146A252C" w14:textId="77777777" w:rsidR="00712618" w:rsidRPr="00712618" w:rsidRDefault="00712618" w:rsidP="00712618">
            <w:pPr>
              <w:spacing w:before="120" w:after="120" w:line="240" w:lineRule="auto"/>
              <w:jc w:val="both"/>
              <w:rPr>
                <w:rFonts w:ascii="Arial" w:hAnsi="Arial" w:cs="Arial"/>
                <w:bCs/>
                <w:color w:val="000000"/>
                <w:sz w:val="14"/>
                <w:szCs w:val="14"/>
              </w:rPr>
            </w:pPr>
            <w:r w:rsidRPr="00712618">
              <w:rPr>
                <w:rFonts w:ascii="Arial" w:hAnsi="Arial" w:cs="Arial"/>
                <w:bCs/>
                <w:color w:val="000000"/>
                <w:sz w:val="14"/>
                <w:szCs w:val="14"/>
              </w:rPr>
              <w:t>Los indicadores estratégicos presentan el 98.88%, señalando que no recibieron solicitudes de financiamiento; de igual forma reporta un avance anual de 75.00% y solamente programa y ejecuta en el cuarto trimestre y justifica reporte anual del cumplimiento de metas. Los indicadores de gestión promedia con un 130.95%, debido a que se realizaron 13 Obras</w:t>
            </w:r>
            <w:r w:rsidR="001376C7">
              <w:rPr>
                <w:rFonts w:ascii="Arial" w:hAnsi="Arial" w:cs="Arial"/>
                <w:bCs/>
                <w:color w:val="000000"/>
                <w:sz w:val="14"/>
                <w:szCs w:val="14"/>
              </w:rPr>
              <w:t xml:space="preserve"> </w:t>
            </w:r>
            <w:r w:rsidRPr="00712618">
              <w:rPr>
                <w:rFonts w:ascii="Arial" w:hAnsi="Arial" w:cs="Arial"/>
                <w:bCs/>
                <w:color w:val="000000"/>
                <w:sz w:val="14"/>
                <w:szCs w:val="14"/>
              </w:rPr>
              <w:t>de Rehabilitación y Construcción de Caminos Rurales; se beneficiaron más personas de las que tenían programadas; siendo como meta anual 5 acciones y programas para apoyar mujeres.</w:t>
            </w:r>
          </w:p>
        </w:tc>
      </w:tr>
      <w:tr w:rsidR="00712618" w:rsidRPr="00712618" w14:paraId="73193498" w14:textId="77777777" w:rsidTr="009E04D5">
        <w:trPr>
          <w:gridAfter w:val="1"/>
          <w:wAfter w:w="17" w:type="dxa"/>
          <w:trHeight w:val="174"/>
          <w:jc w:val="center"/>
        </w:trPr>
        <w:tc>
          <w:tcPr>
            <w:tcW w:w="562" w:type="dxa"/>
            <w:shd w:val="clear" w:color="auto" w:fill="auto"/>
            <w:vAlign w:val="center"/>
          </w:tcPr>
          <w:p w14:paraId="4E8045D0"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w:t>
            </w:r>
          </w:p>
        </w:tc>
        <w:tc>
          <w:tcPr>
            <w:tcW w:w="1134" w:type="dxa"/>
            <w:shd w:val="clear" w:color="auto" w:fill="auto"/>
            <w:vAlign w:val="center"/>
          </w:tcPr>
          <w:p w14:paraId="2A0325D7"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Secretaría de Desarrollo Económico</w:t>
            </w:r>
          </w:p>
        </w:tc>
        <w:tc>
          <w:tcPr>
            <w:tcW w:w="709" w:type="dxa"/>
            <w:shd w:val="clear" w:color="auto" w:fill="auto"/>
            <w:vAlign w:val="center"/>
          </w:tcPr>
          <w:p w14:paraId="55CF647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425" w:type="dxa"/>
            <w:shd w:val="clear" w:color="auto" w:fill="D9D9D9" w:themeFill="background1" w:themeFillShade="D9"/>
            <w:vAlign w:val="center"/>
          </w:tcPr>
          <w:p w14:paraId="104D643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10</w:t>
            </w:r>
          </w:p>
        </w:tc>
        <w:tc>
          <w:tcPr>
            <w:tcW w:w="851" w:type="dxa"/>
            <w:shd w:val="clear" w:color="auto" w:fill="auto"/>
            <w:vAlign w:val="center"/>
          </w:tcPr>
          <w:p w14:paraId="040AAD6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709" w:type="dxa"/>
            <w:shd w:val="clear" w:color="auto" w:fill="auto"/>
            <w:vAlign w:val="center"/>
          </w:tcPr>
          <w:p w14:paraId="28AA57C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29F72D1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440" w:type="dxa"/>
            <w:shd w:val="clear" w:color="auto" w:fill="D9D9D9" w:themeFill="background1" w:themeFillShade="D9"/>
            <w:vAlign w:val="center"/>
          </w:tcPr>
          <w:p w14:paraId="0A89882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19</w:t>
            </w:r>
          </w:p>
        </w:tc>
        <w:tc>
          <w:tcPr>
            <w:tcW w:w="689" w:type="dxa"/>
            <w:shd w:val="clear" w:color="auto" w:fill="auto"/>
            <w:vAlign w:val="center"/>
          </w:tcPr>
          <w:p w14:paraId="5937F30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shd w:val="clear" w:color="auto" w:fill="auto"/>
            <w:vAlign w:val="center"/>
          </w:tcPr>
          <w:p w14:paraId="5272AD8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1478F6E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18</w:t>
            </w:r>
          </w:p>
        </w:tc>
        <w:tc>
          <w:tcPr>
            <w:tcW w:w="2713" w:type="dxa"/>
            <w:shd w:val="clear" w:color="auto" w:fill="auto"/>
            <w:vAlign w:val="center"/>
          </w:tcPr>
          <w:p w14:paraId="7FA4DF58"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136.34% de avance en los indicadores estratégicos y 110.43% para los indicadores de gestión. Se generaron energías renovables; se capacitaron empresarios quintanarroenses para dar a conocer la oferta crediticia de los intermediarios financieros bancarios y no bancarios; se implementaron diversas </w:t>
            </w:r>
            <w:r w:rsidRPr="00712618">
              <w:rPr>
                <w:rFonts w:ascii="Arial" w:hAnsi="Arial" w:cs="Arial"/>
                <w:sz w:val="14"/>
                <w:szCs w:val="14"/>
              </w:rPr>
              <w:lastRenderedPageBreak/>
              <w:t>estrategias para atraer nuevos capitales, diversificación de la economía, inversiones y acuerdos por el Bienestar y Desarrollo de Quintana Roo.</w:t>
            </w:r>
          </w:p>
        </w:tc>
      </w:tr>
      <w:tr w:rsidR="00712618" w:rsidRPr="00712618" w14:paraId="0054CE7A" w14:textId="77777777" w:rsidTr="009E04D5">
        <w:trPr>
          <w:gridAfter w:val="1"/>
          <w:wAfter w:w="17" w:type="dxa"/>
          <w:trHeight w:val="174"/>
          <w:jc w:val="center"/>
        </w:trPr>
        <w:tc>
          <w:tcPr>
            <w:tcW w:w="562" w:type="dxa"/>
            <w:shd w:val="clear" w:color="auto" w:fill="auto"/>
            <w:vAlign w:val="center"/>
          </w:tcPr>
          <w:p w14:paraId="29038E5A"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6.1.</w:t>
            </w:r>
          </w:p>
        </w:tc>
        <w:tc>
          <w:tcPr>
            <w:tcW w:w="1134" w:type="dxa"/>
            <w:shd w:val="clear" w:color="auto" w:fill="auto"/>
            <w:vAlign w:val="center"/>
          </w:tcPr>
          <w:p w14:paraId="0878D22A"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Comisión Estatal de Mejora Regulatoria,</w:t>
            </w:r>
          </w:p>
        </w:tc>
        <w:tc>
          <w:tcPr>
            <w:tcW w:w="709" w:type="dxa"/>
            <w:shd w:val="clear" w:color="auto" w:fill="auto"/>
            <w:vAlign w:val="center"/>
          </w:tcPr>
          <w:p w14:paraId="1E2342F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49CCCFE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51519AE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709" w:type="dxa"/>
            <w:shd w:val="clear" w:color="auto" w:fill="auto"/>
            <w:vAlign w:val="center"/>
          </w:tcPr>
          <w:p w14:paraId="42B067A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shd w:val="clear" w:color="auto" w:fill="auto"/>
            <w:vAlign w:val="center"/>
          </w:tcPr>
          <w:p w14:paraId="04858CC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12763B4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689" w:type="dxa"/>
            <w:shd w:val="clear" w:color="auto" w:fill="auto"/>
            <w:vAlign w:val="center"/>
          </w:tcPr>
          <w:p w14:paraId="5CCC16B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shd w:val="clear" w:color="auto" w:fill="auto"/>
            <w:vAlign w:val="center"/>
          </w:tcPr>
          <w:p w14:paraId="1C9025C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6105043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shd w:val="clear" w:color="auto" w:fill="auto"/>
            <w:vAlign w:val="center"/>
          </w:tcPr>
          <w:p w14:paraId="187FF7DE"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Se establece un promedio de 102.75% de avance en los indicadores estratégicos y un promedio de 97.98% de los indicadores de gestión. De acuerdo con datos del Instituto Mexicano para la Competitividad A.C. (IMCO), para el ejercicio 2022, Quintana Roo, alcanzó una puntuación de 42. La recuperación económica en el estado se debió al interés del sector empresarial en invertir y establecer nuevos negocios. se aperturaron empresas através de las ventanillas del Sistema de Apertura Rápida de Empresas SARE.</w:t>
            </w:r>
          </w:p>
        </w:tc>
      </w:tr>
      <w:tr w:rsidR="00712618" w:rsidRPr="00712618" w14:paraId="206FB059" w14:textId="77777777" w:rsidTr="009E04D5">
        <w:trPr>
          <w:gridAfter w:val="1"/>
          <w:wAfter w:w="17" w:type="dxa"/>
          <w:trHeight w:val="174"/>
          <w:jc w:val="center"/>
        </w:trPr>
        <w:tc>
          <w:tcPr>
            <w:tcW w:w="562" w:type="dxa"/>
            <w:shd w:val="clear" w:color="auto" w:fill="auto"/>
            <w:vAlign w:val="center"/>
          </w:tcPr>
          <w:p w14:paraId="5081D518"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6.2.</w:t>
            </w:r>
          </w:p>
        </w:tc>
        <w:tc>
          <w:tcPr>
            <w:tcW w:w="1134" w:type="dxa"/>
            <w:shd w:val="clear" w:color="auto" w:fill="auto"/>
            <w:vAlign w:val="center"/>
          </w:tcPr>
          <w:p w14:paraId="1FD8CB18" w14:textId="77777777" w:rsidR="00712618" w:rsidRPr="00712618" w:rsidRDefault="00712618" w:rsidP="00712618">
            <w:pPr>
              <w:adjustRightInd w:val="0"/>
              <w:spacing w:before="120" w:after="120" w:line="240" w:lineRule="auto"/>
              <w:ind w:left="-66" w:right="-67"/>
              <w:jc w:val="center"/>
              <w:rPr>
                <w:rFonts w:ascii="Arial" w:hAnsi="Arial" w:cs="Arial"/>
                <w:color w:val="000000"/>
                <w:sz w:val="14"/>
                <w:szCs w:val="14"/>
              </w:rPr>
            </w:pPr>
            <w:r w:rsidRPr="00712618">
              <w:rPr>
                <w:rFonts w:ascii="Arial" w:hAnsi="Arial" w:cs="Arial"/>
                <w:color w:val="000000"/>
                <w:sz w:val="14"/>
                <w:szCs w:val="14"/>
              </w:rPr>
              <w:t>Instituto Quintanarroense de Innovación y Tecnología</w:t>
            </w:r>
          </w:p>
        </w:tc>
        <w:tc>
          <w:tcPr>
            <w:tcW w:w="709" w:type="dxa"/>
            <w:shd w:val="clear" w:color="auto" w:fill="auto"/>
            <w:vAlign w:val="center"/>
          </w:tcPr>
          <w:p w14:paraId="5AF4239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630764A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2DAE197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0B14A5A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3224D2D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49B83DC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shd w:val="clear" w:color="auto" w:fill="auto"/>
            <w:vAlign w:val="center"/>
          </w:tcPr>
          <w:p w14:paraId="3C27727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shd w:val="clear" w:color="auto" w:fill="auto"/>
            <w:vAlign w:val="center"/>
          </w:tcPr>
          <w:p w14:paraId="505FBB7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03A6A0F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2713" w:type="dxa"/>
            <w:shd w:val="clear" w:color="auto" w:fill="auto"/>
            <w:vAlign w:val="center"/>
          </w:tcPr>
          <w:p w14:paraId="2A79DF13"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De los indicadores estratégicos a nivel Fin se establece un porcentaje de 114.29%. Se obtuvo la posición 14 en el Índice General de Avance en PbR-SED. Para el ejercicio 2022, esta cifra no resulta desfavorable para destacar el desempeño de la Entidad. Los indicadores de gestión presentan un avance del 82.92%. No se cuenta con el acceso a redes de la cuenta del gobierno y la gobernadora ya que se concluyó la colaboración con la Coordinación General de Comunicación Digital.</w:t>
            </w:r>
          </w:p>
        </w:tc>
      </w:tr>
      <w:tr w:rsidR="00712618" w:rsidRPr="00712618" w14:paraId="3DC41C43" w14:textId="77777777" w:rsidTr="009E04D5">
        <w:trPr>
          <w:gridAfter w:val="1"/>
          <w:wAfter w:w="17" w:type="dxa"/>
          <w:trHeight w:val="174"/>
          <w:jc w:val="center"/>
        </w:trPr>
        <w:tc>
          <w:tcPr>
            <w:tcW w:w="562" w:type="dxa"/>
            <w:shd w:val="clear" w:color="auto" w:fill="auto"/>
            <w:vAlign w:val="center"/>
          </w:tcPr>
          <w:p w14:paraId="77CD1501"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7</w:t>
            </w:r>
          </w:p>
        </w:tc>
        <w:tc>
          <w:tcPr>
            <w:tcW w:w="1134" w:type="dxa"/>
            <w:shd w:val="clear" w:color="auto" w:fill="auto"/>
            <w:vAlign w:val="center"/>
          </w:tcPr>
          <w:p w14:paraId="11ABBCEE"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Secretaría de Desarrollo</w:t>
            </w:r>
            <w:r w:rsidR="001376C7">
              <w:rPr>
                <w:rFonts w:ascii="Arial" w:hAnsi="Arial" w:cs="Arial"/>
                <w:color w:val="000000"/>
                <w:sz w:val="14"/>
                <w:szCs w:val="14"/>
              </w:rPr>
              <w:t xml:space="preserve"> </w:t>
            </w:r>
            <w:r w:rsidRPr="00712618">
              <w:rPr>
                <w:rFonts w:ascii="Arial" w:hAnsi="Arial" w:cs="Arial"/>
                <w:color w:val="000000"/>
                <w:sz w:val="14"/>
                <w:szCs w:val="14"/>
              </w:rPr>
              <w:t>Social</w:t>
            </w:r>
          </w:p>
        </w:tc>
        <w:tc>
          <w:tcPr>
            <w:tcW w:w="709" w:type="dxa"/>
            <w:shd w:val="clear" w:color="auto" w:fill="auto"/>
            <w:vAlign w:val="center"/>
          </w:tcPr>
          <w:p w14:paraId="047BA9C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25" w:type="dxa"/>
            <w:shd w:val="clear" w:color="auto" w:fill="D9D9D9" w:themeFill="background1" w:themeFillShade="D9"/>
            <w:vAlign w:val="center"/>
          </w:tcPr>
          <w:p w14:paraId="172D6E1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8</w:t>
            </w:r>
          </w:p>
        </w:tc>
        <w:tc>
          <w:tcPr>
            <w:tcW w:w="851" w:type="dxa"/>
            <w:shd w:val="clear" w:color="auto" w:fill="auto"/>
            <w:vAlign w:val="center"/>
          </w:tcPr>
          <w:p w14:paraId="44E6568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709" w:type="dxa"/>
            <w:shd w:val="clear" w:color="auto" w:fill="auto"/>
            <w:vAlign w:val="center"/>
          </w:tcPr>
          <w:p w14:paraId="53926CE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3367ECE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 0</w:t>
            </w:r>
          </w:p>
        </w:tc>
        <w:tc>
          <w:tcPr>
            <w:tcW w:w="440" w:type="dxa"/>
            <w:shd w:val="clear" w:color="auto" w:fill="D9D9D9" w:themeFill="background1" w:themeFillShade="D9"/>
            <w:vAlign w:val="center"/>
          </w:tcPr>
          <w:p w14:paraId="34F8026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16</w:t>
            </w:r>
          </w:p>
        </w:tc>
        <w:tc>
          <w:tcPr>
            <w:tcW w:w="689" w:type="dxa"/>
            <w:shd w:val="clear" w:color="auto" w:fill="auto"/>
            <w:vAlign w:val="center"/>
          </w:tcPr>
          <w:p w14:paraId="2980206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728" w:type="dxa"/>
            <w:shd w:val="clear" w:color="auto" w:fill="auto"/>
            <w:vAlign w:val="center"/>
          </w:tcPr>
          <w:p w14:paraId="3366D44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 0</w:t>
            </w:r>
          </w:p>
        </w:tc>
        <w:tc>
          <w:tcPr>
            <w:tcW w:w="709" w:type="dxa"/>
            <w:shd w:val="clear" w:color="auto" w:fill="auto"/>
            <w:vAlign w:val="center"/>
          </w:tcPr>
          <w:p w14:paraId="0AE958C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10</w:t>
            </w:r>
          </w:p>
        </w:tc>
        <w:tc>
          <w:tcPr>
            <w:tcW w:w="2713" w:type="dxa"/>
            <w:shd w:val="clear" w:color="auto" w:fill="auto"/>
            <w:vAlign w:val="center"/>
          </w:tcPr>
          <w:p w14:paraId="34FF35EA"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Fin reflejan un promedio de 188.49%, debido a el porcentaje de la población en situación de pobreza emitido por el Consejo Nacional de Evaluación de la Política de Desarrollo Social, correspondiente a 2018-2020. A nivel Propósito presenta un avance del 217.49%, debido a que se estableció una meta de 1,349 familias a beneficiar, superada por el otorgamiento de los apoyos en la construcción de Pisos Firmes en sus viviendas, Instalación de Estufas Ecológicas, Acciones diversas de infraestructura social básica, construcción de obra complementaria. Y a nivel Propósito con un 62.37%, por la falta de asignación de recursos financieros, así como se estableció la meta de disminuir el indicador de población vulnerable por carencias sociales a 647 mil 997 personas en esta situación. De los indicadores de gestión con un promedio de 131.69%, no presenta justificación. Y de los indicadores de gestión con un promedio de 65.30%, por falta de asignación presupuestaria, así como se llevó a cabo la cancelación total de los recursos de los Programas Desarrollo de Proveedoras en Permacultura y Banca Social.</w:t>
            </w:r>
          </w:p>
        </w:tc>
      </w:tr>
      <w:tr w:rsidR="00712618" w:rsidRPr="00712618" w14:paraId="7127857E" w14:textId="77777777" w:rsidTr="009E04D5">
        <w:trPr>
          <w:gridAfter w:val="1"/>
          <w:wAfter w:w="17" w:type="dxa"/>
          <w:trHeight w:val="174"/>
          <w:jc w:val="center"/>
        </w:trPr>
        <w:tc>
          <w:tcPr>
            <w:tcW w:w="562" w:type="dxa"/>
            <w:shd w:val="clear" w:color="auto" w:fill="auto"/>
            <w:vAlign w:val="center"/>
          </w:tcPr>
          <w:p w14:paraId="277D1068"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8</w:t>
            </w:r>
          </w:p>
        </w:tc>
        <w:tc>
          <w:tcPr>
            <w:tcW w:w="1134" w:type="dxa"/>
            <w:shd w:val="clear" w:color="auto" w:fill="auto"/>
            <w:vAlign w:val="center"/>
          </w:tcPr>
          <w:p w14:paraId="03EB2600"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 xml:space="preserve">Secretaría de Desarrollo </w:t>
            </w:r>
            <w:r w:rsidRPr="00712618">
              <w:rPr>
                <w:rFonts w:ascii="Arial" w:hAnsi="Arial" w:cs="Arial"/>
                <w:color w:val="000000"/>
                <w:sz w:val="14"/>
                <w:szCs w:val="14"/>
              </w:rPr>
              <w:lastRenderedPageBreak/>
              <w:t>Territorial Urbano Sustentable</w:t>
            </w:r>
          </w:p>
        </w:tc>
        <w:tc>
          <w:tcPr>
            <w:tcW w:w="709" w:type="dxa"/>
            <w:shd w:val="clear" w:color="auto" w:fill="auto"/>
            <w:vAlign w:val="center"/>
          </w:tcPr>
          <w:p w14:paraId="6F1D74A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lastRenderedPageBreak/>
              <w:t>3</w:t>
            </w:r>
          </w:p>
        </w:tc>
        <w:tc>
          <w:tcPr>
            <w:tcW w:w="425" w:type="dxa"/>
            <w:shd w:val="clear" w:color="auto" w:fill="D9D9D9" w:themeFill="background1" w:themeFillShade="D9"/>
            <w:vAlign w:val="center"/>
          </w:tcPr>
          <w:p w14:paraId="58116D1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851" w:type="dxa"/>
            <w:shd w:val="clear" w:color="auto" w:fill="auto"/>
            <w:vAlign w:val="center"/>
          </w:tcPr>
          <w:p w14:paraId="2F938C7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4A7F602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1399A71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440" w:type="dxa"/>
            <w:shd w:val="clear" w:color="auto" w:fill="D9D9D9" w:themeFill="background1" w:themeFillShade="D9"/>
            <w:vAlign w:val="center"/>
          </w:tcPr>
          <w:p w14:paraId="08AC0A2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8</w:t>
            </w:r>
          </w:p>
        </w:tc>
        <w:tc>
          <w:tcPr>
            <w:tcW w:w="689" w:type="dxa"/>
            <w:shd w:val="clear" w:color="auto" w:fill="auto"/>
            <w:vAlign w:val="center"/>
          </w:tcPr>
          <w:p w14:paraId="4B0E4A1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shd w:val="clear" w:color="auto" w:fill="auto"/>
            <w:vAlign w:val="center"/>
          </w:tcPr>
          <w:p w14:paraId="7E3E337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shd w:val="clear" w:color="auto" w:fill="auto"/>
            <w:vAlign w:val="center"/>
          </w:tcPr>
          <w:p w14:paraId="334962E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2713" w:type="dxa"/>
            <w:shd w:val="clear" w:color="auto" w:fill="auto"/>
            <w:vAlign w:val="center"/>
          </w:tcPr>
          <w:p w14:paraId="216314F3"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Los 2 indicadores de gestión se encuentran en rojo con un promedio de </w:t>
            </w:r>
            <w:r w:rsidRPr="00712618">
              <w:rPr>
                <w:rFonts w:ascii="Arial" w:hAnsi="Arial" w:cs="Arial"/>
                <w:sz w:val="14"/>
                <w:szCs w:val="14"/>
              </w:rPr>
              <w:lastRenderedPageBreak/>
              <w:t>69.14%. La entidad no justifica el incumplimiento de las metas. El componente C03 Pp E055, reporta metas programadas, sin embargo, no presentó avances. Por lo que no se analiza.</w:t>
            </w:r>
          </w:p>
        </w:tc>
      </w:tr>
      <w:tr w:rsidR="00712618" w:rsidRPr="00712618" w14:paraId="2988D8B1" w14:textId="77777777" w:rsidTr="009E04D5">
        <w:trPr>
          <w:gridAfter w:val="1"/>
          <w:wAfter w:w="17" w:type="dxa"/>
          <w:trHeight w:val="174"/>
          <w:jc w:val="center"/>
        </w:trPr>
        <w:tc>
          <w:tcPr>
            <w:tcW w:w="562" w:type="dxa"/>
            <w:shd w:val="clear" w:color="auto" w:fill="auto"/>
            <w:vAlign w:val="center"/>
          </w:tcPr>
          <w:p w14:paraId="14391D1A"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9</w:t>
            </w:r>
          </w:p>
        </w:tc>
        <w:tc>
          <w:tcPr>
            <w:tcW w:w="1134" w:type="dxa"/>
            <w:shd w:val="clear" w:color="auto" w:fill="auto"/>
            <w:vAlign w:val="center"/>
          </w:tcPr>
          <w:p w14:paraId="6E1E1854"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Secretaría de Ecología y Medio Ambiente</w:t>
            </w:r>
          </w:p>
        </w:tc>
        <w:tc>
          <w:tcPr>
            <w:tcW w:w="709" w:type="dxa"/>
            <w:shd w:val="clear" w:color="auto" w:fill="auto"/>
            <w:vAlign w:val="center"/>
          </w:tcPr>
          <w:p w14:paraId="13983CF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25" w:type="dxa"/>
            <w:shd w:val="clear" w:color="auto" w:fill="D9D9D9" w:themeFill="background1" w:themeFillShade="D9"/>
            <w:vAlign w:val="center"/>
          </w:tcPr>
          <w:p w14:paraId="5267795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851" w:type="dxa"/>
            <w:shd w:val="clear" w:color="auto" w:fill="auto"/>
            <w:vAlign w:val="center"/>
          </w:tcPr>
          <w:p w14:paraId="66A5EAF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09" w:type="dxa"/>
            <w:shd w:val="clear" w:color="auto" w:fill="auto"/>
            <w:vAlign w:val="center"/>
          </w:tcPr>
          <w:p w14:paraId="063518E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3E09D8D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1AD1B34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18</w:t>
            </w:r>
          </w:p>
        </w:tc>
        <w:tc>
          <w:tcPr>
            <w:tcW w:w="689" w:type="dxa"/>
            <w:shd w:val="clear" w:color="auto" w:fill="auto"/>
            <w:vAlign w:val="center"/>
          </w:tcPr>
          <w:p w14:paraId="79D6D96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728" w:type="dxa"/>
            <w:shd w:val="clear" w:color="auto" w:fill="auto"/>
            <w:vAlign w:val="center"/>
          </w:tcPr>
          <w:p w14:paraId="425FD40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715621F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13</w:t>
            </w:r>
          </w:p>
        </w:tc>
        <w:tc>
          <w:tcPr>
            <w:tcW w:w="2713" w:type="dxa"/>
            <w:shd w:val="clear" w:color="auto" w:fill="auto"/>
            <w:vAlign w:val="center"/>
          </w:tcPr>
          <w:p w14:paraId="10626351"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Fin con un promedio de 23.49%. Las metas no fueron alcanzadas debido a los parámetros que considera la IMCO que no depende de la SEMA, como son el caudal tratado de aguas residuales, eficiencia económica del agua en la agricultura, perdida de superficie cubierta por árboles, Morbilidad por enfermedades respiratorias e intensidad energética de la economía. A nivel Propósito con 65.00%, debido a la elaboración de los ordenamientos ecológicos que se encuentran en proceso. Los indicadores de gestión un 207.29%, debido a que ingresaron proyectos con grandes superficies no considerados. El indicador de gestión con un promedio 62.35%, la entidad no justifica el incumplimiento de la meta anual.</w:t>
            </w:r>
          </w:p>
        </w:tc>
      </w:tr>
      <w:tr w:rsidR="00712618" w:rsidRPr="00712618" w14:paraId="6FA7682C" w14:textId="77777777" w:rsidTr="009E04D5">
        <w:trPr>
          <w:gridAfter w:val="1"/>
          <w:wAfter w:w="17" w:type="dxa"/>
          <w:trHeight w:val="174"/>
          <w:jc w:val="center"/>
        </w:trPr>
        <w:tc>
          <w:tcPr>
            <w:tcW w:w="562" w:type="dxa"/>
            <w:shd w:val="clear" w:color="auto" w:fill="auto"/>
            <w:vAlign w:val="center"/>
          </w:tcPr>
          <w:p w14:paraId="01EDD5F9"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9.1</w:t>
            </w:r>
          </w:p>
        </w:tc>
        <w:tc>
          <w:tcPr>
            <w:tcW w:w="1134" w:type="dxa"/>
            <w:shd w:val="clear" w:color="auto" w:fill="auto"/>
            <w:vAlign w:val="center"/>
          </w:tcPr>
          <w:p w14:paraId="1C365281"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Procuraduría de Protección al Ambiente del Estado de Quintana Roo</w:t>
            </w:r>
          </w:p>
        </w:tc>
        <w:tc>
          <w:tcPr>
            <w:tcW w:w="709" w:type="dxa"/>
            <w:shd w:val="clear" w:color="auto" w:fill="auto"/>
            <w:vAlign w:val="center"/>
          </w:tcPr>
          <w:p w14:paraId="6B07D64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26B5956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1F3252D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68A0A63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7615A14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36DA544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shd w:val="clear" w:color="auto" w:fill="auto"/>
            <w:vAlign w:val="center"/>
          </w:tcPr>
          <w:p w14:paraId="70DFF5F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28" w:type="dxa"/>
            <w:shd w:val="clear" w:color="auto" w:fill="auto"/>
            <w:vAlign w:val="center"/>
          </w:tcPr>
          <w:p w14:paraId="5AEB09B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05DFE84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shd w:val="clear" w:color="auto" w:fill="auto"/>
            <w:vAlign w:val="center"/>
          </w:tcPr>
          <w:p w14:paraId="79DEB3DF"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a nivel Fin, refleja un 22.65%, toda vez que son los puntos que tiene el estado en materia de medio ambiente del índice de competitividad estatal 2022, ocupando el lugar 32.</w:t>
            </w:r>
            <w:r w:rsidR="001376C7">
              <w:rPr>
                <w:rFonts w:ascii="Arial" w:hAnsi="Arial" w:cs="Arial"/>
                <w:sz w:val="14"/>
                <w:szCs w:val="14"/>
              </w:rPr>
              <w:t xml:space="preserve">      </w:t>
            </w:r>
            <w:r w:rsidRPr="00712618">
              <w:rPr>
                <w:rFonts w:ascii="Arial" w:hAnsi="Arial" w:cs="Arial"/>
                <w:sz w:val="14"/>
                <w:szCs w:val="14"/>
              </w:rPr>
              <w:t xml:space="preserve"> </w:t>
            </w:r>
            <w:r w:rsidRPr="00712618">
              <w:rPr>
                <w:rFonts w:ascii="Arial" w:hAnsi="Arial" w:cs="Arial"/>
                <w:sz w:val="14"/>
                <w:szCs w:val="14"/>
              </w:rPr>
              <w:br/>
              <w:t>Los indicadores de gestión reflejan un promedio 199.60%, esto por atención a rezago de años anteriores y aumento en las empresas certificadas. El indicador de gestión con un 53.84%, en virtud, de que el sistema contabiliza los indicadores de manera trimestral y no acumulado anual por lo cual en varios indicadores de actividades y componentes que deberían ser rango verde el sistema nos arroja rango rojo.</w:t>
            </w:r>
          </w:p>
        </w:tc>
      </w:tr>
      <w:tr w:rsidR="00712618" w:rsidRPr="00712618" w14:paraId="2D94E36C" w14:textId="77777777" w:rsidTr="009E04D5">
        <w:trPr>
          <w:gridAfter w:val="1"/>
          <w:wAfter w:w="17" w:type="dxa"/>
          <w:trHeight w:val="174"/>
          <w:jc w:val="center"/>
        </w:trPr>
        <w:tc>
          <w:tcPr>
            <w:tcW w:w="562" w:type="dxa"/>
            <w:shd w:val="clear" w:color="auto" w:fill="auto"/>
            <w:vAlign w:val="center"/>
          </w:tcPr>
          <w:p w14:paraId="04544B10"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9.2</w:t>
            </w:r>
          </w:p>
        </w:tc>
        <w:tc>
          <w:tcPr>
            <w:tcW w:w="1134" w:type="dxa"/>
            <w:shd w:val="clear" w:color="auto" w:fill="auto"/>
            <w:vAlign w:val="center"/>
          </w:tcPr>
          <w:p w14:paraId="30D047A8"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Instituto de Biodiversidad y Áreas Naturales Protegidas del Estado de Quintana Roo</w:t>
            </w:r>
          </w:p>
        </w:tc>
        <w:tc>
          <w:tcPr>
            <w:tcW w:w="709" w:type="dxa"/>
            <w:shd w:val="clear" w:color="auto" w:fill="auto"/>
            <w:vAlign w:val="center"/>
          </w:tcPr>
          <w:p w14:paraId="4159BD4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2ABEAD4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7009380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2CB7653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12B2045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525E050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689" w:type="dxa"/>
            <w:shd w:val="clear" w:color="auto" w:fill="auto"/>
            <w:vAlign w:val="center"/>
          </w:tcPr>
          <w:p w14:paraId="7BF4B66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shd w:val="clear" w:color="auto" w:fill="auto"/>
            <w:vAlign w:val="center"/>
          </w:tcPr>
          <w:p w14:paraId="7607C40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22F8E6C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2713" w:type="dxa"/>
            <w:shd w:val="clear" w:color="auto" w:fill="auto"/>
            <w:vAlign w:val="center"/>
          </w:tcPr>
          <w:p w14:paraId="41BA928C"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de gestión refleja un 65.11% de avance, la entidad indica que del total de actividades y componentes sustantivos del IBANQROO, no pudiendo cumplir con la meta trimestral propuesta.</w:t>
            </w:r>
          </w:p>
        </w:tc>
      </w:tr>
      <w:tr w:rsidR="00712618" w:rsidRPr="00712618" w14:paraId="6486B383" w14:textId="77777777" w:rsidTr="009E04D5">
        <w:trPr>
          <w:gridAfter w:val="1"/>
          <w:wAfter w:w="17" w:type="dxa"/>
          <w:trHeight w:val="174"/>
          <w:jc w:val="center"/>
        </w:trPr>
        <w:tc>
          <w:tcPr>
            <w:tcW w:w="562" w:type="dxa"/>
            <w:shd w:val="clear" w:color="auto" w:fill="auto"/>
            <w:vAlign w:val="center"/>
          </w:tcPr>
          <w:p w14:paraId="43E5628D"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10</w:t>
            </w:r>
          </w:p>
        </w:tc>
        <w:tc>
          <w:tcPr>
            <w:tcW w:w="1134" w:type="dxa"/>
            <w:shd w:val="clear" w:color="auto" w:fill="auto"/>
            <w:vAlign w:val="center"/>
          </w:tcPr>
          <w:p w14:paraId="52029D87"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Secretaría de Educación</w:t>
            </w:r>
          </w:p>
        </w:tc>
        <w:tc>
          <w:tcPr>
            <w:tcW w:w="709" w:type="dxa"/>
            <w:shd w:val="clear" w:color="auto" w:fill="auto"/>
            <w:vAlign w:val="center"/>
          </w:tcPr>
          <w:p w14:paraId="496229D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25" w:type="dxa"/>
            <w:shd w:val="clear" w:color="auto" w:fill="D9D9D9" w:themeFill="background1" w:themeFillShade="D9"/>
            <w:vAlign w:val="center"/>
          </w:tcPr>
          <w:p w14:paraId="55ED241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8</w:t>
            </w:r>
          </w:p>
        </w:tc>
        <w:tc>
          <w:tcPr>
            <w:tcW w:w="851" w:type="dxa"/>
            <w:shd w:val="clear" w:color="auto" w:fill="auto"/>
            <w:vAlign w:val="center"/>
          </w:tcPr>
          <w:p w14:paraId="058E0BD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3568817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053B3D4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440" w:type="dxa"/>
            <w:shd w:val="clear" w:color="auto" w:fill="D9D9D9" w:themeFill="background1" w:themeFillShade="D9"/>
            <w:vAlign w:val="center"/>
          </w:tcPr>
          <w:p w14:paraId="4CA9684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11</w:t>
            </w:r>
          </w:p>
        </w:tc>
        <w:tc>
          <w:tcPr>
            <w:tcW w:w="689" w:type="dxa"/>
            <w:shd w:val="clear" w:color="auto" w:fill="auto"/>
            <w:vAlign w:val="center"/>
          </w:tcPr>
          <w:p w14:paraId="1A11AC0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28" w:type="dxa"/>
            <w:shd w:val="clear" w:color="auto" w:fill="auto"/>
            <w:vAlign w:val="center"/>
          </w:tcPr>
          <w:p w14:paraId="330172A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5997DF3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7</w:t>
            </w:r>
          </w:p>
        </w:tc>
        <w:tc>
          <w:tcPr>
            <w:tcW w:w="2713" w:type="dxa"/>
            <w:shd w:val="clear" w:color="auto" w:fill="auto"/>
            <w:vAlign w:val="center"/>
          </w:tcPr>
          <w:p w14:paraId="325AE818"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a nivel Propósito representa un 130.19%, esto debido a la disminución en la matrícula y aumento en alumnos que concluyeron el último semestre. Los indicadores de gestión reflejan un promedio de avance del 66.55%, argumentado que no se recibió educación inicial debido a que dos agentes se jubilaron; así</w:t>
            </w:r>
            <w:r w:rsidR="001376C7">
              <w:rPr>
                <w:rFonts w:ascii="Arial" w:hAnsi="Arial" w:cs="Arial"/>
                <w:sz w:val="14"/>
                <w:szCs w:val="14"/>
              </w:rPr>
              <w:t xml:space="preserve"> </w:t>
            </w:r>
            <w:r w:rsidRPr="00712618">
              <w:rPr>
                <w:rFonts w:ascii="Arial" w:hAnsi="Arial" w:cs="Arial"/>
                <w:sz w:val="14"/>
                <w:szCs w:val="14"/>
              </w:rPr>
              <w:t>también, hubo un menor número de egresados a nivel media superior, esto debido que desertaron por</w:t>
            </w:r>
            <w:r w:rsidR="001376C7">
              <w:rPr>
                <w:rFonts w:ascii="Arial" w:hAnsi="Arial" w:cs="Arial"/>
                <w:sz w:val="14"/>
                <w:szCs w:val="14"/>
              </w:rPr>
              <w:t xml:space="preserve"> </w:t>
            </w:r>
            <w:r w:rsidRPr="00712618">
              <w:rPr>
                <w:rFonts w:ascii="Arial" w:hAnsi="Arial" w:cs="Arial"/>
                <w:sz w:val="14"/>
                <w:szCs w:val="14"/>
              </w:rPr>
              <w:t>la pandemia.</w:t>
            </w:r>
          </w:p>
        </w:tc>
      </w:tr>
      <w:tr w:rsidR="00712618" w:rsidRPr="00712618" w14:paraId="4313613A" w14:textId="77777777" w:rsidTr="009E04D5">
        <w:trPr>
          <w:gridAfter w:val="1"/>
          <w:wAfter w:w="17" w:type="dxa"/>
          <w:trHeight w:val="174"/>
          <w:jc w:val="center"/>
        </w:trPr>
        <w:tc>
          <w:tcPr>
            <w:tcW w:w="562" w:type="dxa"/>
            <w:shd w:val="clear" w:color="auto" w:fill="auto"/>
            <w:vAlign w:val="center"/>
          </w:tcPr>
          <w:p w14:paraId="1EA19DC8"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11</w:t>
            </w:r>
          </w:p>
        </w:tc>
        <w:tc>
          <w:tcPr>
            <w:tcW w:w="1134" w:type="dxa"/>
            <w:shd w:val="clear" w:color="auto" w:fill="auto"/>
            <w:vAlign w:val="center"/>
          </w:tcPr>
          <w:p w14:paraId="392EB86E"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Secretaria de Gobierno</w:t>
            </w:r>
          </w:p>
        </w:tc>
        <w:tc>
          <w:tcPr>
            <w:tcW w:w="709" w:type="dxa"/>
            <w:shd w:val="clear" w:color="auto" w:fill="auto"/>
            <w:vAlign w:val="center"/>
          </w:tcPr>
          <w:p w14:paraId="5066255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425" w:type="dxa"/>
            <w:shd w:val="clear" w:color="auto" w:fill="D9D9D9" w:themeFill="background1" w:themeFillShade="D9"/>
            <w:vAlign w:val="center"/>
          </w:tcPr>
          <w:p w14:paraId="79B311C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12</w:t>
            </w:r>
          </w:p>
        </w:tc>
        <w:tc>
          <w:tcPr>
            <w:tcW w:w="851" w:type="dxa"/>
            <w:shd w:val="clear" w:color="auto" w:fill="auto"/>
            <w:vAlign w:val="center"/>
          </w:tcPr>
          <w:p w14:paraId="65BD1E2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9</w:t>
            </w:r>
          </w:p>
        </w:tc>
        <w:tc>
          <w:tcPr>
            <w:tcW w:w="709" w:type="dxa"/>
            <w:shd w:val="clear" w:color="auto" w:fill="auto"/>
            <w:vAlign w:val="center"/>
          </w:tcPr>
          <w:p w14:paraId="233BE1B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694" w:type="dxa"/>
            <w:shd w:val="clear" w:color="auto" w:fill="auto"/>
            <w:vAlign w:val="center"/>
          </w:tcPr>
          <w:p w14:paraId="4B4E1D5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0EC95F5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23</w:t>
            </w:r>
          </w:p>
        </w:tc>
        <w:tc>
          <w:tcPr>
            <w:tcW w:w="689" w:type="dxa"/>
            <w:shd w:val="clear" w:color="auto" w:fill="auto"/>
            <w:vAlign w:val="center"/>
          </w:tcPr>
          <w:p w14:paraId="5E5C3FC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11</w:t>
            </w:r>
          </w:p>
        </w:tc>
        <w:tc>
          <w:tcPr>
            <w:tcW w:w="728" w:type="dxa"/>
            <w:shd w:val="clear" w:color="auto" w:fill="auto"/>
            <w:vAlign w:val="center"/>
          </w:tcPr>
          <w:p w14:paraId="1408DDE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33361B3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12</w:t>
            </w:r>
          </w:p>
        </w:tc>
        <w:tc>
          <w:tcPr>
            <w:tcW w:w="2713" w:type="dxa"/>
            <w:shd w:val="clear" w:color="auto" w:fill="auto"/>
            <w:vAlign w:val="center"/>
          </w:tcPr>
          <w:p w14:paraId="3DBE280D"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Los indicadores estratégicos a nivel Fin con un promedio de 2,938.80%, debido a </w:t>
            </w:r>
            <w:r w:rsidRPr="00712618">
              <w:rPr>
                <w:rFonts w:ascii="Arial" w:hAnsi="Arial" w:cs="Arial"/>
                <w:sz w:val="14"/>
                <w:szCs w:val="14"/>
              </w:rPr>
              <w:lastRenderedPageBreak/>
              <w:t>un aumento en los presuntos delitos de violencia familiar en el estado. A nivel Fin con un 53.33%, no justifican el motivo.</w:t>
            </w:r>
            <w:r w:rsidR="001376C7">
              <w:rPr>
                <w:rFonts w:ascii="Arial" w:hAnsi="Arial" w:cs="Arial"/>
                <w:sz w:val="14"/>
                <w:szCs w:val="14"/>
              </w:rPr>
              <w:t xml:space="preserve">              </w:t>
            </w:r>
            <w:r w:rsidRPr="00712618">
              <w:rPr>
                <w:rFonts w:ascii="Arial" w:hAnsi="Arial" w:cs="Arial"/>
                <w:sz w:val="14"/>
                <w:szCs w:val="14"/>
              </w:rPr>
              <w:t>A nivel Propósito con un promedio de 49,086.01%, debido a que se llevaron conferencias y conversatorios enfocados al contexto que viven periodistas y las personas defensoras de derechos humanos, se firmaron 3 convenios de colaboración; aumento en los registros realizados a través del 911 y reportados en la plataforma BANAVIM (BAESVIM). A nivel Propósito con un 65.28%, no justifican el motivo. Los indicadores de gestión con un promedio de 3,286.57%, debido a una multiplicidad de demandas sociales, la atención a la ciudadanía; la campaña “Calladita No”, misma que fue difundida por redes sociales, obteniendo un incremento en la variable, lo que arroja un resultado positivo. El indicador de gestión con un promedio 31.91%, debido a que se recibieron menos solicitudes de Informes previos y justificados de la autoridad competente; no se realizaron actividades derivado de la pandemia, las actividades presenciales fueron canceladas y el proceso del cambio de titulares administrativos; y en general, las Unidades Responsables obtuvieron los semáforos rojos debido a que se superaron algunas metas y en otros casos por la falta de participación de las personas en las actividades realizadas.</w:t>
            </w:r>
            <w:r w:rsidR="001376C7">
              <w:rPr>
                <w:rFonts w:ascii="Arial" w:hAnsi="Arial" w:cs="Arial"/>
                <w:sz w:val="14"/>
                <w:szCs w:val="14"/>
              </w:rPr>
              <w:t xml:space="preserve">                </w:t>
            </w:r>
          </w:p>
        </w:tc>
      </w:tr>
      <w:tr w:rsidR="00712618" w:rsidRPr="00712618" w14:paraId="212485A8" w14:textId="77777777" w:rsidTr="009E04D5">
        <w:trPr>
          <w:gridAfter w:val="1"/>
          <w:wAfter w:w="17" w:type="dxa"/>
          <w:trHeight w:val="174"/>
          <w:jc w:val="center"/>
        </w:trPr>
        <w:tc>
          <w:tcPr>
            <w:tcW w:w="562" w:type="dxa"/>
            <w:shd w:val="clear" w:color="auto" w:fill="auto"/>
            <w:vAlign w:val="center"/>
          </w:tcPr>
          <w:p w14:paraId="5985B421"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11.1</w:t>
            </w:r>
          </w:p>
        </w:tc>
        <w:tc>
          <w:tcPr>
            <w:tcW w:w="1134" w:type="dxa"/>
            <w:shd w:val="clear" w:color="auto" w:fill="auto"/>
            <w:vAlign w:val="center"/>
          </w:tcPr>
          <w:p w14:paraId="795C2975"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Secretaría Ejecutiva del Sistema Estatal de Protección de los Derechos de Niñas, Niños y Adolescentes</w:t>
            </w:r>
          </w:p>
        </w:tc>
        <w:tc>
          <w:tcPr>
            <w:tcW w:w="709" w:type="dxa"/>
            <w:shd w:val="clear" w:color="auto" w:fill="auto"/>
            <w:vAlign w:val="center"/>
          </w:tcPr>
          <w:p w14:paraId="5FAF54A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645075B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7DC0095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09" w:type="dxa"/>
            <w:shd w:val="clear" w:color="auto" w:fill="auto"/>
            <w:vAlign w:val="center"/>
          </w:tcPr>
          <w:p w14:paraId="4B348E4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3A44058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5E93DE0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689" w:type="dxa"/>
            <w:shd w:val="clear" w:color="auto" w:fill="auto"/>
            <w:vAlign w:val="center"/>
          </w:tcPr>
          <w:p w14:paraId="69BAC82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shd w:val="clear" w:color="auto" w:fill="auto"/>
            <w:vAlign w:val="center"/>
          </w:tcPr>
          <w:p w14:paraId="3D9C7C4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37592F1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2713" w:type="dxa"/>
            <w:shd w:val="clear" w:color="auto" w:fill="auto"/>
            <w:vAlign w:val="center"/>
          </w:tcPr>
          <w:p w14:paraId="736FBFF8"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a nivel Fin con un 53.33%, en virtud, de que, al 06 de enero del año 2023, no publicaban los resultados 2022 del IDD-MEX, por lo cual, lo reportado corresponde al resultado 2021. A nivel Propósito con un promedio de 70.15%, la entidad no justifica el incumplimiento de la meta anual.</w:t>
            </w:r>
            <w:r w:rsidR="001376C7">
              <w:rPr>
                <w:rFonts w:ascii="Arial" w:hAnsi="Arial" w:cs="Arial"/>
                <w:sz w:val="14"/>
                <w:szCs w:val="14"/>
              </w:rPr>
              <w:t xml:space="preserve">                           </w:t>
            </w:r>
          </w:p>
        </w:tc>
      </w:tr>
      <w:tr w:rsidR="00712618" w:rsidRPr="00712618" w14:paraId="79AC9AD7" w14:textId="77777777" w:rsidTr="009E04D5">
        <w:trPr>
          <w:gridAfter w:val="1"/>
          <w:wAfter w:w="17" w:type="dxa"/>
          <w:trHeight w:val="174"/>
          <w:jc w:val="center"/>
        </w:trPr>
        <w:tc>
          <w:tcPr>
            <w:tcW w:w="562" w:type="dxa"/>
            <w:shd w:val="clear" w:color="auto" w:fill="auto"/>
            <w:vAlign w:val="center"/>
          </w:tcPr>
          <w:p w14:paraId="11283B8D"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11.2</w:t>
            </w:r>
          </w:p>
        </w:tc>
        <w:tc>
          <w:tcPr>
            <w:tcW w:w="1134" w:type="dxa"/>
            <w:shd w:val="clear" w:color="auto" w:fill="auto"/>
            <w:vAlign w:val="center"/>
          </w:tcPr>
          <w:p w14:paraId="4F814891"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Registro Público de la Propiedad y del Comercio del Estado de Quintana Roo</w:t>
            </w:r>
          </w:p>
        </w:tc>
        <w:tc>
          <w:tcPr>
            <w:tcW w:w="709" w:type="dxa"/>
            <w:shd w:val="clear" w:color="auto" w:fill="auto"/>
            <w:vAlign w:val="center"/>
          </w:tcPr>
          <w:p w14:paraId="2DC9D34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32BBBE5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6780C34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09" w:type="dxa"/>
            <w:shd w:val="clear" w:color="auto" w:fill="auto"/>
            <w:vAlign w:val="center"/>
          </w:tcPr>
          <w:p w14:paraId="51D047D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3E6012A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06B7DEC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56E9E01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shd w:val="clear" w:color="auto" w:fill="auto"/>
            <w:vAlign w:val="center"/>
          </w:tcPr>
          <w:p w14:paraId="6546B8D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652E95F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shd w:val="clear" w:color="auto" w:fill="auto"/>
            <w:vAlign w:val="center"/>
          </w:tcPr>
          <w:p w14:paraId="473C91A7"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Los indicadores estratégicos a nivel Fin con un 53.33% y a nivel Propósito con un promedio de 70.15%, la entidad indica que, al 06 de enero del año 2023, aún no publicaba los resultados 2022 del IDD-MEX, por lo cual, lo reportado corresponde al resultado 2021. El indicador de gestión con un 77.78%, la entidad no justifica el motivo. </w:t>
            </w:r>
          </w:p>
        </w:tc>
      </w:tr>
      <w:tr w:rsidR="00712618" w:rsidRPr="00712618" w14:paraId="322EEA28" w14:textId="77777777" w:rsidTr="009E04D5">
        <w:trPr>
          <w:gridAfter w:val="1"/>
          <w:wAfter w:w="17" w:type="dxa"/>
          <w:trHeight w:val="174"/>
          <w:jc w:val="center"/>
        </w:trPr>
        <w:tc>
          <w:tcPr>
            <w:tcW w:w="562" w:type="dxa"/>
            <w:shd w:val="clear" w:color="auto" w:fill="auto"/>
            <w:vAlign w:val="center"/>
          </w:tcPr>
          <w:p w14:paraId="6DBD2EE0"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11.3</w:t>
            </w:r>
          </w:p>
        </w:tc>
        <w:tc>
          <w:tcPr>
            <w:tcW w:w="1134" w:type="dxa"/>
            <w:shd w:val="clear" w:color="auto" w:fill="auto"/>
            <w:vAlign w:val="center"/>
          </w:tcPr>
          <w:p w14:paraId="0DBC427C"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Coordinación Estatal de Protección Civil de Quintana Roo</w:t>
            </w:r>
          </w:p>
        </w:tc>
        <w:tc>
          <w:tcPr>
            <w:tcW w:w="709" w:type="dxa"/>
            <w:shd w:val="clear" w:color="auto" w:fill="auto"/>
            <w:vAlign w:val="center"/>
          </w:tcPr>
          <w:p w14:paraId="0A4F534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203BC36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2FC35D9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shd w:val="clear" w:color="auto" w:fill="auto"/>
            <w:vAlign w:val="center"/>
          </w:tcPr>
          <w:p w14:paraId="74EA65A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5F49FAC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34257E2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689" w:type="dxa"/>
            <w:shd w:val="clear" w:color="auto" w:fill="auto"/>
            <w:vAlign w:val="center"/>
          </w:tcPr>
          <w:p w14:paraId="1D6669C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shd w:val="clear" w:color="auto" w:fill="auto"/>
            <w:vAlign w:val="center"/>
          </w:tcPr>
          <w:p w14:paraId="7CF5B50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79300D9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shd w:val="clear" w:color="auto" w:fill="auto"/>
            <w:vAlign w:val="center"/>
          </w:tcPr>
          <w:p w14:paraId="438721F7"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Los indicadores estratégicos a nivel Fin con un 53.33% y a nivel Propósito con un 72.78%, la entidad indica que, al 06 de enero del año 2023, no publicaba los resultados 2022 del IDD-MEX, por lo cual, lo reportado corresponde al resultado 2021. Los indicadores de gestión con un promedio de 1,256.77%, debido al cambio de administración estatal la Coordinación Estatal de Protección Civil participa en el Programa de Profesionalización de la Secretaría de Finanzas y Planeación para los Servidores Públicos al Servicio del </w:t>
            </w:r>
            <w:r w:rsidRPr="00712618">
              <w:rPr>
                <w:rFonts w:ascii="Arial" w:hAnsi="Arial" w:cs="Arial"/>
                <w:sz w:val="14"/>
                <w:szCs w:val="14"/>
              </w:rPr>
              <w:lastRenderedPageBreak/>
              <w:t>Gobierno del Estado y en el Programa Hospital Seguro de los Servicios Estatales de Salud. De igual forma los boletines que se emiten a la población y las asesorías que se brindan para los programas internos de protección civil, coadyuvan al logro del indicador, haciendo que sobrepase la meta.</w:t>
            </w:r>
          </w:p>
        </w:tc>
      </w:tr>
      <w:tr w:rsidR="00712618" w:rsidRPr="00712618" w14:paraId="1B3343CB" w14:textId="77777777" w:rsidTr="009E04D5">
        <w:trPr>
          <w:gridAfter w:val="1"/>
          <w:wAfter w:w="17" w:type="dxa"/>
          <w:trHeight w:val="174"/>
          <w:jc w:val="center"/>
        </w:trPr>
        <w:tc>
          <w:tcPr>
            <w:tcW w:w="562" w:type="dxa"/>
            <w:shd w:val="clear" w:color="auto" w:fill="auto"/>
            <w:vAlign w:val="center"/>
          </w:tcPr>
          <w:p w14:paraId="4CD9C9D0"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11.4</w:t>
            </w:r>
          </w:p>
        </w:tc>
        <w:tc>
          <w:tcPr>
            <w:tcW w:w="1134" w:type="dxa"/>
            <w:shd w:val="clear" w:color="auto" w:fill="auto"/>
            <w:vAlign w:val="center"/>
          </w:tcPr>
          <w:p w14:paraId="5A1FFCC3"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Comisión de Búsqueda de Personas del Estado de Quintana Roo</w:t>
            </w:r>
          </w:p>
        </w:tc>
        <w:tc>
          <w:tcPr>
            <w:tcW w:w="709" w:type="dxa"/>
            <w:shd w:val="clear" w:color="auto" w:fill="auto"/>
            <w:vAlign w:val="center"/>
          </w:tcPr>
          <w:p w14:paraId="1830BAA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20747AA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2F91E2B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shd w:val="clear" w:color="auto" w:fill="auto"/>
            <w:vAlign w:val="center"/>
          </w:tcPr>
          <w:p w14:paraId="0AB320A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14F7A96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7C2A203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7721E0D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shd w:val="clear" w:color="auto" w:fill="auto"/>
            <w:vAlign w:val="center"/>
          </w:tcPr>
          <w:p w14:paraId="69BBD82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665FF24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shd w:val="clear" w:color="auto" w:fill="auto"/>
            <w:vAlign w:val="center"/>
          </w:tcPr>
          <w:p w14:paraId="09DDC09F"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Propósito con un promedio 19,625.79%, la entidad informa sobre el número de servidores públicos que se colaboraron en la difusión de los derechos humanos, así como la participación en cursos, diplomados, conferencias y talleres. Del indicador de gestión con un 0.00%, la entidad no justifica el incumplimiento de la meta anual.</w:t>
            </w:r>
          </w:p>
        </w:tc>
      </w:tr>
      <w:tr w:rsidR="00712618" w:rsidRPr="00712618" w14:paraId="6917F918" w14:textId="77777777" w:rsidTr="009E04D5">
        <w:trPr>
          <w:gridAfter w:val="1"/>
          <w:wAfter w:w="17" w:type="dxa"/>
          <w:trHeight w:val="174"/>
          <w:jc w:val="center"/>
        </w:trPr>
        <w:tc>
          <w:tcPr>
            <w:tcW w:w="562" w:type="dxa"/>
            <w:shd w:val="clear" w:color="auto" w:fill="auto"/>
            <w:vAlign w:val="center"/>
          </w:tcPr>
          <w:p w14:paraId="18BC86C9"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11.5</w:t>
            </w:r>
          </w:p>
        </w:tc>
        <w:tc>
          <w:tcPr>
            <w:tcW w:w="1134" w:type="dxa"/>
            <w:shd w:val="clear" w:color="auto" w:fill="auto"/>
            <w:vAlign w:val="center"/>
          </w:tcPr>
          <w:p w14:paraId="138B7DCD"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Archivo General del Estado de Quintana Roo</w:t>
            </w:r>
          </w:p>
        </w:tc>
        <w:tc>
          <w:tcPr>
            <w:tcW w:w="709" w:type="dxa"/>
            <w:shd w:val="clear" w:color="auto" w:fill="auto"/>
            <w:vAlign w:val="center"/>
          </w:tcPr>
          <w:p w14:paraId="6965DE7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04144F8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1A3BAEC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709" w:type="dxa"/>
            <w:shd w:val="clear" w:color="auto" w:fill="auto"/>
            <w:vAlign w:val="center"/>
          </w:tcPr>
          <w:p w14:paraId="7EAD061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shd w:val="clear" w:color="auto" w:fill="auto"/>
            <w:vAlign w:val="center"/>
          </w:tcPr>
          <w:p w14:paraId="4ECFC5F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13E9BF3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095A575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shd w:val="clear" w:color="auto" w:fill="auto"/>
            <w:vAlign w:val="center"/>
          </w:tcPr>
          <w:p w14:paraId="69D53F5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34EC59F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2713" w:type="dxa"/>
            <w:shd w:val="clear" w:color="auto" w:fill="auto"/>
            <w:vAlign w:val="center"/>
          </w:tcPr>
          <w:p w14:paraId="6A44B671"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Fin y a nivel Propósito sus avances son de 0.00%, la entidad no justifica el incumplimiento de la meta anual.</w:t>
            </w:r>
          </w:p>
        </w:tc>
      </w:tr>
      <w:tr w:rsidR="00712618" w:rsidRPr="00712618" w14:paraId="5BDD1FF7" w14:textId="77777777" w:rsidTr="009E04D5">
        <w:trPr>
          <w:gridAfter w:val="1"/>
          <w:wAfter w:w="17" w:type="dxa"/>
          <w:trHeight w:val="174"/>
          <w:jc w:val="center"/>
        </w:trPr>
        <w:tc>
          <w:tcPr>
            <w:tcW w:w="562" w:type="dxa"/>
            <w:shd w:val="clear" w:color="auto" w:fill="FFFFFF" w:themeFill="background1"/>
            <w:vAlign w:val="center"/>
          </w:tcPr>
          <w:p w14:paraId="57BC0B13"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11.6</w:t>
            </w:r>
          </w:p>
        </w:tc>
        <w:tc>
          <w:tcPr>
            <w:tcW w:w="1134" w:type="dxa"/>
            <w:shd w:val="clear" w:color="auto" w:fill="FFFFFF" w:themeFill="background1"/>
            <w:vAlign w:val="center"/>
          </w:tcPr>
          <w:p w14:paraId="6401AD52"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Representación del Gobierno del Estado en la Ciudad de México</w:t>
            </w:r>
          </w:p>
        </w:tc>
        <w:tc>
          <w:tcPr>
            <w:tcW w:w="709" w:type="dxa"/>
            <w:shd w:val="clear" w:color="auto" w:fill="auto"/>
            <w:vAlign w:val="center"/>
          </w:tcPr>
          <w:p w14:paraId="2F62FF5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pct15" w:color="auto" w:fill="auto"/>
            <w:vAlign w:val="center"/>
          </w:tcPr>
          <w:p w14:paraId="03E9F98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4215A85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shd w:val="clear" w:color="auto" w:fill="auto"/>
            <w:vAlign w:val="center"/>
          </w:tcPr>
          <w:p w14:paraId="53E83A0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0F079E6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pct15" w:color="auto" w:fill="auto"/>
            <w:vAlign w:val="center"/>
          </w:tcPr>
          <w:p w14:paraId="32557AB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1450898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shd w:val="clear" w:color="auto" w:fill="auto"/>
            <w:vAlign w:val="center"/>
          </w:tcPr>
          <w:p w14:paraId="70B8E6D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007CCE6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2713" w:type="dxa"/>
            <w:shd w:val="clear" w:color="auto" w:fill="auto"/>
          </w:tcPr>
          <w:p w14:paraId="4F07087A"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Los indicadores estratégicos a nivel Fin con un 53.33% y a nivel Propósito con un 65.28%, en ambos no se alcanzaron las metas anuales, la entidad indica que, al 06 de enero del año 2023, aún no publica los resultados 2022 del IDD-MEX, por lo cual, lo reportado corresponde al resultado 2021. Los indicadores de gestión con un 138% y 68.83%, en el primero supero la meta anual y en segundo no alcanzo la meta, en ambos casos la entidad no justifica. </w:t>
            </w:r>
          </w:p>
        </w:tc>
      </w:tr>
      <w:tr w:rsidR="00712618" w:rsidRPr="00712618" w14:paraId="5D6E2766" w14:textId="77777777" w:rsidTr="009E04D5">
        <w:trPr>
          <w:gridAfter w:val="1"/>
          <w:wAfter w:w="17" w:type="dxa"/>
          <w:trHeight w:val="174"/>
          <w:jc w:val="center"/>
        </w:trPr>
        <w:tc>
          <w:tcPr>
            <w:tcW w:w="562" w:type="dxa"/>
            <w:shd w:val="clear" w:color="auto" w:fill="auto"/>
            <w:vAlign w:val="center"/>
          </w:tcPr>
          <w:p w14:paraId="4D201E65"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12</w:t>
            </w:r>
          </w:p>
        </w:tc>
        <w:tc>
          <w:tcPr>
            <w:tcW w:w="1134" w:type="dxa"/>
            <w:shd w:val="clear" w:color="auto" w:fill="auto"/>
            <w:vAlign w:val="center"/>
          </w:tcPr>
          <w:p w14:paraId="643AF676"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Secretaría de la Contraloría</w:t>
            </w:r>
          </w:p>
        </w:tc>
        <w:tc>
          <w:tcPr>
            <w:tcW w:w="709" w:type="dxa"/>
            <w:shd w:val="clear" w:color="auto" w:fill="auto"/>
            <w:vAlign w:val="center"/>
          </w:tcPr>
          <w:p w14:paraId="450DEAA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25" w:type="dxa"/>
            <w:shd w:val="clear" w:color="auto" w:fill="D9D9D9" w:themeFill="background1" w:themeFillShade="D9"/>
            <w:vAlign w:val="center"/>
          </w:tcPr>
          <w:p w14:paraId="41F0D89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851" w:type="dxa"/>
            <w:shd w:val="clear" w:color="auto" w:fill="auto"/>
            <w:vAlign w:val="center"/>
          </w:tcPr>
          <w:p w14:paraId="4FB13E3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 0</w:t>
            </w:r>
          </w:p>
        </w:tc>
        <w:tc>
          <w:tcPr>
            <w:tcW w:w="709" w:type="dxa"/>
            <w:shd w:val="clear" w:color="auto" w:fill="auto"/>
            <w:vAlign w:val="center"/>
          </w:tcPr>
          <w:p w14:paraId="5DABBFE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20ED120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40" w:type="dxa"/>
            <w:shd w:val="clear" w:color="auto" w:fill="D9D9D9" w:themeFill="background1" w:themeFillShade="D9"/>
            <w:vAlign w:val="center"/>
          </w:tcPr>
          <w:p w14:paraId="41D9509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18</w:t>
            </w:r>
          </w:p>
        </w:tc>
        <w:tc>
          <w:tcPr>
            <w:tcW w:w="689" w:type="dxa"/>
            <w:shd w:val="clear" w:color="auto" w:fill="auto"/>
            <w:vAlign w:val="center"/>
          </w:tcPr>
          <w:p w14:paraId="48F6681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shd w:val="clear" w:color="auto" w:fill="auto"/>
            <w:vAlign w:val="center"/>
          </w:tcPr>
          <w:p w14:paraId="3004C22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709" w:type="dxa"/>
            <w:shd w:val="clear" w:color="auto" w:fill="auto"/>
            <w:vAlign w:val="center"/>
          </w:tcPr>
          <w:p w14:paraId="419A278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13</w:t>
            </w:r>
          </w:p>
        </w:tc>
        <w:tc>
          <w:tcPr>
            <w:tcW w:w="2713" w:type="dxa"/>
            <w:shd w:val="clear" w:color="auto" w:fill="auto"/>
            <w:vAlign w:val="center"/>
          </w:tcPr>
          <w:p w14:paraId="51EBC840"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de gestión establecen un porcentaje promedio de 121.48%. Se encuentra en rojo, se debe a que las Instituciones están sometiendo sus Proyectos de</w:t>
            </w:r>
            <w:r w:rsidR="001376C7">
              <w:rPr>
                <w:rFonts w:ascii="Arial" w:hAnsi="Arial" w:cs="Arial"/>
                <w:sz w:val="14"/>
                <w:szCs w:val="14"/>
              </w:rPr>
              <w:t xml:space="preserve"> </w:t>
            </w:r>
            <w:r w:rsidRPr="00712618">
              <w:rPr>
                <w:rFonts w:ascii="Arial" w:hAnsi="Arial" w:cs="Arial"/>
                <w:sz w:val="14"/>
                <w:szCs w:val="14"/>
              </w:rPr>
              <w:t>marco normativo-administrativo para ser evaluados por este Órgano de Control y obtener así</w:t>
            </w:r>
            <w:r w:rsidR="001376C7">
              <w:rPr>
                <w:rFonts w:ascii="Arial" w:hAnsi="Arial" w:cs="Arial"/>
                <w:sz w:val="14"/>
                <w:szCs w:val="14"/>
              </w:rPr>
              <w:t xml:space="preserve"> </w:t>
            </w:r>
            <w:r w:rsidRPr="00712618">
              <w:rPr>
                <w:rFonts w:ascii="Arial" w:hAnsi="Arial" w:cs="Arial"/>
                <w:sz w:val="14"/>
                <w:szCs w:val="14"/>
              </w:rPr>
              <w:t>una evaluación favorable o su registro, motivo por el cual se supera la meta programada.</w:t>
            </w:r>
          </w:p>
        </w:tc>
      </w:tr>
      <w:tr w:rsidR="00712618" w:rsidRPr="00712618" w14:paraId="1061D2D9" w14:textId="77777777" w:rsidTr="009E04D5">
        <w:trPr>
          <w:gridAfter w:val="1"/>
          <w:wAfter w:w="17" w:type="dxa"/>
          <w:trHeight w:val="174"/>
          <w:jc w:val="center"/>
        </w:trPr>
        <w:tc>
          <w:tcPr>
            <w:tcW w:w="562" w:type="dxa"/>
            <w:shd w:val="clear" w:color="auto" w:fill="auto"/>
            <w:vAlign w:val="center"/>
          </w:tcPr>
          <w:p w14:paraId="65EA6053"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13</w:t>
            </w:r>
          </w:p>
        </w:tc>
        <w:tc>
          <w:tcPr>
            <w:tcW w:w="1134" w:type="dxa"/>
            <w:shd w:val="clear" w:color="auto" w:fill="auto"/>
            <w:vAlign w:val="center"/>
          </w:tcPr>
          <w:p w14:paraId="6B7E3C0C"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Secretaría de Obras Públicas</w:t>
            </w:r>
          </w:p>
        </w:tc>
        <w:tc>
          <w:tcPr>
            <w:tcW w:w="709" w:type="dxa"/>
            <w:shd w:val="clear" w:color="auto" w:fill="auto"/>
            <w:vAlign w:val="center"/>
          </w:tcPr>
          <w:p w14:paraId="64D287C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25" w:type="dxa"/>
            <w:shd w:val="clear" w:color="auto" w:fill="D9D9D9" w:themeFill="background1" w:themeFillShade="D9"/>
            <w:vAlign w:val="center"/>
          </w:tcPr>
          <w:p w14:paraId="7BAFBB0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851" w:type="dxa"/>
            <w:shd w:val="clear" w:color="auto" w:fill="auto"/>
            <w:vAlign w:val="center"/>
          </w:tcPr>
          <w:p w14:paraId="1FA6DE4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 0</w:t>
            </w:r>
          </w:p>
        </w:tc>
        <w:tc>
          <w:tcPr>
            <w:tcW w:w="709" w:type="dxa"/>
            <w:shd w:val="clear" w:color="auto" w:fill="auto"/>
            <w:vAlign w:val="center"/>
          </w:tcPr>
          <w:p w14:paraId="5FAAF30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3C3A698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40" w:type="dxa"/>
            <w:shd w:val="clear" w:color="auto" w:fill="D9D9D9" w:themeFill="background1" w:themeFillShade="D9"/>
            <w:vAlign w:val="center"/>
          </w:tcPr>
          <w:p w14:paraId="27F0126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689" w:type="dxa"/>
            <w:shd w:val="clear" w:color="auto" w:fill="auto"/>
            <w:vAlign w:val="center"/>
          </w:tcPr>
          <w:p w14:paraId="3FFFAF0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 0</w:t>
            </w:r>
          </w:p>
        </w:tc>
        <w:tc>
          <w:tcPr>
            <w:tcW w:w="728" w:type="dxa"/>
            <w:shd w:val="clear" w:color="auto" w:fill="auto"/>
            <w:vAlign w:val="center"/>
          </w:tcPr>
          <w:p w14:paraId="4EEA415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 0</w:t>
            </w:r>
          </w:p>
        </w:tc>
        <w:tc>
          <w:tcPr>
            <w:tcW w:w="709" w:type="dxa"/>
            <w:shd w:val="clear" w:color="auto" w:fill="auto"/>
            <w:vAlign w:val="center"/>
          </w:tcPr>
          <w:p w14:paraId="0BD9570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2713" w:type="dxa"/>
            <w:shd w:val="clear" w:color="auto" w:fill="auto"/>
            <w:vAlign w:val="center"/>
          </w:tcPr>
          <w:p w14:paraId="2BEBCE9B"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Cumple con las metas programadas</w:t>
            </w:r>
          </w:p>
        </w:tc>
      </w:tr>
      <w:tr w:rsidR="00712618" w:rsidRPr="00712618" w14:paraId="743F0BF3" w14:textId="77777777" w:rsidTr="009E04D5">
        <w:trPr>
          <w:gridAfter w:val="1"/>
          <w:wAfter w:w="17" w:type="dxa"/>
          <w:trHeight w:val="174"/>
          <w:jc w:val="center"/>
        </w:trPr>
        <w:tc>
          <w:tcPr>
            <w:tcW w:w="562" w:type="dxa"/>
            <w:shd w:val="clear" w:color="auto" w:fill="auto"/>
            <w:vAlign w:val="center"/>
          </w:tcPr>
          <w:p w14:paraId="13E28DB3"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14</w:t>
            </w:r>
          </w:p>
        </w:tc>
        <w:tc>
          <w:tcPr>
            <w:tcW w:w="1134" w:type="dxa"/>
            <w:shd w:val="clear" w:color="auto" w:fill="auto"/>
            <w:vAlign w:val="center"/>
          </w:tcPr>
          <w:p w14:paraId="7562CEB6"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Secretaría de Salud</w:t>
            </w:r>
          </w:p>
        </w:tc>
        <w:tc>
          <w:tcPr>
            <w:tcW w:w="709" w:type="dxa"/>
            <w:shd w:val="clear" w:color="auto" w:fill="auto"/>
            <w:vAlign w:val="center"/>
          </w:tcPr>
          <w:p w14:paraId="6AA10F4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3FD41E0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47913A2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shd w:val="clear" w:color="auto" w:fill="auto"/>
            <w:vAlign w:val="center"/>
          </w:tcPr>
          <w:p w14:paraId="2970BFD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657B59A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482AC29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2B77144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shd w:val="clear" w:color="auto" w:fill="auto"/>
            <w:vAlign w:val="center"/>
          </w:tcPr>
          <w:p w14:paraId="125205A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6FB0401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shd w:val="clear" w:color="auto" w:fill="auto"/>
            <w:vAlign w:val="center"/>
          </w:tcPr>
          <w:p w14:paraId="5797C3CA"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color w:val="000000" w:themeColor="text1"/>
                <w:sz w:val="14"/>
                <w:szCs w:val="14"/>
              </w:rPr>
              <w:t xml:space="preserve">Los indicadores estratégicos promedian un 201.54%, argumentando la entidad el sentido de este indicador es descendente. La meta establecida para el ejercicio 2022 fue de 11.60% sin embargo el resultado fue 24.82%. El resultado del indicador de porcentaje de Carencia por acceso a servicios de salud es publicado de manera bienal por el Consejo Nacional de Evaluación de la Política de Desarrollo Social y el dato tomado para el resultado 2022; se rebasó la meta en atención de trabajos de conservación, mantenimiento, rehabilitación y mejoramiento, se desarrollaron acciones requeridas en las </w:t>
            </w:r>
            <w:r w:rsidRPr="00712618">
              <w:rPr>
                <w:rFonts w:ascii="Arial" w:hAnsi="Arial" w:cs="Arial"/>
                <w:color w:val="000000" w:themeColor="text1"/>
                <w:sz w:val="14"/>
                <w:szCs w:val="14"/>
              </w:rPr>
              <w:lastRenderedPageBreak/>
              <w:t>unidades médicas. El indicador de gestión representa un 80.00%.</w:t>
            </w:r>
          </w:p>
        </w:tc>
      </w:tr>
      <w:tr w:rsidR="00712618" w:rsidRPr="00712618" w14:paraId="0B2FE277" w14:textId="77777777" w:rsidTr="009E04D5">
        <w:trPr>
          <w:gridAfter w:val="1"/>
          <w:wAfter w:w="17" w:type="dxa"/>
          <w:trHeight w:val="174"/>
          <w:jc w:val="center"/>
        </w:trPr>
        <w:tc>
          <w:tcPr>
            <w:tcW w:w="562" w:type="dxa"/>
            <w:shd w:val="clear" w:color="auto" w:fill="auto"/>
            <w:vAlign w:val="center"/>
          </w:tcPr>
          <w:p w14:paraId="31BA54E0"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14.1</w:t>
            </w:r>
          </w:p>
        </w:tc>
        <w:tc>
          <w:tcPr>
            <w:tcW w:w="1134" w:type="dxa"/>
            <w:shd w:val="clear" w:color="auto" w:fill="auto"/>
            <w:vAlign w:val="center"/>
          </w:tcPr>
          <w:p w14:paraId="5456E8EB"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Junta de Asistencia Social Privada de Quintana Roo</w:t>
            </w:r>
          </w:p>
        </w:tc>
        <w:tc>
          <w:tcPr>
            <w:tcW w:w="709" w:type="dxa"/>
            <w:shd w:val="clear" w:color="auto" w:fill="auto"/>
            <w:vAlign w:val="center"/>
          </w:tcPr>
          <w:p w14:paraId="25326D8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1AA03B3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100D8EA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shd w:val="clear" w:color="auto" w:fill="auto"/>
            <w:vAlign w:val="center"/>
          </w:tcPr>
          <w:p w14:paraId="7326109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1657DAC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437107C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6244C81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shd w:val="clear" w:color="auto" w:fill="auto"/>
            <w:vAlign w:val="center"/>
          </w:tcPr>
          <w:p w14:paraId="03BE0AC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2CB0530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2713" w:type="dxa"/>
            <w:shd w:val="clear" w:color="auto" w:fill="auto"/>
            <w:vAlign w:val="center"/>
          </w:tcPr>
          <w:p w14:paraId="036D179F"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color w:val="000000" w:themeColor="text1"/>
                <w:sz w:val="14"/>
                <w:szCs w:val="14"/>
              </w:rPr>
              <w:t>Los indicadores estratégicos promedian un 70.61%, el sentido de este indicador es descendente. La meta establecida para el ejercicio 2022 fue de 11.60% sin embargo el resultado fue 24.82%. De los indicadores de gestión promedia un 50.00%, argumentando que no se logran alcanzar las metas debido a los actos protocolarios de entrega- recepción y el cambio de titular de ese órgano.</w:t>
            </w:r>
          </w:p>
        </w:tc>
      </w:tr>
      <w:tr w:rsidR="00712618" w:rsidRPr="00712618" w14:paraId="0678587F" w14:textId="77777777" w:rsidTr="009E04D5">
        <w:trPr>
          <w:gridAfter w:val="1"/>
          <w:wAfter w:w="17" w:type="dxa"/>
          <w:trHeight w:val="174"/>
          <w:jc w:val="center"/>
        </w:trPr>
        <w:tc>
          <w:tcPr>
            <w:tcW w:w="562" w:type="dxa"/>
            <w:shd w:val="clear" w:color="auto" w:fill="auto"/>
            <w:vAlign w:val="center"/>
          </w:tcPr>
          <w:p w14:paraId="470FAF72"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14.2</w:t>
            </w:r>
          </w:p>
        </w:tc>
        <w:tc>
          <w:tcPr>
            <w:tcW w:w="1134" w:type="dxa"/>
            <w:shd w:val="clear" w:color="auto" w:fill="auto"/>
            <w:vAlign w:val="center"/>
          </w:tcPr>
          <w:p w14:paraId="3FCA7571"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Administración del Patrimonio de la Beneficencia Pública del Estado de Quintana Roo</w:t>
            </w:r>
          </w:p>
        </w:tc>
        <w:tc>
          <w:tcPr>
            <w:tcW w:w="709" w:type="dxa"/>
            <w:shd w:val="clear" w:color="auto" w:fill="auto"/>
            <w:vAlign w:val="center"/>
          </w:tcPr>
          <w:p w14:paraId="55083F6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3875139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7E7DFC3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shd w:val="clear" w:color="auto" w:fill="auto"/>
            <w:vAlign w:val="center"/>
          </w:tcPr>
          <w:p w14:paraId="4240F0A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505D962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3157362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79C669E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shd w:val="clear" w:color="auto" w:fill="auto"/>
            <w:vAlign w:val="center"/>
          </w:tcPr>
          <w:p w14:paraId="4BD907E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600FF11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2713" w:type="dxa"/>
            <w:shd w:val="clear" w:color="auto" w:fill="auto"/>
            <w:vAlign w:val="center"/>
          </w:tcPr>
          <w:p w14:paraId="5EA1F672"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color w:val="000000" w:themeColor="text1"/>
                <w:sz w:val="14"/>
                <w:szCs w:val="14"/>
              </w:rPr>
              <w:t xml:space="preserve">Los indicadores estratégicos promedian un 42.11%, el sentido de este indicador es descendente. La meta establecida para el ejercicio 2022 fue de 11.60% sin embargo el resultado fue 24.82%. Los indicadores estratégicos promedia 50.74%, debido a la veda electoral. </w:t>
            </w:r>
          </w:p>
        </w:tc>
      </w:tr>
      <w:tr w:rsidR="00712618" w:rsidRPr="00712618" w14:paraId="4F6EAB1B" w14:textId="77777777" w:rsidTr="009E04D5">
        <w:trPr>
          <w:gridAfter w:val="1"/>
          <w:wAfter w:w="17" w:type="dxa"/>
          <w:trHeight w:val="174"/>
          <w:jc w:val="center"/>
        </w:trPr>
        <w:tc>
          <w:tcPr>
            <w:tcW w:w="562" w:type="dxa"/>
            <w:shd w:val="clear" w:color="auto" w:fill="auto"/>
            <w:vAlign w:val="center"/>
          </w:tcPr>
          <w:p w14:paraId="51E7B4E3"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15</w:t>
            </w:r>
          </w:p>
        </w:tc>
        <w:tc>
          <w:tcPr>
            <w:tcW w:w="1134" w:type="dxa"/>
            <w:shd w:val="clear" w:color="auto" w:fill="auto"/>
            <w:vAlign w:val="center"/>
          </w:tcPr>
          <w:p w14:paraId="41133D82"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Secretaría de Seguridad Pública</w:t>
            </w:r>
          </w:p>
        </w:tc>
        <w:tc>
          <w:tcPr>
            <w:tcW w:w="709" w:type="dxa"/>
            <w:shd w:val="clear" w:color="auto" w:fill="auto"/>
            <w:vAlign w:val="center"/>
          </w:tcPr>
          <w:p w14:paraId="1A2B844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425" w:type="dxa"/>
            <w:shd w:val="clear" w:color="auto" w:fill="D9D9D9" w:themeFill="background1" w:themeFillShade="D9"/>
            <w:vAlign w:val="center"/>
          </w:tcPr>
          <w:p w14:paraId="127EB91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10</w:t>
            </w:r>
          </w:p>
        </w:tc>
        <w:tc>
          <w:tcPr>
            <w:tcW w:w="851" w:type="dxa"/>
            <w:shd w:val="clear" w:color="auto" w:fill="auto"/>
            <w:vAlign w:val="center"/>
          </w:tcPr>
          <w:p w14:paraId="22906A2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709" w:type="dxa"/>
            <w:shd w:val="clear" w:color="auto" w:fill="auto"/>
            <w:vAlign w:val="center"/>
          </w:tcPr>
          <w:p w14:paraId="1944FAC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0654E53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40" w:type="dxa"/>
            <w:shd w:val="clear" w:color="auto" w:fill="D9D9D9" w:themeFill="background1" w:themeFillShade="D9"/>
            <w:vAlign w:val="center"/>
          </w:tcPr>
          <w:p w14:paraId="01E9D7F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18</w:t>
            </w:r>
          </w:p>
        </w:tc>
        <w:tc>
          <w:tcPr>
            <w:tcW w:w="689" w:type="dxa"/>
            <w:shd w:val="clear" w:color="auto" w:fill="auto"/>
            <w:vAlign w:val="center"/>
          </w:tcPr>
          <w:p w14:paraId="030F74B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12</w:t>
            </w:r>
          </w:p>
        </w:tc>
        <w:tc>
          <w:tcPr>
            <w:tcW w:w="728" w:type="dxa"/>
            <w:shd w:val="clear" w:color="auto" w:fill="auto"/>
            <w:vAlign w:val="center"/>
          </w:tcPr>
          <w:p w14:paraId="02FDD46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5ECAFD5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2713" w:type="dxa"/>
            <w:shd w:val="clear" w:color="auto" w:fill="auto"/>
            <w:vAlign w:val="center"/>
          </w:tcPr>
          <w:p w14:paraId="2C6590BF"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color w:val="000000" w:themeColor="text1"/>
                <w:sz w:val="14"/>
                <w:szCs w:val="14"/>
              </w:rPr>
              <w:t>Los indicadores estratégicos promedian un avance del 134.04%, no se cumplió con la meta estimada derivado que el personal fue desplazado a diversos puntos del Estado; de igual manera se superó la meta por una gran cantidad de llamadas; incremento en la meta derivada a la percepción de la seguridad. Los indicadores de gestión promedia un 112.78%, se superó la meta debido a la asistencia a los cursos de capacitación para su certificación; así como por los elementos policiales que obtuvieron su certificado único policial; de igual forma debido a que se reinsertaron personas a</w:t>
            </w:r>
            <w:r w:rsidR="001376C7">
              <w:rPr>
                <w:rFonts w:ascii="Arial" w:hAnsi="Arial" w:cs="Arial"/>
                <w:color w:val="000000" w:themeColor="text1"/>
                <w:sz w:val="14"/>
                <w:szCs w:val="14"/>
              </w:rPr>
              <w:t xml:space="preserve"> </w:t>
            </w:r>
            <w:r w:rsidRPr="00712618">
              <w:rPr>
                <w:rFonts w:ascii="Arial" w:hAnsi="Arial" w:cs="Arial"/>
                <w:color w:val="000000" w:themeColor="text1"/>
                <w:sz w:val="14"/>
                <w:szCs w:val="14"/>
              </w:rPr>
              <w:t>la sociedad.</w:t>
            </w:r>
          </w:p>
        </w:tc>
      </w:tr>
      <w:tr w:rsidR="00712618" w:rsidRPr="00712618" w14:paraId="5D2FC1C6" w14:textId="77777777" w:rsidTr="009E04D5">
        <w:trPr>
          <w:gridAfter w:val="1"/>
          <w:wAfter w:w="17" w:type="dxa"/>
          <w:trHeight w:val="174"/>
          <w:jc w:val="center"/>
        </w:trPr>
        <w:tc>
          <w:tcPr>
            <w:tcW w:w="562" w:type="dxa"/>
            <w:shd w:val="clear" w:color="auto" w:fill="auto"/>
            <w:vAlign w:val="center"/>
          </w:tcPr>
          <w:p w14:paraId="63A6FBBB"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15.1</w:t>
            </w:r>
          </w:p>
        </w:tc>
        <w:tc>
          <w:tcPr>
            <w:tcW w:w="1134" w:type="dxa"/>
            <w:shd w:val="clear" w:color="auto" w:fill="auto"/>
            <w:vAlign w:val="center"/>
          </w:tcPr>
          <w:p w14:paraId="1814155E"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Centro Estatal de Evaluación y Control de Confianza</w:t>
            </w:r>
          </w:p>
        </w:tc>
        <w:tc>
          <w:tcPr>
            <w:tcW w:w="709" w:type="dxa"/>
            <w:shd w:val="clear" w:color="auto" w:fill="auto"/>
            <w:vAlign w:val="center"/>
          </w:tcPr>
          <w:p w14:paraId="5584883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86ABAB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1189C75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6DB010D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shd w:val="clear" w:color="auto" w:fill="auto"/>
            <w:vAlign w:val="center"/>
          </w:tcPr>
          <w:p w14:paraId="16820A1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40" w:type="dxa"/>
            <w:shd w:val="clear" w:color="auto" w:fill="D9D9D9" w:themeFill="background1" w:themeFillShade="D9"/>
            <w:vAlign w:val="center"/>
          </w:tcPr>
          <w:p w14:paraId="15C9675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6A8DAE9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shd w:val="clear" w:color="auto" w:fill="auto"/>
            <w:vAlign w:val="center"/>
          </w:tcPr>
          <w:p w14:paraId="5870F0F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7FD8059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2713" w:type="dxa"/>
            <w:shd w:val="clear" w:color="auto" w:fill="auto"/>
            <w:vAlign w:val="center"/>
          </w:tcPr>
          <w:p w14:paraId="1D5B9354"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color w:val="000000" w:themeColor="text1"/>
                <w:sz w:val="14"/>
                <w:szCs w:val="14"/>
              </w:rPr>
              <w:t xml:space="preserve">El indicador estratégico representa un 62.28%, derivado de la situación operativa que se presentó de manera imperativa, por lo que el personal fue desplazado a diversos puntos del estado, reduciendo el número de elementos asignados a los cursos, talleres y capacitaciones durante este periodo. Los indicadores de gestión promedian un 139.55%, debido al incremento de solicitudes de emisión de la CUP por parte de las corporaciones de seguridad pública. </w:t>
            </w:r>
          </w:p>
        </w:tc>
      </w:tr>
      <w:tr w:rsidR="00712618" w:rsidRPr="00712618" w14:paraId="51A158B8" w14:textId="77777777" w:rsidTr="009E04D5">
        <w:trPr>
          <w:gridAfter w:val="1"/>
          <w:wAfter w:w="17" w:type="dxa"/>
          <w:trHeight w:val="174"/>
          <w:jc w:val="center"/>
        </w:trPr>
        <w:tc>
          <w:tcPr>
            <w:tcW w:w="562" w:type="dxa"/>
            <w:shd w:val="clear" w:color="auto" w:fill="auto"/>
            <w:vAlign w:val="center"/>
          </w:tcPr>
          <w:p w14:paraId="0C29B4FB"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16</w:t>
            </w:r>
          </w:p>
        </w:tc>
        <w:tc>
          <w:tcPr>
            <w:tcW w:w="1134" w:type="dxa"/>
            <w:shd w:val="clear" w:color="auto" w:fill="auto"/>
            <w:vAlign w:val="center"/>
          </w:tcPr>
          <w:p w14:paraId="3710B1D0"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Secretaría de Trabajo y Previsión Social</w:t>
            </w:r>
          </w:p>
        </w:tc>
        <w:tc>
          <w:tcPr>
            <w:tcW w:w="709" w:type="dxa"/>
            <w:shd w:val="clear" w:color="auto" w:fill="auto"/>
            <w:vAlign w:val="center"/>
          </w:tcPr>
          <w:p w14:paraId="16824DF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1FF672B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4C9BE33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1367D3A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112F630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61F676E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7</w:t>
            </w:r>
          </w:p>
        </w:tc>
        <w:tc>
          <w:tcPr>
            <w:tcW w:w="689" w:type="dxa"/>
            <w:shd w:val="clear" w:color="auto" w:fill="auto"/>
            <w:vAlign w:val="center"/>
          </w:tcPr>
          <w:p w14:paraId="473B7B3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shd w:val="clear" w:color="auto" w:fill="auto"/>
            <w:vAlign w:val="center"/>
          </w:tcPr>
          <w:p w14:paraId="4FF1DE6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0CED892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2713" w:type="dxa"/>
            <w:shd w:val="clear" w:color="auto" w:fill="auto"/>
            <w:vAlign w:val="center"/>
          </w:tcPr>
          <w:p w14:paraId="0FB298EC"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Fin reflejan un avance del -1,339.35%. Para el ejercicio fiscal 2022 el Estado de Quintana Roo alcanzó la posición #16 de 32 Estados, representa un incremento de dos puntos porcentuales con relación al ejercicio fiscal anterior. Los indicadores de gestión establecen un promedio de 75.00%; se logró concluir 372 de 654 demandas. Se concluyeron menos demandas laborales de lo programado, por falta de voluntad de conciliación entre las partes en conflicto.</w:t>
            </w:r>
          </w:p>
        </w:tc>
      </w:tr>
      <w:tr w:rsidR="00712618" w:rsidRPr="00712618" w14:paraId="00B98438" w14:textId="77777777" w:rsidTr="009E04D5">
        <w:trPr>
          <w:gridAfter w:val="1"/>
          <w:wAfter w:w="17" w:type="dxa"/>
          <w:trHeight w:val="174"/>
          <w:jc w:val="center"/>
        </w:trPr>
        <w:tc>
          <w:tcPr>
            <w:tcW w:w="562" w:type="dxa"/>
            <w:shd w:val="clear" w:color="auto" w:fill="auto"/>
            <w:vAlign w:val="center"/>
          </w:tcPr>
          <w:p w14:paraId="35D57385"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lastRenderedPageBreak/>
              <w:t>16.1.</w:t>
            </w:r>
          </w:p>
        </w:tc>
        <w:tc>
          <w:tcPr>
            <w:tcW w:w="1134" w:type="dxa"/>
            <w:shd w:val="clear" w:color="auto" w:fill="auto"/>
            <w:vAlign w:val="center"/>
          </w:tcPr>
          <w:p w14:paraId="58BD85A3" w14:textId="77777777" w:rsidR="00712618" w:rsidRPr="00712618" w:rsidRDefault="00712618" w:rsidP="00712618">
            <w:pPr>
              <w:adjustRightInd w:val="0"/>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Servicio Estatal de Empleo y Capacitación para el Trabajo de Quintana Roo</w:t>
            </w:r>
          </w:p>
        </w:tc>
        <w:tc>
          <w:tcPr>
            <w:tcW w:w="709" w:type="dxa"/>
            <w:shd w:val="clear" w:color="auto" w:fill="auto"/>
            <w:vAlign w:val="center"/>
          </w:tcPr>
          <w:p w14:paraId="79BCB3A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743F32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64D47DC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46EA2E3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shd w:val="clear" w:color="auto" w:fill="auto"/>
            <w:vAlign w:val="center"/>
          </w:tcPr>
          <w:p w14:paraId="20FC7FB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11BBCFF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689" w:type="dxa"/>
            <w:shd w:val="clear" w:color="auto" w:fill="auto"/>
            <w:vAlign w:val="center"/>
          </w:tcPr>
          <w:p w14:paraId="6D25293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728" w:type="dxa"/>
            <w:shd w:val="clear" w:color="auto" w:fill="auto"/>
            <w:vAlign w:val="center"/>
          </w:tcPr>
          <w:p w14:paraId="45AA121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28840B4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shd w:val="clear" w:color="auto" w:fill="auto"/>
            <w:vAlign w:val="center"/>
          </w:tcPr>
          <w:p w14:paraId="6CB1EC0C"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Fin son del -1,339.35%. Se tuvo personal colocadas con base a convenios firmados y personas buscadoras de empleo atendidas; rebasando la meta anual programada. De los indicadores de gestión se establece un promedio de 125.15%. Se atendieron personas en los servicios de vinculación laboral, de igual forma se tuvo personas egresadas de cursos impartidos.</w:t>
            </w:r>
          </w:p>
        </w:tc>
      </w:tr>
      <w:tr w:rsidR="00712618" w:rsidRPr="00712618" w14:paraId="35BE3DE5" w14:textId="77777777" w:rsidTr="009E04D5">
        <w:trPr>
          <w:gridAfter w:val="1"/>
          <w:wAfter w:w="17" w:type="dxa"/>
          <w:trHeight w:val="993"/>
          <w:jc w:val="center"/>
        </w:trPr>
        <w:tc>
          <w:tcPr>
            <w:tcW w:w="562" w:type="dxa"/>
            <w:shd w:val="clear" w:color="auto" w:fill="auto"/>
            <w:vAlign w:val="center"/>
          </w:tcPr>
          <w:p w14:paraId="6812158F"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17</w:t>
            </w:r>
          </w:p>
        </w:tc>
        <w:tc>
          <w:tcPr>
            <w:tcW w:w="1134" w:type="dxa"/>
            <w:shd w:val="clear" w:color="auto" w:fill="auto"/>
            <w:vAlign w:val="center"/>
          </w:tcPr>
          <w:p w14:paraId="18D1F827" w14:textId="77777777" w:rsidR="00712618" w:rsidRPr="00712618" w:rsidRDefault="00712618" w:rsidP="00712618">
            <w:pPr>
              <w:adjustRightInd w:val="0"/>
              <w:spacing w:before="120" w:after="120" w:line="240" w:lineRule="auto"/>
              <w:jc w:val="both"/>
              <w:rPr>
                <w:rFonts w:ascii="Arial" w:hAnsi="Arial" w:cs="Arial"/>
                <w:color w:val="000000"/>
                <w:sz w:val="14"/>
                <w:szCs w:val="14"/>
              </w:rPr>
            </w:pPr>
            <w:r w:rsidRPr="00712618">
              <w:rPr>
                <w:rFonts w:ascii="Arial" w:hAnsi="Arial" w:cs="Arial"/>
                <w:color w:val="000000"/>
                <w:sz w:val="14"/>
                <w:szCs w:val="14"/>
              </w:rPr>
              <w:t>Secretaría de Turismo</w:t>
            </w:r>
          </w:p>
        </w:tc>
        <w:tc>
          <w:tcPr>
            <w:tcW w:w="709" w:type="dxa"/>
            <w:shd w:val="clear" w:color="auto" w:fill="auto"/>
            <w:vAlign w:val="center"/>
          </w:tcPr>
          <w:p w14:paraId="4A29B00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25" w:type="dxa"/>
            <w:shd w:val="clear" w:color="auto" w:fill="D9D9D9" w:themeFill="background1" w:themeFillShade="D9"/>
            <w:vAlign w:val="center"/>
          </w:tcPr>
          <w:p w14:paraId="3C520D4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8</w:t>
            </w:r>
          </w:p>
        </w:tc>
        <w:tc>
          <w:tcPr>
            <w:tcW w:w="851" w:type="dxa"/>
            <w:shd w:val="clear" w:color="auto" w:fill="auto"/>
            <w:vAlign w:val="center"/>
          </w:tcPr>
          <w:p w14:paraId="32D41A6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shd w:val="clear" w:color="auto" w:fill="auto"/>
            <w:vAlign w:val="center"/>
          </w:tcPr>
          <w:p w14:paraId="0E05074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71F51B4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440" w:type="dxa"/>
            <w:shd w:val="clear" w:color="auto" w:fill="D9D9D9" w:themeFill="background1" w:themeFillShade="D9"/>
            <w:vAlign w:val="center"/>
          </w:tcPr>
          <w:p w14:paraId="6324C05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10</w:t>
            </w:r>
          </w:p>
        </w:tc>
        <w:tc>
          <w:tcPr>
            <w:tcW w:w="689" w:type="dxa"/>
            <w:shd w:val="clear" w:color="auto" w:fill="auto"/>
            <w:vAlign w:val="center"/>
          </w:tcPr>
          <w:p w14:paraId="13F2ECE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728" w:type="dxa"/>
            <w:shd w:val="clear" w:color="auto" w:fill="auto"/>
            <w:vAlign w:val="center"/>
          </w:tcPr>
          <w:p w14:paraId="6977D91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0 </w:t>
            </w:r>
          </w:p>
        </w:tc>
        <w:tc>
          <w:tcPr>
            <w:tcW w:w="709" w:type="dxa"/>
            <w:shd w:val="clear" w:color="auto" w:fill="auto"/>
            <w:vAlign w:val="center"/>
          </w:tcPr>
          <w:p w14:paraId="35D16DB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2713" w:type="dxa"/>
            <w:shd w:val="clear" w:color="auto" w:fill="auto"/>
            <w:vAlign w:val="center"/>
          </w:tcPr>
          <w:p w14:paraId="3E6B4EE3"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a nivel propósito representa un 67.00%, justifica que se trata de los acuerdos cumplidos al interior de los Comités por el Desarrollo Turístico Sustentable en la entidad. Los indicadores de gestión promedia un avance del 135.12%; la entidad señala que se debe a que tuvo un incremento de certificaciones; hubo un incremento con respecto a lo que se tenía</w:t>
            </w:r>
            <w:r w:rsidR="001376C7">
              <w:rPr>
                <w:rFonts w:ascii="Arial" w:hAnsi="Arial" w:cs="Arial"/>
                <w:sz w:val="14"/>
                <w:szCs w:val="14"/>
              </w:rPr>
              <w:t xml:space="preserve"> </w:t>
            </w:r>
            <w:r w:rsidRPr="00712618">
              <w:rPr>
                <w:rFonts w:ascii="Arial" w:hAnsi="Arial" w:cs="Arial"/>
                <w:sz w:val="14"/>
                <w:szCs w:val="14"/>
              </w:rPr>
              <w:t>programado con la reanudación de ferias y eventos turísticos.</w:t>
            </w:r>
          </w:p>
        </w:tc>
      </w:tr>
      <w:tr w:rsidR="00712618" w:rsidRPr="00712618" w14:paraId="34E33556" w14:textId="77777777" w:rsidTr="009E04D5">
        <w:trPr>
          <w:gridAfter w:val="1"/>
          <w:wAfter w:w="17" w:type="dxa"/>
          <w:trHeight w:val="993"/>
          <w:jc w:val="center"/>
        </w:trPr>
        <w:tc>
          <w:tcPr>
            <w:tcW w:w="562" w:type="dxa"/>
            <w:shd w:val="clear" w:color="auto" w:fill="auto"/>
            <w:vAlign w:val="center"/>
          </w:tcPr>
          <w:p w14:paraId="5E595574"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18</w:t>
            </w:r>
          </w:p>
        </w:tc>
        <w:tc>
          <w:tcPr>
            <w:tcW w:w="1134" w:type="dxa"/>
            <w:shd w:val="clear" w:color="auto" w:fill="auto"/>
            <w:vAlign w:val="center"/>
          </w:tcPr>
          <w:p w14:paraId="2430261F" w14:textId="77777777" w:rsidR="00712618" w:rsidRPr="00712618" w:rsidRDefault="00712618" w:rsidP="00712618">
            <w:pPr>
              <w:adjustRightInd w:val="0"/>
              <w:spacing w:before="120" w:after="120" w:line="240" w:lineRule="auto"/>
              <w:jc w:val="both"/>
              <w:rPr>
                <w:rFonts w:ascii="Arial" w:hAnsi="Arial" w:cs="Arial"/>
                <w:color w:val="000000"/>
                <w:sz w:val="14"/>
                <w:szCs w:val="14"/>
              </w:rPr>
            </w:pPr>
            <w:r w:rsidRPr="00712618">
              <w:rPr>
                <w:rFonts w:ascii="Arial" w:hAnsi="Arial" w:cs="Arial"/>
                <w:color w:val="000000"/>
                <w:sz w:val="14"/>
                <w:szCs w:val="14"/>
              </w:rPr>
              <w:t>Coordinación General de</w:t>
            </w:r>
            <w:r w:rsidR="001376C7">
              <w:rPr>
                <w:rFonts w:ascii="Arial" w:hAnsi="Arial" w:cs="Arial"/>
                <w:color w:val="000000"/>
                <w:sz w:val="14"/>
                <w:szCs w:val="14"/>
              </w:rPr>
              <w:t xml:space="preserve"> </w:t>
            </w:r>
            <w:r w:rsidRPr="00712618">
              <w:rPr>
                <w:rFonts w:ascii="Arial" w:hAnsi="Arial" w:cs="Arial"/>
                <w:color w:val="000000"/>
                <w:sz w:val="14"/>
                <w:szCs w:val="14"/>
              </w:rPr>
              <w:t>Comunicación del Gobierno del Estado de Quintana Roo</w:t>
            </w:r>
          </w:p>
        </w:tc>
        <w:tc>
          <w:tcPr>
            <w:tcW w:w="709" w:type="dxa"/>
            <w:shd w:val="clear" w:color="auto" w:fill="auto"/>
            <w:vAlign w:val="center"/>
          </w:tcPr>
          <w:p w14:paraId="66334B1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25" w:type="dxa"/>
            <w:shd w:val="clear" w:color="auto" w:fill="D9D9D9" w:themeFill="background1" w:themeFillShade="D9"/>
            <w:vAlign w:val="center"/>
          </w:tcPr>
          <w:p w14:paraId="58D4139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851" w:type="dxa"/>
            <w:shd w:val="clear" w:color="auto" w:fill="auto"/>
            <w:vAlign w:val="center"/>
          </w:tcPr>
          <w:p w14:paraId="5B011D3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54CB97A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2184FFF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40" w:type="dxa"/>
            <w:shd w:val="clear" w:color="auto" w:fill="D9D9D9" w:themeFill="background1" w:themeFillShade="D9"/>
            <w:vAlign w:val="center"/>
          </w:tcPr>
          <w:p w14:paraId="065C5F9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689" w:type="dxa"/>
            <w:shd w:val="clear" w:color="auto" w:fill="auto"/>
            <w:vAlign w:val="center"/>
          </w:tcPr>
          <w:p w14:paraId="20CC6B9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shd w:val="clear" w:color="auto" w:fill="auto"/>
            <w:vAlign w:val="center"/>
          </w:tcPr>
          <w:p w14:paraId="5D49499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5F99F53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2713" w:type="dxa"/>
            <w:shd w:val="clear" w:color="auto" w:fill="auto"/>
            <w:vAlign w:val="center"/>
          </w:tcPr>
          <w:p w14:paraId="3061D989"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Este indicador presenta sus avances en semáforo verde, por lo que no presentaron justificación. </w:t>
            </w:r>
          </w:p>
        </w:tc>
      </w:tr>
      <w:tr w:rsidR="00712618" w:rsidRPr="00712618" w14:paraId="4937D283" w14:textId="77777777" w:rsidTr="009E04D5">
        <w:trPr>
          <w:gridAfter w:val="1"/>
          <w:wAfter w:w="17" w:type="dxa"/>
          <w:trHeight w:val="993"/>
          <w:jc w:val="center"/>
        </w:trPr>
        <w:tc>
          <w:tcPr>
            <w:tcW w:w="562" w:type="dxa"/>
            <w:shd w:val="clear" w:color="auto" w:fill="auto"/>
            <w:vAlign w:val="center"/>
          </w:tcPr>
          <w:p w14:paraId="0B81F28C"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19</w:t>
            </w:r>
          </w:p>
        </w:tc>
        <w:tc>
          <w:tcPr>
            <w:tcW w:w="1134" w:type="dxa"/>
            <w:shd w:val="clear" w:color="auto" w:fill="auto"/>
            <w:vAlign w:val="center"/>
          </w:tcPr>
          <w:p w14:paraId="13429138" w14:textId="77777777" w:rsidR="00712618" w:rsidRPr="00712618" w:rsidRDefault="00712618" w:rsidP="00712618">
            <w:pPr>
              <w:adjustRightInd w:val="0"/>
              <w:spacing w:before="120" w:after="120" w:line="240" w:lineRule="auto"/>
              <w:jc w:val="both"/>
              <w:rPr>
                <w:rFonts w:ascii="Arial" w:hAnsi="Arial" w:cs="Arial"/>
                <w:color w:val="000000"/>
                <w:sz w:val="14"/>
                <w:szCs w:val="14"/>
              </w:rPr>
            </w:pPr>
            <w:r w:rsidRPr="00712618">
              <w:rPr>
                <w:rFonts w:ascii="Arial" w:hAnsi="Arial" w:cs="Arial"/>
                <w:color w:val="000000"/>
                <w:sz w:val="14"/>
                <w:szCs w:val="14"/>
              </w:rPr>
              <w:t>Despacho de la gobernadora</w:t>
            </w:r>
          </w:p>
        </w:tc>
        <w:tc>
          <w:tcPr>
            <w:tcW w:w="709" w:type="dxa"/>
            <w:shd w:val="clear" w:color="auto" w:fill="auto"/>
            <w:vAlign w:val="center"/>
          </w:tcPr>
          <w:p w14:paraId="7BC9D93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099E5AC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shd w:val="clear" w:color="auto" w:fill="auto"/>
            <w:vAlign w:val="center"/>
          </w:tcPr>
          <w:p w14:paraId="1B0DA22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shd w:val="clear" w:color="auto" w:fill="auto"/>
            <w:vAlign w:val="center"/>
          </w:tcPr>
          <w:p w14:paraId="75131A9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shd w:val="clear" w:color="auto" w:fill="auto"/>
            <w:vAlign w:val="center"/>
          </w:tcPr>
          <w:p w14:paraId="78F0244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2FAD1A7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shd w:val="clear" w:color="auto" w:fill="auto"/>
            <w:vAlign w:val="center"/>
          </w:tcPr>
          <w:p w14:paraId="1EDC997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shd w:val="clear" w:color="auto" w:fill="auto"/>
            <w:vAlign w:val="center"/>
          </w:tcPr>
          <w:p w14:paraId="0FF7AB4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shd w:val="clear" w:color="auto" w:fill="auto"/>
            <w:vAlign w:val="center"/>
          </w:tcPr>
          <w:p w14:paraId="2B731FE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2713" w:type="dxa"/>
            <w:shd w:val="clear" w:color="auto" w:fill="auto"/>
            <w:vAlign w:val="center"/>
          </w:tcPr>
          <w:p w14:paraId="7A9BE1F1"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Los indicadores estratégicos, a nivel Fin con un 160.00% y 533.33%, ambos superan la meta, la cual no justifica la entidad. </w:t>
            </w:r>
          </w:p>
        </w:tc>
      </w:tr>
      <w:tr w:rsidR="00712618" w:rsidRPr="00712618" w14:paraId="27F02B4F" w14:textId="77777777" w:rsidTr="009E04D5">
        <w:trPr>
          <w:gridAfter w:val="1"/>
          <w:wAfter w:w="17" w:type="dxa"/>
          <w:trHeight w:val="422"/>
          <w:jc w:val="center"/>
        </w:trPr>
        <w:tc>
          <w:tcPr>
            <w:tcW w:w="10363" w:type="dxa"/>
            <w:gridSpan w:val="12"/>
            <w:shd w:val="clear" w:color="auto" w:fill="9E9142"/>
            <w:vAlign w:val="center"/>
          </w:tcPr>
          <w:p w14:paraId="7D93BE15" w14:textId="77777777" w:rsidR="00712618" w:rsidRPr="00712618" w:rsidDel="00C153C0" w:rsidRDefault="00712618" w:rsidP="00712618">
            <w:pPr>
              <w:spacing w:before="120" w:after="120" w:line="240" w:lineRule="auto"/>
              <w:jc w:val="center"/>
              <w:rPr>
                <w:rFonts w:ascii="Arial" w:hAnsi="Arial" w:cs="Arial"/>
                <w:color w:val="FFFFFF" w:themeColor="background1"/>
                <w:sz w:val="14"/>
                <w:szCs w:val="14"/>
              </w:rPr>
            </w:pPr>
            <w:r w:rsidRPr="00712618">
              <w:rPr>
                <w:rFonts w:ascii="Arial" w:hAnsi="Arial" w:cs="Arial"/>
                <w:b/>
                <w:color w:val="FFFFFF" w:themeColor="background1"/>
                <w:sz w:val="14"/>
                <w:szCs w:val="14"/>
              </w:rPr>
              <w:t>ENTIDADES PARAESTATALES</w:t>
            </w:r>
          </w:p>
        </w:tc>
      </w:tr>
      <w:tr w:rsidR="00712618" w:rsidRPr="00712618" w14:paraId="1D26FB07" w14:textId="77777777" w:rsidTr="009E04D5">
        <w:trPr>
          <w:gridAfter w:val="1"/>
          <w:wAfter w:w="17" w:type="dxa"/>
          <w:trHeight w:val="422"/>
          <w:jc w:val="center"/>
        </w:trPr>
        <w:tc>
          <w:tcPr>
            <w:tcW w:w="562" w:type="dxa"/>
            <w:vAlign w:val="center"/>
          </w:tcPr>
          <w:p w14:paraId="43BA3CF5"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20</w:t>
            </w:r>
          </w:p>
        </w:tc>
        <w:tc>
          <w:tcPr>
            <w:tcW w:w="1134" w:type="dxa"/>
            <w:vAlign w:val="center"/>
          </w:tcPr>
          <w:p w14:paraId="5AC152E0" w14:textId="77777777" w:rsidR="00712618" w:rsidRPr="00712618" w:rsidRDefault="00712618" w:rsidP="00712618">
            <w:pPr>
              <w:adjustRightInd w:val="0"/>
              <w:spacing w:before="120" w:after="120" w:line="240" w:lineRule="auto"/>
              <w:jc w:val="both"/>
              <w:rPr>
                <w:rFonts w:ascii="Arial" w:hAnsi="Arial" w:cs="Arial"/>
                <w:color w:val="000000"/>
                <w:sz w:val="14"/>
                <w:szCs w:val="14"/>
              </w:rPr>
            </w:pPr>
            <w:r w:rsidRPr="00712618">
              <w:rPr>
                <w:rFonts w:ascii="Arial" w:hAnsi="Arial" w:cs="Arial"/>
                <w:color w:val="000000"/>
                <w:sz w:val="14"/>
                <w:szCs w:val="14"/>
              </w:rPr>
              <w:t>Administración Portuaria Integral de Quintana Roo S.A. de C.V.</w:t>
            </w:r>
          </w:p>
        </w:tc>
        <w:tc>
          <w:tcPr>
            <w:tcW w:w="709" w:type="dxa"/>
            <w:vAlign w:val="center"/>
          </w:tcPr>
          <w:p w14:paraId="45954D57" w14:textId="77777777" w:rsidR="00712618" w:rsidRPr="00712618" w:rsidRDefault="00712618" w:rsidP="00712618">
            <w:pPr>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2</w:t>
            </w:r>
          </w:p>
        </w:tc>
        <w:tc>
          <w:tcPr>
            <w:tcW w:w="425" w:type="dxa"/>
            <w:shd w:val="clear" w:color="auto" w:fill="D9D9D9" w:themeFill="background1" w:themeFillShade="D9"/>
            <w:vAlign w:val="center"/>
          </w:tcPr>
          <w:p w14:paraId="0BC4E703" w14:textId="77777777" w:rsidR="00712618" w:rsidRPr="00712618" w:rsidRDefault="00712618" w:rsidP="00712618">
            <w:pPr>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4</w:t>
            </w:r>
          </w:p>
        </w:tc>
        <w:tc>
          <w:tcPr>
            <w:tcW w:w="851" w:type="dxa"/>
            <w:vAlign w:val="center"/>
          </w:tcPr>
          <w:p w14:paraId="1BDF20DA" w14:textId="77777777" w:rsidR="00712618" w:rsidRPr="00712618" w:rsidRDefault="00712618" w:rsidP="00712618">
            <w:pPr>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1</w:t>
            </w:r>
          </w:p>
        </w:tc>
        <w:tc>
          <w:tcPr>
            <w:tcW w:w="709" w:type="dxa"/>
            <w:vAlign w:val="center"/>
          </w:tcPr>
          <w:p w14:paraId="59FC1EF7" w14:textId="77777777" w:rsidR="00712618" w:rsidRPr="00712618" w:rsidRDefault="00712618" w:rsidP="00712618">
            <w:pPr>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2</w:t>
            </w:r>
          </w:p>
        </w:tc>
        <w:tc>
          <w:tcPr>
            <w:tcW w:w="694" w:type="dxa"/>
            <w:vAlign w:val="center"/>
          </w:tcPr>
          <w:p w14:paraId="383CC66B" w14:textId="77777777" w:rsidR="00712618" w:rsidRPr="00712618" w:rsidRDefault="00712618" w:rsidP="00712618">
            <w:pPr>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1</w:t>
            </w:r>
          </w:p>
        </w:tc>
        <w:tc>
          <w:tcPr>
            <w:tcW w:w="440" w:type="dxa"/>
            <w:shd w:val="clear" w:color="auto" w:fill="D9D9D9" w:themeFill="background1" w:themeFillShade="D9"/>
            <w:vAlign w:val="center"/>
          </w:tcPr>
          <w:p w14:paraId="0E94C4CD" w14:textId="77777777" w:rsidR="00712618" w:rsidRPr="00712618" w:rsidRDefault="00712618" w:rsidP="00712618">
            <w:pPr>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3</w:t>
            </w:r>
          </w:p>
        </w:tc>
        <w:tc>
          <w:tcPr>
            <w:tcW w:w="689" w:type="dxa"/>
            <w:vAlign w:val="center"/>
          </w:tcPr>
          <w:p w14:paraId="7C4E9C59" w14:textId="77777777" w:rsidR="00712618" w:rsidRPr="00712618" w:rsidRDefault="00712618" w:rsidP="00712618">
            <w:pPr>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2</w:t>
            </w:r>
          </w:p>
        </w:tc>
        <w:tc>
          <w:tcPr>
            <w:tcW w:w="728" w:type="dxa"/>
            <w:vAlign w:val="center"/>
          </w:tcPr>
          <w:p w14:paraId="6ED10528" w14:textId="77777777" w:rsidR="00712618" w:rsidRPr="00712618" w:rsidRDefault="00712618" w:rsidP="00712618">
            <w:pPr>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0</w:t>
            </w:r>
          </w:p>
        </w:tc>
        <w:tc>
          <w:tcPr>
            <w:tcW w:w="709" w:type="dxa"/>
            <w:vAlign w:val="center"/>
          </w:tcPr>
          <w:p w14:paraId="63BFAF10" w14:textId="77777777" w:rsidR="00712618" w:rsidRPr="00712618" w:rsidRDefault="00712618" w:rsidP="00712618">
            <w:pPr>
              <w:spacing w:before="120" w:after="120" w:line="240" w:lineRule="auto"/>
              <w:jc w:val="center"/>
              <w:rPr>
                <w:rFonts w:ascii="Arial" w:hAnsi="Arial" w:cs="Arial"/>
                <w:color w:val="000000"/>
                <w:sz w:val="14"/>
                <w:szCs w:val="14"/>
              </w:rPr>
            </w:pPr>
            <w:r w:rsidRPr="00712618">
              <w:rPr>
                <w:rFonts w:ascii="Arial" w:hAnsi="Arial" w:cs="Arial"/>
                <w:color w:val="000000"/>
                <w:sz w:val="14"/>
                <w:szCs w:val="14"/>
              </w:rPr>
              <w:t>1</w:t>
            </w:r>
          </w:p>
        </w:tc>
        <w:tc>
          <w:tcPr>
            <w:tcW w:w="2713" w:type="dxa"/>
            <w:vAlign w:val="center"/>
          </w:tcPr>
          <w:p w14:paraId="4BABE96E" w14:textId="77777777" w:rsidR="00712618" w:rsidRPr="00712618" w:rsidRDefault="00712618" w:rsidP="00712618">
            <w:pPr>
              <w:spacing w:before="120" w:after="120" w:line="240" w:lineRule="auto"/>
              <w:jc w:val="both"/>
              <w:rPr>
                <w:rFonts w:ascii="Arial" w:hAnsi="Arial" w:cs="Arial"/>
                <w:color w:val="000000"/>
                <w:sz w:val="14"/>
                <w:szCs w:val="14"/>
              </w:rPr>
            </w:pPr>
            <w:r w:rsidRPr="00712618">
              <w:rPr>
                <w:rFonts w:ascii="Arial" w:hAnsi="Arial" w:cs="Arial"/>
                <w:color w:val="000000"/>
                <w:sz w:val="14"/>
                <w:szCs w:val="14"/>
              </w:rPr>
              <w:t>El indicador estratégico representa un 53.57% de avance. Los indicadores de gestión promedian un 149.55% de avance, debido a la contingencia sanitaria del covid-19, el número de pasajeros recibidos fue superior a lo programado; de igual manera durante el ejercicio se alcanzaba la meta en algunos trimestres y en otros no con respecto al arribo de cruceros.</w:t>
            </w:r>
          </w:p>
        </w:tc>
      </w:tr>
      <w:tr w:rsidR="00712618" w:rsidRPr="00712618" w14:paraId="085214B1" w14:textId="77777777" w:rsidTr="009E04D5">
        <w:trPr>
          <w:gridAfter w:val="1"/>
          <w:wAfter w:w="17" w:type="dxa"/>
          <w:trHeight w:val="741"/>
          <w:jc w:val="center"/>
        </w:trPr>
        <w:tc>
          <w:tcPr>
            <w:tcW w:w="562" w:type="dxa"/>
            <w:vAlign w:val="center"/>
          </w:tcPr>
          <w:p w14:paraId="7B78FBC1"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21</w:t>
            </w:r>
          </w:p>
        </w:tc>
        <w:tc>
          <w:tcPr>
            <w:tcW w:w="1134" w:type="dxa"/>
            <w:vAlign w:val="center"/>
          </w:tcPr>
          <w:p w14:paraId="6B5F0E80"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Agencia de Proyectos Estratégicos del Estado de Quintana Roo</w:t>
            </w:r>
          </w:p>
        </w:tc>
        <w:tc>
          <w:tcPr>
            <w:tcW w:w="709" w:type="dxa"/>
            <w:vAlign w:val="center"/>
          </w:tcPr>
          <w:p w14:paraId="38BC3A3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25" w:type="dxa"/>
            <w:shd w:val="clear" w:color="auto" w:fill="D9D9D9" w:themeFill="background1" w:themeFillShade="D9"/>
            <w:vAlign w:val="center"/>
          </w:tcPr>
          <w:p w14:paraId="2812113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851" w:type="dxa"/>
            <w:vAlign w:val="center"/>
          </w:tcPr>
          <w:p w14:paraId="582C596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09" w:type="dxa"/>
            <w:vAlign w:val="center"/>
          </w:tcPr>
          <w:p w14:paraId="386DC09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65835A3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7B28001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9</w:t>
            </w:r>
          </w:p>
        </w:tc>
        <w:tc>
          <w:tcPr>
            <w:tcW w:w="689" w:type="dxa"/>
            <w:vAlign w:val="center"/>
          </w:tcPr>
          <w:p w14:paraId="48992B1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37178B3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vAlign w:val="center"/>
          </w:tcPr>
          <w:p w14:paraId="1D459A9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7</w:t>
            </w:r>
          </w:p>
        </w:tc>
        <w:tc>
          <w:tcPr>
            <w:tcW w:w="2713" w:type="dxa"/>
            <w:vAlign w:val="center"/>
          </w:tcPr>
          <w:p w14:paraId="1248A797"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promedian un 167.74% de avance; El Estado de Quintana Roo, cayó 3 posiciones en el Índice de Competitividad Estatal (ICE)2022.</w:t>
            </w:r>
          </w:p>
        </w:tc>
      </w:tr>
      <w:tr w:rsidR="00712618" w:rsidRPr="00712618" w14:paraId="221B3C27" w14:textId="77777777" w:rsidTr="009E04D5">
        <w:trPr>
          <w:gridAfter w:val="1"/>
          <w:wAfter w:w="17" w:type="dxa"/>
          <w:trHeight w:val="1024"/>
          <w:jc w:val="center"/>
        </w:trPr>
        <w:tc>
          <w:tcPr>
            <w:tcW w:w="562" w:type="dxa"/>
            <w:vAlign w:val="center"/>
          </w:tcPr>
          <w:p w14:paraId="4FF06CB1"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22</w:t>
            </w:r>
          </w:p>
        </w:tc>
        <w:tc>
          <w:tcPr>
            <w:tcW w:w="1134" w:type="dxa"/>
            <w:vAlign w:val="center"/>
          </w:tcPr>
          <w:p w14:paraId="5586AA73" w14:textId="77777777" w:rsidR="00712618" w:rsidRPr="00712618" w:rsidRDefault="00712618" w:rsidP="00712618">
            <w:pPr>
              <w:adjustRightInd w:val="0"/>
              <w:spacing w:before="120" w:after="120" w:line="240" w:lineRule="auto"/>
              <w:jc w:val="both"/>
              <w:rPr>
                <w:rFonts w:ascii="Arial" w:hAnsi="Arial" w:cs="Arial"/>
                <w:color w:val="000000"/>
                <w:sz w:val="14"/>
                <w:szCs w:val="14"/>
              </w:rPr>
            </w:pPr>
            <w:r w:rsidRPr="00712618">
              <w:rPr>
                <w:rFonts w:ascii="Arial" w:hAnsi="Arial" w:cs="Arial"/>
                <w:sz w:val="14"/>
                <w:szCs w:val="14"/>
              </w:rPr>
              <w:t>Centro de Estudios de Bachillerato Técnico “Eva Sámano de López Mateos”</w:t>
            </w:r>
          </w:p>
        </w:tc>
        <w:tc>
          <w:tcPr>
            <w:tcW w:w="709" w:type="dxa"/>
            <w:vAlign w:val="center"/>
          </w:tcPr>
          <w:p w14:paraId="2A45EA0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730BA4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03663F0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048CF39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2E68DD7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0804E54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3EDC1CA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28" w:type="dxa"/>
            <w:vAlign w:val="center"/>
          </w:tcPr>
          <w:p w14:paraId="1D44CA7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7317810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vAlign w:val="center"/>
          </w:tcPr>
          <w:p w14:paraId="67BEE9C6"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Propósito, establecen un porcentaje de 130.19%, no se pudo tener el número de alumnos programados</w:t>
            </w:r>
            <w:r w:rsidR="001376C7">
              <w:rPr>
                <w:rFonts w:ascii="Arial" w:hAnsi="Arial" w:cs="Arial"/>
                <w:sz w:val="14"/>
                <w:szCs w:val="14"/>
              </w:rPr>
              <w:t xml:space="preserve"> </w:t>
            </w:r>
            <w:r w:rsidRPr="00712618">
              <w:rPr>
                <w:rFonts w:ascii="Arial" w:hAnsi="Arial" w:cs="Arial"/>
                <w:sz w:val="14"/>
                <w:szCs w:val="14"/>
              </w:rPr>
              <w:t>ya que por pandemia COVID-19 no se ha recuperado la dinámica de crecimiento.</w:t>
            </w:r>
          </w:p>
        </w:tc>
      </w:tr>
      <w:tr w:rsidR="00712618" w:rsidRPr="00712618" w14:paraId="06095612" w14:textId="77777777" w:rsidTr="009E04D5">
        <w:trPr>
          <w:gridAfter w:val="1"/>
          <w:wAfter w:w="17" w:type="dxa"/>
          <w:trHeight w:val="1032"/>
          <w:jc w:val="center"/>
        </w:trPr>
        <w:tc>
          <w:tcPr>
            <w:tcW w:w="562" w:type="dxa"/>
            <w:vAlign w:val="center"/>
          </w:tcPr>
          <w:p w14:paraId="09DF7B3D"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lastRenderedPageBreak/>
              <w:t>23</w:t>
            </w:r>
          </w:p>
        </w:tc>
        <w:tc>
          <w:tcPr>
            <w:tcW w:w="1134" w:type="dxa"/>
            <w:vAlign w:val="center"/>
          </w:tcPr>
          <w:p w14:paraId="5D87892F"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Colegio de Bachilleres</w:t>
            </w:r>
            <w:r w:rsidR="001376C7">
              <w:rPr>
                <w:rFonts w:ascii="Arial" w:hAnsi="Arial" w:cs="Arial"/>
                <w:sz w:val="14"/>
                <w:szCs w:val="14"/>
              </w:rPr>
              <w:t xml:space="preserve"> </w:t>
            </w:r>
            <w:r w:rsidRPr="00712618">
              <w:rPr>
                <w:rFonts w:ascii="Arial" w:hAnsi="Arial" w:cs="Arial"/>
                <w:sz w:val="14"/>
                <w:szCs w:val="14"/>
              </w:rPr>
              <w:t>del Estado de Quintana Roo</w:t>
            </w:r>
          </w:p>
        </w:tc>
        <w:tc>
          <w:tcPr>
            <w:tcW w:w="709" w:type="dxa"/>
            <w:vAlign w:val="center"/>
          </w:tcPr>
          <w:p w14:paraId="33A6A87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1B9AAA2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177DDBA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5261695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7E1230B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1AE4236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3D2F7D3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61E45DE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10F46C5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2713" w:type="dxa"/>
            <w:vAlign w:val="center"/>
          </w:tcPr>
          <w:p w14:paraId="0BEC5F1B"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Propósito con un 130.19%, debido a la disminución de la matrícula que se programó y al aumento en el número de alumnos que concluyeron el último semestre con un promedio mayor a 8.</w:t>
            </w:r>
          </w:p>
        </w:tc>
      </w:tr>
      <w:tr w:rsidR="00712618" w:rsidRPr="00712618" w14:paraId="244C0DC6" w14:textId="77777777" w:rsidTr="009E04D5">
        <w:trPr>
          <w:gridAfter w:val="1"/>
          <w:wAfter w:w="17" w:type="dxa"/>
          <w:trHeight w:val="588"/>
          <w:jc w:val="center"/>
        </w:trPr>
        <w:tc>
          <w:tcPr>
            <w:tcW w:w="562" w:type="dxa"/>
            <w:vAlign w:val="center"/>
          </w:tcPr>
          <w:p w14:paraId="2F379A0D"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24</w:t>
            </w:r>
          </w:p>
        </w:tc>
        <w:tc>
          <w:tcPr>
            <w:tcW w:w="1134" w:type="dxa"/>
            <w:vAlign w:val="center"/>
          </w:tcPr>
          <w:p w14:paraId="031DB054"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 xml:space="preserve">Colegio de Educación Profesional Técnica del Estado de Quintana Roo </w:t>
            </w:r>
          </w:p>
        </w:tc>
        <w:tc>
          <w:tcPr>
            <w:tcW w:w="709" w:type="dxa"/>
            <w:vAlign w:val="center"/>
          </w:tcPr>
          <w:p w14:paraId="2502448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630CE4B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00AF04E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555B727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vAlign w:val="center"/>
          </w:tcPr>
          <w:p w14:paraId="3042748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007D40A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6026FA5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525E14F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7E56889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2713" w:type="dxa"/>
            <w:vAlign w:val="center"/>
          </w:tcPr>
          <w:p w14:paraId="58C1F7CB"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a nivel propósito refleja el 130.19% de avance. Se supera la meta anual debido a la disminución de la matricula que se programó y al aumento en el número de alumnos que concluyeron el último semestre con un promedio mayor a 8.</w:t>
            </w:r>
            <w:r w:rsidR="001376C7">
              <w:rPr>
                <w:rFonts w:ascii="Arial" w:hAnsi="Arial" w:cs="Arial"/>
                <w:sz w:val="14"/>
                <w:szCs w:val="14"/>
              </w:rPr>
              <w:t xml:space="preserve"> </w:t>
            </w:r>
          </w:p>
        </w:tc>
      </w:tr>
      <w:tr w:rsidR="00712618" w:rsidRPr="00712618" w14:paraId="41FAF609" w14:textId="77777777" w:rsidTr="009E04D5">
        <w:trPr>
          <w:gridAfter w:val="1"/>
          <w:wAfter w:w="17" w:type="dxa"/>
          <w:trHeight w:val="1032"/>
          <w:jc w:val="center"/>
        </w:trPr>
        <w:tc>
          <w:tcPr>
            <w:tcW w:w="562" w:type="dxa"/>
            <w:vAlign w:val="center"/>
          </w:tcPr>
          <w:p w14:paraId="14B93568"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25</w:t>
            </w:r>
          </w:p>
        </w:tc>
        <w:tc>
          <w:tcPr>
            <w:tcW w:w="1134" w:type="dxa"/>
            <w:vAlign w:val="center"/>
          </w:tcPr>
          <w:p w14:paraId="20428D68"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Colegio de Estudios Científicos y Tecnológicos del Estado de Quintana Roo</w:t>
            </w:r>
          </w:p>
        </w:tc>
        <w:tc>
          <w:tcPr>
            <w:tcW w:w="709" w:type="dxa"/>
            <w:vAlign w:val="center"/>
          </w:tcPr>
          <w:p w14:paraId="3437923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2F1341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0A68A76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09" w:type="dxa"/>
            <w:vAlign w:val="center"/>
          </w:tcPr>
          <w:p w14:paraId="6BEB121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vAlign w:val="center"/>
          </w:tcPr>
          <w:p w14:paraId="3421662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0059AF2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0BA2419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vAlign w:val="center"/>
          </w:tcPr>
          <w:p w14:paraId="6ABB1B7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2718A14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2713" w:type="dxa"/>
            <w:vAlign w:val="center"/>
          </w:tcPr>
          <w:p w14:paraId="76EECB52"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reflejan un avance promedio de 288.03%: El incremento de la matricula no se ha recuperado al crecimiento que se venía presentando antes de la pandemia por COVID-19, por lo que no se pudo tener el número de alumnos programados para alcanzar la meta.</w:t>
            </w:r>
          </w:p>
        </w:tc>
      </w:tr>
      <w:tr w:rsidR="00712618" w:rsidRPr="00712618" w14:paraId="47108F38" w14:textId="77777777" w:rsidTr="009E04D5">
        <w:trPr>
          <w:gridAfter w:val="1"/>
          <w:wAfter w:w="17" w:type="dxa"/>
          <w:trHeight w:val="377"/>
          <w:jc w:val="center"/>
        </w:trPr>
        <w:tc>
          <w:tcPr>
            <w:tcW w:w="562" w:type="dxa"/>
            <w:vAlign w:val="center"/>
          </w:tcPr>
          <w:p w14:paraId="53BD8AD0"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26</w:t>
            </w:r>
          </w:p>
        </w:tc>
        <w:tc>
          <w:tcPr>
            <w:tcW w:w="1134" w:type="dxa"/>
            <w:vAlign w:val="center"/>
          </w:tcPr>
          <w:p w14:paraId="29833BB5"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Comisión de Agua Potable y Alcantarillado</w:t>
            </w:r>
          </w:p>
        </w:tc>
        <w:tc>
          <w:tcPr>
            <w:tcW w:w="709" w:type="dxa"/>
            <w:vAlign w:val="center"/>
          </w:tcPr>
          <w:p w14:paraId="2A96690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25" w:type="dxa"/>
            <w:shd w:val="clear" w:color="auto" w:fill="D9D9D9" w:themeFill="background1" w:themeFillShade="D9"/>
            <w:vAlign w:val="center"/>
          </w:tcPr>
          <w:p w14:paraId="6748A01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12</w:t>
            </w:r>
          </w:p>
        </w:tc>
        <w:tc>
          <w:tcPr>
            <w:tcW w:w="851" w:type="dxa"/>
            <w:vAlign w:val="center"/>
          </w:tcPr>
          <w:p w14:paraId="68335F8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vAlign w:val="center"/>
          </w:tcPr>
          <w:p w14:paraId="15E5E7C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vAlign w:val="center"/>
          </w:tcPr>
          <w:p w14:paraId="2FF9E70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9</w:t>
            </w:r>
          </w:p>
        </w:tc>
        <w:tc>
          <w:tcPr>
            <w:tcW w:w="440" w:type="dxa"/>
            <w:shd w:val="clear" w:color="auto" w:fill="D9D9D9" w:themeFill="background1" w:themeFillShade="D9"/>
            <w:vAlign w:val="center"/>
          </w:tcPr>
          <w:p w14:paraId="211FFB2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11</w:t>
            </w:r>
          </w:p>
        </w:tc>
        <w:tc>
          <w:tcPr>
            <w:tcW w:w="689" w:type="dxa"/>
            <w:vAlign w:val="center"/>
          </w:tcPr>
          <w:p w14:paraId="62F3400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vAlign w:val="center"/>
          </w:tcPr>
          <w:p w14:paraId="28EBB76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75E82EC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9</w:t>
            </w:r>
          </w:p>
        </w:tc>
        <w:tc>
          <w:tcPr>
            <w:tcW w:w="2713" w:type="dxa"/>
            <w:vAlign w:val="center"/>
          </w:tcPr>
          <w:p w14:paraId="675871BF"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establecen un promedio de avance del 112.40%. La entidad no justifica la variación de la meta anual.</w:t>
            </w:r>
          </w:p>
        </w:tc>
      </w:tr>
      <w:tr w:rsidR="00712618" w:rsidRPr="00712618" w14:paraId="70F1F285" w14:textId="77777777" w:rsidTr="009E04D5">
        <w:trPr>
          <w:gridAfter w:val="1"/>
          <w:wAfter w:w="17" w:type="dxa"/>
          <w:trHeight w:val="694"/>
          <w:jc w:val="center"/>
        </w:trPr>
        <w:tc>
          <w:tcPr>
            <w:tcW w:w="562" w:type="dxa"/>
            <w:vAlign w:val="center"/>
          </w:tcPr>
          <w:p w14:paraId="61532139"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27</w:t>
            </w:r>
          </w:p>
        </w:tc>
        <w:tc>
          <w:tcPr>
            <w:tcW w:w="1134" w:type="dxa"/>
            <w:vAlign w:val="center"/>
          </w:tcPr>
          <w:p w14:paraId="4D2E654B"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Comisión Ejecutiva de Atención a Víctimas del Estado de Quintana Roo,</w:t>
            </w:r>
          </w:p>
        </w:tc>
        <w:tc>
          <w:tcPr>
            <w:tcW w:w="709" w:type="dxa"/>
            <w:vAlign w:val="center"/>
          </w:tcPr>
          <w:p w14:paraId="07F0C31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25" w:type="dxa"/>
            <w:shd w:val="clear" w:color="auto" w:fill="D9D9D9" w:themeFill="background1" w:themeFillShade="D9"/>
            <w:vAlign w:val="center"/>
          </w:tcPr>
          <w:p w14:paraId="3A782E5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851" w:type="dxa"/>
            <w:vAlign w:val="center"/>
          </w:tcPr>
          <w:p w14:paraId="2F962D7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vAlign w:val="center"/>
          </w:tcPr>
          <w:p w14:paraId="2F5B567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vAlign w:val="center"/>
          </w:tcPr>
          <w:p w14:paraId="5E1024E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40" w:type="dxa"/>
            <w:shd w:val="clear" w:color="auto" w:fill="D9D9D9" w:themeFill="background1" w:themeFillShade="D9"/>
            <w:vAlign w:val="center"/>
          </w:tcPr>
          <w:p w14:paraId="2C65D6A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7</w:t>
            </w:r>
          </w:p>
        </w:tc>
        <w:tc>
          <w:tcPr>
            <w:tcW w:w="689" w:type="dxa"/>
            <w:vAlign w:val="center"/>
          </w:tcPr>
          <w:p w14:paraId="59E8280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728" w:type="dxa"/>
            <w:vAlign w:val="center"/>
          </w:tcPr>
          <w:p w14:paraId="3A551F5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6EA105C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vAlign w:val="center"/>
          </w:tcPr>
          <w:p w14:paraId="32689391"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establecen un promedio de avance del 103.49%. Los resultados generales señalan que en el nivel global de implantación y operación del PbR-SED. La meta del indicador es proporcionada por la Secretaria de Finanzas.</w:t>
            </w:r>
          </w:p>
        </w:tc>
      </w:tr>
      <w:tr w:rsidR="00712618" w:rsidRPr="00712618" w14:paraId="69E597B8" w14:textId="77777777" w:rsidTr="009E04D5">
        <w:trPr>
          <w:gridAfter w:val="1"/>
          <w:wAfter w:w="17" w:type="dxa"/>
          <w:trHeight w:val="450"/>
          <w:jc w:val="center"/>
        </w:trPr>
        <w:tc>
          <w:tcPr>
            <w:tcW w:w="562" w:type="dxa"/>
            <w:vAlign w:val="center"/>
          </w:tcPr>
          <w:p w14:paraId="0CF1D826"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28</w:t>
            </w:r>
          </w:p>
        </w:tc>
        <w:tc>
          <w:tcPr>
            <w:tcW w:w="1134" w:type="dxa"/>
            <w:vAlign w:val="center"/>
          </w:tcPr>
          <w:p w14:paraId="34FDD8C9"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 xml:space="preserve">Comisión para la Juventud y el Deporte de Quintana Roo </w:t>
            </w:r>
          </w:p>
        </w:tc>
        <w:tc>
          <w:tcPr>
            <w:tcW w:w="709" w:type="dxa"/>
            <w:vAlign w:val="center"/>
          </w:tcPr>
          <w:p w14:paraId="09726C9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05BCA0F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307801D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06EB745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vAlign w:val="center"/>
          </w:tcPr>
          <w:p w14:paraId="11DB024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19F31B0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7</w:t>
            </w:r>
          </w:p>
        </w:tc>
        <w:tc>
          <w:tcPr>
            <w:tcW w:w="689" w:type="dxa"/>
            <w:vAlign w:val="center"/>
          </w:tcPr>
          <w:p w14:paraId="1E6004E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728" w:type="dxa"/>
            <w:vAlign w:val="center"/>
          </w:tcPr>
          <w:p w14:paraId="64A9D2D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620A344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vAlign w:val="center"/>
          </w:tcPr>
          <w:p w14:paraId="3C858900"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a nivel Fin con un 140.00%. La entidad manifiesta hasta el momento, Quintana Roo se encuentra en la séptima posición de medallero general de los juegos nacionales del deporte 2022.</w:t>
            </w:r>
          </w:p>
        </w:tc>
      </w:tr>
      <w:tr w:rsidR="00712618" w:rsidRPr="00712618" w14:paraId="630576E5" w14:textId="77777777" w:rsidTr="009E04D5">
        <w:trPr>
          <w:gridAfter w:val="1"/>
          <w:wAfter w:w="17" w:type="dxa"/>
          <w:trHeight w:val="1032"/>
          <w:jc w:val="center"/>
        </w:trPr>
        <w:tc>
          <w:tcPr>
            <w:tcW w:w="562" w:type="dxa"/>
            <w:vAlign w:val="center"/>
          </w:tcPr>
          <w:p w14:paraId="27FA5C11"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29</w:t>
            </w:r>
          </w:p>
        </w:tc>
        <w:tc>
          <w:tcPr>
            <w:tcW w:w="1134" w:type="dxa"/>
            <w:vAlign w:val="center"/>
          </w:tcPr>
          <w:p w14:paraId="4AAAB312"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Consejo de Promoción Turística de Quintana Roo</w:t>
            </w:r>
          </w:p>
        </w:tc>
        <w:tc>
          <w:tcPr>
            <w:tcW w:w="709" w:type="dxa"/>
            <w:vAlign w:val="center"/>
          </w:tcPr>
          <w:p w14:paraId="11A48A8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7063912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36C511F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414DECA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vAlign w:val="center"/>
          </w:tcPr>
          <w:p w14:paraId="657C423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6B0534B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41C4FAB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28" w:type="dxa"/>
            <w:vAlign w:val="center"/>
          </w:tcPr>
          <w:p w14:paraId="3CD255C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6C32A33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2713" w:type="dxa"/>
            <w:vAlign w:val="center"/>
          </w:tcPr>
          <w:p w14:paraId="6DAB6318"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a nivel Propósito representa un porcentaje del 11.86%, el cambio en las cifras de la evaluación de las metas de este programa presupuestario corresponde a la SEFIPLAN. De los indicadores estratégicos establece un promedio de 129.34%, argumentando que no se alcanzó la meta en publicidad;</w:t>
            </w:r>
            <w:r w:rsidR="001376C7">
              <w:rPr>
                <w:rFonts w:ascii="Arial" w:hAnsi="Arial" w:cs="Arial"/>
                <w:sz w:val="14"/>
                <w:szCs w:val="14"/>
              </w:rPr>
              <w:t xml:space="preserve"> </w:t>
            </w:r>
            <w:r w:rsidRPr="00712618">
              <w:rPr>
                <w:rFonts w:ascii="Arial" w:hAnsi="Arial" w:cs="Arial"/>
                <w:sz w:val="14"/>
                <w:szCs w:val="14"/>
              </w:rPr>
              <w:t>se rebasa el número de eventos proyectados uno a uno en el año.</w:t>
            </w:r>
          </w:p>
        </w:tc>
      </w:tr>
      <w:tr w:rsidR="00712618" w:rsidRPr="00712618" w14:paraId="5FD1B492" w14:textId="77777777" w:rsidTr="009E04D5">
        <w:trPr>
          <w:gridAfter w:val="1"/>
          <w:wAfter w:w="17" w:type="dxa"/>
          <w:trHeight w:val="742"/>
          <w:jc w:val="center"/>
        </w:trPr>
        <w:tc>
          <w:tcPr>
            <w:tcW w:w="562" w:type="dxa"/>
            <w:vAlign w:val="center"/>
          </w:tcPr>
          <w:p w14:paraId="63AF0DAD"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30</w:t>
            </w:r>
          </w:p>
        </w:tc>
        <w:tc>
          <w:tcPr>
            <w:tcW w:w="1134" w:type="dxa"/>
            <w:vAlign w:val="center"/>
          </w:tcPr>
          <w:p w14:paraId="4DAC818F"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Consejo Quintanarroense de Ciencia y Tecnología</w:t>
            </w:r>
          </w:p>
        </w:tc>
        <w:tc>
          <w:tcPr>
            <w:tcW w:w="709" w:type="dxa"/>
            <w:vAlign w:val="center"/>
          </w:tcPr>
          <w:p w14:paraId="6DF3316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25BA155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6ED10F4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6543255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5BFCC78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0B7FA47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689" w:type="dxa"/>
            <w:vAlign w:val="center"/>
          </w:tcPr>
          <w:p w14:paraId="3AD45C7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7FEB294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7B9B548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2713" w:type="dxa"/>
            <w:vAlign w:val="center"/>
          </w:tcPr>
          <w:p w14:paraId="11074AEA"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El indicador estratégico a nivel Propósito presenta un avance del 118.88, la entidad indica que "el semáforo rojo obedece a que el presupuesto ejercido fue de 45,588,082; el cual incluye presupuesto autorizado, multas electorales y recursos obtenidos a través de convocatorias del CONACYT".</w:t>
            </w:r>
          </w:p>
        </w:tc>
      </w:tr>
      <w:tr w:rsidR="00712618" w:rsidRPr="00712618" w14:paraId="125CBC48" w14:textId="77777777" w:rsidTr="009E04D5">
        <w:trPr>
          <w:gridAfter w:val="1"/>
          <w:wAfter w:w="17" w:type="dxa"/>
          <w:trHeight w:val="668"/>
          <w:jc w:val="center"/>
        </w:trPr>
        <w:tc>
          <w:tcPr>
            <w:tcW w:w="562" w:type="dxa"/>
            <w:vAlign w:val="center"/>
          </w:tcPr>
          <w:p w14:paraId="0B091C69"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lastRenderedPageBreak/>
              <w:t>31</w:t>
            </w:r>
          </w:p>
        </w:tc>
        <w:tc>
          <w:tcPr>
            <w:tcW w:w="1134" w:type="dxa"/>
            <w:vAlign w:val="center"/>
          </w:tcPr>
          <w:p w14:paraId="779393AD"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Fundación de Parques y Museos de Cozumel</w:t>
            </w:r>
          </w:p>
        </w:tc>
        <w:tc>
          <w:tcPr>
            <w:tcW w:w="709" w:type="dxa"/>
            <w:vAlign w:val="center"/>
          </w:tcPr>
          <w:p w14:paraId="7395422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4017474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5817484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vAlign w:val="center"/>
          </w:tcPr>
          <w:p w14:paraId="103D074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vAlign w:val="center"/>
          </w:tcPr>
          <w:p w14:paraId="104C810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61FE2A9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6EB53FF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vAlign w:val="center"/>
          </w:tcPr>
          <w:p w14:paraId="3A63E7C2" w14:textId="77777777" w:rsidR="00712618" w:rsidRPr="00712618" w:rsidRDefault="00712618" w:rsidP="00712618">
            <w:pPr>
              <w:spacing w:before="120" w:after="120" w:line="240" w:lineRule="auto"/>
              <w:jc w:val="center"/>
              <w:rPr>
                <w:rFonts w:ascii="Arial" w:hAnsi="Arial" w:cs="Arial"/>
                <w:sz w:val="14"/>
                <w:szCs w:val="14"/>
              </w:rPr>
            </w:pPr>
          </w:p>
        </w:tc>
        <w:tc>
          <w:tcPr>
            <w:tcW w:w="709" w:type="dxa"/>
            <w:vAlign w:val="center"/>
          </w:tcPr>
          <w:p w14:paraId="25BECF3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2713" w:type="dxa"/>
            <w:vAlign w:val="center"/>
          </w:tcPr>
          <w:p w14:paraId="24209E11"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promedian un 102.26 de avance; del 100% de los acuerdos tomados en los Comités por el Desarrollo Turístico Sustentable de Holbox y Mahahual. se cumplió el 67%; y el33% restante se encuentran en proceso de cumplimiento, para ser desahogado por los integrantes que los tienen a cargo en las siguientes Sesiones de Comités. El indicador de gestión representa un 82.83%, la entidad no presenta justificaciones.</w:t>
            </w:r>
          </w:p>
        </w:tc>
      </w:tr>
      <w:tr w:rsidR="00712618" w:rsidRPr="00712618" w14:paraId="5B63A0EF" w14:textId="77777777" w:rsidTr="009E04D5">
        <w:trPr>
          <w:gridAfter w:val="1"/>
          <w:wAfter w:w="17" w:type="dxa"/>
          <w:trHeight w:val="415"/>
          <w:jc w:val="center"/>
        </w:trPr>
        <w:tc>
          <w:tcPr>
            <w:tcW w:w="562" w:type="dxa"/>
            <w:vAlign w:val="center"/>
          </w:tcPr>
          <w:p w14:paraId="0AAFE249"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p>
        </w:tc>
        <w:tc>
          <w:tcPr>
            <w:tcW w:w="1134" w:type="dxa"/>
            <w:vAlign w:val="center"/>
          </w:tcPr>
          <w:p w14:paraId="1888D2FA" w14:textId="77777777" w:rsidR="00712618" w:rsidRPr="00712618" w:rsidRDefault="00712618" w:rsidP="00712618">
            <w:pPr>
              <w:adjustRightInd w:val="0"/>
              <w:spacing w:before="120" w:after="120" w:line="240" w:lineRule="auto"/>
              <w:jc w:val="both"/>
              <w:rPr>
                <w:rFonts w:ascii="Arial" w:hAnsi="Arial" w:cs="Arial"/>
                <w:sz w:val="14"/>
                <w:szCs w:val="14"/>
              </w:rPr>
            </w:pPr>
          </w:p>
        </w:tc>
        <w:tc>
          <w:tcPr>
            <w:tcW w:w="709" w:type="dxa"/>
            <w:vAlign w:val="center"/>
          </w:tcPr>
          <w:p w14:paraId="54128D19" w14:textId="77777777" w:rsidR="00712618" w:rsidRPr="00712618" w:rsidRDefault="00712618" w:rsidP="00712618">
            <w:pPr>
              <w:spacing w:before="120" w:after="120" w:line="240" w:lineRule="auto"/>
              <w:jc w:val="center"/>
              <w:rPr>
                <w:rFonts w:ascii="Arial" w:hAnsi="Arial" w:cs="Arial"/>
                <w:sz w:val="14"/>
                <w:szCs w:val="14"/>
              </w:rPr>
            </w:pPr>
          </w:p>
        </w:tc>
        <w:tc>
          <w:tcPr>
            <w:tcW w:w="425" w:type="dxa"/>
            <w:shd w:val="clear" w:color="auto" w:fill="D9D9D9" w:themeFill="background1" w:themeFillShade="D9"/>
            <w:vAlign w:val="center"/>
          </w:tcPr>
          <w:p w14:paraId="66BBCE79" w14:textId="77777777" w:rsidR="00712618" w:rsidRPr="00712618" w:rsidRDefault="00712618" w:rsidP="00712618">
            <w:pPr>
              <w:spacing w:before="120" w:after="120" w:line="240" w:lineRule="auto"/>
              <w:jc w:val="center"/>
              <w:rPr>
                <w:rFonts w:ascii="Arial" w:hAnsi="Arial" w:cs="Arial"/>
                <w:sz w:val="14"/>
                <w:szCs w:val="14"/>
              </w:rPr>
            </w:pPr>
          </w:p>
        </w:tc>
        <w:tc>
          <w:tcPr>
            <w:tcW w:w="851" w:type="dxa"/>
            <w:vAlign w:val="center"/>
          </w:tcPr>
          <w:p w14:paraId="4DECE25B" w14:textId="77777777" w:rsidR="00712618" w:rsidRPr="00712618" w:rsidRDefault="00712618" w:rsidP="00712618">
            <w:pPr>
              <w:spacing w:before="120" w:after="120" w:line="240" w:lineRule="auto"/>
              <w:jc w:val="center"/>
              <w:rPr>
                <w:rFonts w:ascii="Arial" w:hAnsi="Arial" w:cs="Arial"/>
                <w:sz w:val="14"/>
                <w:szCs w:val="14"/>
              </w:rPr>
            </w:pPr>
          </w:p>
        </w:tc>
        <w:tc>
          <w:tcPr>
            <w:tcW w:w="709" w:type="dxa"/>
            <w:vAlign w:val="center"/>
          </w:tcPr>
          <w:p w14:paraId="13B49434" w14:textId="77777777" w:rsidR="00712618" w:rsidRPr="00712618" w:rsidRDefault="00712618" w:rsidP="00712618">
            <w:pPr>
              <w:spacing w:before="120" w:after="120" w:line="240" w:lineRule="auto"/>
              <w:jc w:val="center"/>
              <w:rPr>
                <w:rFonts w:ascii="Arial" w:hAnsi="Arial" w:cs="Arial"/>
                <w:sz w:val="14"/>
                <w:szCs w:val="14"/>
              </w:rPr>
            </w:pPr>
          </w:p>
        </w:tc>
        <w:tc>
          <w:tcPr>
            <w:tcW w:w="694" w:type="dxa"/>
            <w:vAlign w:val="center"/>
          </w:tcPr>
          <w:p w14:paraId="11A64BE3" w14:textId="77777777" w:rsidR="00712618" w:rsidRPr="00712618" w:rsidRDefault="00712618" w:rsidP="00712618">
            <w:pPr>
              <w:spacing w:before="120" w:after="120" w:line="240" w:lineRule="auto"/>
              <w:jc w:val="center"/>
              <w:rPr>
                <w:rFonts w:ascii="Arial" w:hAnsi="Arial" w:cs="Arial"/>
                <w:sz w:val="14"/>
                <w:szCs w:val="14"/>
              </w:rPr>
            </w:pPr>
          </w:p>
        </w:tc>
        <w:tc>
          <w:tcPr>
            <w:tcW w:w="440" w:type="dxa"/>
            <w:shd w:val="clear" w:color="auto" w:fill="D9D9D9" w:themeFill="background1" w:themeFillShade="D9"/>
            <w:vAlign w:val="center"/>
          </w:tcPr>
          <w:p w14:paraId="33B9F166" w14:textId="77777777" w:rsidR="00712618" w:rsidRPr="00712618" w:rsidRDefault="00712618" w:rsidP="00712618">
            <w:pPr>
              <w:spacing w:before="120" w:after="120" w:line="240" w:lineRule="auto"/>
              <w:jc w:val="center"/>
              <w:rPr>
                <w:rFonts w:ascii="Arial" w:hAnsi="Arial" w:cs="Arial"/>
                <w:sz w:val="14"/>
                <w:szCs w:val="14"/>
              </w:rPr>
            </w:pPr>
          </w:p>
        </w:tc>
        <w:tc>
          <w:tcPr>
            <w:tcW w:w="689" w:type="dxa"/>
            <w:vAlign w:val="center"/>
          </w:tcPr>
          <w:p w14:paraId="7F6E96CA" w14:textId="77777777" w:rsidR="00712618" w:rsidRPr="00712618" w:rsidRDefault="00712618" w:rsidP="00712618">
            <w:pPr>
              <w:spacing w:before="120" w:after="120" w:line="240" w:lineRule="auto"/>
              <w:jc w:val="center"/>
              <w:rPr>
                <w:rFonts w:ascii="Arial" w:hAnsi="Arial" w:cs="Arial"/>
                <w:sz w:val="14"/>
                <w:szCs w:val="14"/>
              </w:rPr>
            </w:pPr>
          </w:p>
        </w:tc>
        <w:tc>
          <w:tcPr>
            <w:tcW w:w="728" w:type="dxa"/>
            <w:vAlign w:val="center"/>
          </w:tcPr>
          <w:p w14:paraId="509BC130" w14:textId="77777777" w:rsidR="00712618" w:rsidRPr="00712618" w:rsidRDefault="00712618" w:rsidP="00712618">
            <w:pPr>
              <w:spacing w:before="120" w:after="120" w:line="240" w:lineRule="auto"/>
              <w:jc w:val="center"/>
              <w:rPr>
                <w:rFonts w:ascii="Arial" w:hAnsi="Arial" w:cs="Arial"/>
                <w:sz w:val="14"/>
                <w:szCs w:val="14"/>
              </w:rPr>
            </w:pPr>
          </w:p>
        </w:tc>
        <w:tc>
          <w:tcPr>
            <w:tcW w:w="709" w:type="dxa"/>
            <w:vAlign w:val="center"/>
          </w:tcPr>
          <w:p w14:paraId="024F2762" w14:textId="77777777" w:rsidR="00712618" w:rsidRPr="00712618" w:rsidRDefault="00712618" w:rsidP="00712618">
            <w:pPr>
              <w:spacing w:before="120" w:after="120" w:line="240" w:lineRule="auto"/>
              <w:jc w:val="center"/>
              <w:rPr>
                <w:rFonts w:ascii="Arial" w:hAnsi="Arial" w:cs="Arial"/>
                <w:sz w:val="14"/>
                <w:szCs w:val="14"/>
              </w:rPr>
            </w:pPr>
          </w:p>
        </w:tc>
        <w:tc>
          <w:tcPr>
            <w:tcW w:w="2713" w:type="dxa"/>
            <w:vAlign w:val="center"/>
          </w:tcPr>
          <w:p w14:paraId="31A67F05" w14:textId="77777777" w:rsidR="00712618" w:rsidRPr="00712618" w:rsidRDefault="00712618" w:rsidP="00712618">
            <w:pPr>
              <w:spacing w:before="120" w:after="120" w:line="240" w:lineRule="auto"/>
              <w:jc w:val="both"/>
              <w:rPr>
                <w:rFonts w:ascii="Arial" w:hAnsi="Arial" w:cs="Arial"/>
                <w:sz w:val="14"/>
                <w:szCs w:val="14"/>
              </w:rPr>
            </w:pPr>
          </w:p>
        </w:tc>
      </w:tr>
      <w:tr w:rsidR="00712618" w:rsidRPr="00712618" w14:paraId="1C820A49" w14:textId="77777777" w:rsidTr="009E04D5">
        <w:trPr>
          <w:gridAfter w:val="1"/>
          <w:wAfter w:w="17" w:type="dxa"/>
          <w:trHeight w:val="415"/>
          <w:jc w:val="center"/>
        </w:trPr>
        <w:tc>
          <w:tcPr>
            <w:tcW w:w="562" w:type="dxa"/>
            <w:vAlign w:val="center"/>
          </w:tcPr>
          <w:p w14:paraId="1821D18F"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32</w:t>
            </w:r>
          </w:p>
        </w:tc>
        <w:tc>
          <w:tcPr>
            <w:tcW w:w="1134" w:type="dxa"/>
            <w:vAlign w:val="center"/>
          </w:tcPr>
          <w:p w14:paraId="64712188"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Instituto de Capacitación para el Trabajo del Estado de Quintana Roo</w:t>
            </w:r>
          </w:p>
        </w:tc>
        <w:tc>
          <w:tcPr>
            <w:tcW w:w="709" w:type="dxa"/>
            <w:vAlign w:val="center"/>
          </w:tcPr>
          <w:p w14:paraId="63203C4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66B5D39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68828F6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73C577C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7991010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4AE2685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vAlign w:val="center"/>
          </w:tcPr>
          <w:p w14:paraId="6ACA1EA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vAlign w:val="center"/>
          </w:tcPr>
          <w:p w14:paraId="6707FF2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38D57F3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2713" w:type="dxa"/>
            <w:vAlign w:val="center"/>
          </w:tcPr>
          <w:p w14:paraId="717E7CAE"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Los indicadores estratégicos establecen un porcentaje de 117.15% de avance. Las estrategias implementadas durante el año, para minimizar ya sea la no acreditación o deserción de los cursos, logrando estar por encima de la media en cuanto a la meta de egresados asignadas al instituto. </w:t>
            </w:r>
          </w:p>
        </w:tc>
      </w:tr>
      <w:tr w:rsidR="00712618" w:rsidRPr="00712618" w14:paraId="668ACB25" w14:textId="77777777" w:rsidTr="009E04D5">
        <w:trPr>
          <w:gridAfter w:val="1"/>
          <w:wAfter w:w="17" w:type="dxa"/>
          <w:trHeight w:val="650"/>
          <w:jc w:val="center"/>
        </w:trPr>
        <w:tc>
          <w:tcPr>
            <w:tcW w:w="562" w:type="dxa"/>
            <w:vAlign w:val="center"/>
          </w:tcPr>
          <w:p w14:paraId="43D15BB9"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33</w:t>
            </w:r>
          </w:p>
        </w:tc>
        <w:tc>
          <w:tcPr>
            <w:tcW w:w="1134" w:type="dxa"/>
            <w:vAlign w:val="center"/>
          </w:tcPr>
          <w:p w14:paraId="51B8B3CE"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Instituto de Infraestructura Física Educativa del Estado de Quintana Roo</w:t>
            </w:r>
          </w:p>
        </w:tc>
        <w:tc>
          <w:tcPr>
            <w:tcW w:w="709" w:type="dxa"/>
            <w:vAlign w:val="center"/>
          </w:tcPr>
          <w:p w14:paraId="35D6B96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0992AC6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851" w:type="dxa"/>
            <w:vAlign w:val="center"/>
          </w:tcPr>
          <w:p w14:paraId="5AEC05E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2BAAD0F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531EBAF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40" w:type="dxa"/>
            <w:shd w:val="clear" w:color="auto" w:fill="D9D9D9" w:themeFill="background1" w:themeFillShade="D9"/>
            <w:vAlign w:val="center"/>
          </w:tcPr>
          <w:p w14:paraId="5CF6800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779A432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740F8C0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137CE13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2713" w:type="dxa"/>
            <w:vAlign w:val="center"/>
          </w:tcPr>
          <w:p w14:paraId="38D88C4A"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Cumple con las metas programadas</w:t>
            </w:r>
          </w:p>
        </w:tc>
      </w:tr>
      <w:tr w:rsidR="00712618" w:rsidRPr="00712618" w14:paraId="02C4F979" w14:textId="77777777" w:rsidTr="009E04D5">
        <w:trPr>
          <w:gridAfter w:val="1"/>
          <w:wAfter w:w="17" w:type="dxa"/>
          <w:trHeight w:val="741"/>
          <w:jc w:val="center"/>
        </w:trPr>
        <w:tc>
          <w:tcPr>
            <w:tcW w:w="562" w:type="dxa"/>
            <w:vAlign w:val="center"/>
          </w:tcPr>
          <w:p w14:paraId="75A04997"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34</w:t>
            </w:r>
          </w:p>
        </w:tc>
        <w:tc>
          <w:tcPr>
            <w:tcW w:w="1134" w:type="dxa"/>
            <w:vAlign w:val="center"/>
          </w:tcPr>
          <w:p w14:paraId="21342F6D"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Instituto de la Cultura y las Artes de Quintana Roo</w:t>
            </w:r>
          </w:p>
        </w:tc>
        <w:tc>
          <w:tcPr>
            <w:tcW w:w="709" w:type="dxa"/>
            <w:vAlign w:val="center"/>
          </w:tcPr>
          <w:p w14:paraId="6A0C2EF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707235F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688DDB3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2520932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6DB9C01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0A0A2CE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4369AD4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482A47D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1912563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2713" w:type="dxa"/>
            <w:vAlign w:val="center"/>
          </w:tcPr>
          <w:p w14:paraId="6F82AA1C"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La entidad no presenta justificaciones que justifiquen el incumplimiento.</w:t>
            </w:r>
          </w:p>
        </w:tc>
      </w:tr>
      <w:tr w:rsidR="00712618" w:rsidRPr="00712618" w14:paraId="235CB0CC" w14:textId="77777777" w:rsidTr="009E04D5">
        <w:trPr>
          <w:gridAfter w:val="1"/>
          <w:wAfter w:w="17" w:type="dxa"/>
          <w:trHeight w:val="273"/>
          <w:jc w:val="center"/>
        </w:trPr>
        <w:tc>
          <w:tcPr>
            <w:tcW w:w="562" w:type="dxa"/>
            <w:vAlign w:val="center"/>
          </w:tcPr>
          <w:p w14:paraId="59A34FD4"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35</w:t>
            </w:r>
          </w:p>
        </w:tc>
        <w:tc>
          <w:tcPr>
            <w:tcW w:w="1134" w:type="dxa"/>
            <w:vAlign w:val="center"/>
          </w:tcPr>
          <w:p w14:paraId="693A4CAF"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Instituto de Movilidad del Estado de Quintana Roo</w:t>
            </w:r>
          </w:p>
        </w:tc>
        <w:tc>
          <w:tcPr>
            <w:tcW w:w="709" w:type="dxa"/>
            <w:vAlign w:val="center"/>
          </w:tcPr>
          <w:p w14:paraId="7C9CD02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26EA6EA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0AA44B6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09" w:type="dxa"/>
            <w:vAlign w:val="center"/>
          </w:tcPr>
          <w:p w14:paraId="5BED412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37E9386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0924B87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689" w:type="dxa"/>
            <w:vAlign w:val="center"/>
          </w:tcPr>
          <w:p w14:paraId="60C5247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vAlign w:val="center"/>
          </w:tcPr>
          <w:p w14:paraId="0614B96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64198BE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2713" w:type="dxa"/>
            <w:vAlign w:val="center"/>
          </w:tcPr>
          <w:p w14:paraId="4318A41C"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Fin reflejan un 0.09% y a nivel Propósito un 24.50%, el indicador hace referencia a todos los vehículos y la cantidad señalada es con relación a la que son de Transporte Público que son de competencia del IMOVEQROO".</w:t>
            </w:r>
            <w:r w:rsidR="001376C7">
              <w:rPr>
                <w:rFonts w:ascii="Arial" w:hAnsi="Arial" w:cs="Arial"/>
                <w:sz w:val="14"/>
                <w:szCs w:val="14"/>
              </w:rPr>
              <w:t xml:space="preserve">                      </w:t>
            </w:r>
            <w:r w:rsidRPr="00712618">
              <w:rPr>
                <w:rFonts w:ascii="Arial" w:hAnsi="Arial" w:cs="Arial"/>
                <w:sz w:val="14"/>
                <w:szCs w:val="14"/>
              </w:rPr>
              <w:t>El indicador de gestión con un avance del 72.00%. mala planeación en las metas de cierre, toda vez que hubo falta de recurso, tramitología o en su caso recurso humano para alcanzarlo.</w:t>
            </w:r>
          </w:p>
        </w:tc>
      </w:tr>
      <w:tr w:rsidR="00712618" w:rsidRPr="00712618" w14:paraId="7B5A500E" w14:textId="77777777" w:rsidTr="009E04D5">
        <w:trPr>
          <w:gridAfter w:val="1"/>
          <w:wAfter w:w="17" w:type="dxa"/>
          <w:trHeight w:val="456"/>
          <w:jc w:val="center"/>
        </w:trPr>
        <w:tc>
          <w:tcPr>
            <w:tcW w:w="562" w:type="dxa"/>
            <w:vAlign w:val="center"/>
          </w:tcPr>
          <w:p w14:paraId="35F747CB"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36</w:t>
            </w:r>
          </w:p>
        </w:tc>
        <w:tc>
          <w:tcPr>
            <w:tcW w:w="1134" w:type="dxa"/>
            <w:vAlign w:val="center"/>
          </w:tcPr>
          <w:p w14:paraId="6A8A0DBC"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Instituto Estatal para la Educación de Jóvenes y Adultos</w:t>
            </w:r>
          </w:p>
        </w:tc>
        <w:tc>
          <w:tcPr>
            <w:tcW w:w="709" w:type="dxa"/>
            <w:vAlign w:val="center"/>
          </w:tcPr>
          <w:p w14:paraId="4D3DE11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9F098C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7E22D6D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19983B2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0021898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21A4E0E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4D54928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728" w:type="dxa"/>
            <w:vAlign w:val="center"/>
          </w:tcPr>
          <w:p w14:paraId="4086050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707BE26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2713" w:type="dxa"/>
            <w:vAlign w:val="center"/>
          </w:tcPr>
          <w:p w14:paraId="5BA8F20A"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de gestión refleja un avance promedio de 42.35%. El sistema de atención abierta tiene educandos que provienen de otros estados, por movilidad dejan de asistir a sus asesorías de igual forma no asisten a círculos de estudio y sedes de presentación de exámenes.</w:t>
            </w:r>
          </w:p>
        </w:tc>
      </w:tr>
      <w:tr w:rsidR="00712618" w:rsidRPr="00712618" w14:paraId="2A5837AA" w14:textId="77777777" w:rsidTr="009E04D5">
        <w:trPr>
          <w:gridAfter w:val="1"/>
          <w:wAfter w:w="17" w:type="dxa"/>
          <w:trHeight w:val="381"/>
          <w:jc w:val="center"/>
        </w:trPr>
        <w:tc>
          <w:tcPr>
            <w:tcW w:w="562" w:type="dxa"/>
            <w:vAlign w:val="center"/>
          </w:tcPr>
          <w:p w14:paraId="52BE34E7"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37</w:t>
            </w:r>
          </w:p>
        </w:tc>
        <w:tc>
          <w:tcPr>
            <w:tcW w:w="1134" w:type="dxa"/>
            <w:vAlign w:val="center"/>
          </w:tcPr>
          <w:p w14:paraId="660059A8"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Instituto para el Desarrollo del Pueblo Maya y las Comunidades Indígenas del Estado de Quintana Roo</w:t>
            </w:r>
          </w:p>
        </w:tc>
        <w:tc>
          <w:tcPr>
            <w:tcW w:w="709" w:type="dxa"/>
            <w:vAlign w:val="center"/>
          </w:tcPr>
          <w:p w14:paraId="367C76C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25" w:type="dxa"/>
            <w:shd w:val="clear" w:color="auto" w:fill="D9D9D9" w:themeFill="background1" w:themeFillShade="D9"/>
            <w:vAlign w:val="center"/>
          </w:tcPr>
          <w:p w14:paraId="5FE53D4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851" w:type="dxa"/>
            <w:vAlign w:val="center"/>
          </w:tcPr>
          <w:p w14:paraId="786BD0B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09" w:type="dxa"/>
            <w:vAlign w:val="center"/>
          </w:tcPr>
          <w:p w14:paraId="5B32B7B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43C00E4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39F179B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11</w:t>
            </w:r>
          </w:p>
        </w:tc>
        <w:tc>
          <w:tcPr>
            <w:tcW w:w="689" w:type="dxa"/>
            <w:vAlign w:val="center"/>
          </w:tcPr>
          <w:p w14:paraId="7FD8125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7</w:t>
            </w:r>
          </w:p>
        </w:tc>
        <w:tc>
          <w:tcPr>
            <w:tcW w:w="728" w:type="dxa"/>
            <w:vAlign w:val="center"/>
          </w:tcPr>
          <w:p w14:paraId="1F45574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4232CC7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2713" w:type="dxa"/>
            <w:vAlign w:val="center"/>
          </w:tcPr>
          <w:p w14:paraId="31DA9A24"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Los indicadores estratégicos promedian un 33.33% de avance; no se recibió queja o denuncia en ninguna de las modalidades (electrónica, escrita o verbal), por parte de la población Indígena. Los indicadores de gestión promedia un 67.07%; se realizaron 8 traducciones de las dependencias de SEFIPLAN; no se realizaron actividades </w:t>
            </w:r>
            <w:r w:rsidRPr="00712618">
              <w:rPr>
                <w:rFonts w:ascii="Arial" w:hAnsi="Arial" w:cs="Arial"/>
                <w:sz w:val="14"/>
                <w:szCs w:val="14"/>
              </w:rPr>
              <w:lastRenderedPageBreak/>
              <w:t>toda vez que no se recibió la solicitud por parte del INPI para actualizar el convenio de colaboración para el pago de la electricidad; no presentan justificación alguna en algunos de los indicadores.</w:t>
            </w:r>
          </w:p>
        </w:tc>
      </w:tr>
      <w:tr w:rsidR="00712618" w:rsidRPr="00712618" w14:paraId="5881F9F8" w14:textId="77777777" w:rsidTr="009E04D5">
        <w:trPr>
          <w:gridAfter w:val="1"/>
          <w:wAfter w:w="17" w:type="dxa"/>
          <w:trHeight w:val="556"/>
          <w:jc w:val="center"/>
        </w:trPr>
        <w:tc>
          <w:tcPr>
            <w:tcW w:w="562" w:type="dxa"/>
            <w:vAlign w:val="center"/>
          </w:tcPr>
          <w:p w14:paraId="155C2D68"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38</w:t>
            </w:r>
          </w:p>
        </w:tc>
        <w:tc>
          <w:tcPr>
            <w:tcW w:w="1134" w:type="dxa"/>
            <w:vAlign w:val="center"/>
          </w:tcPr>
          <w:p w14:paraId="0C46AE8C"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Instituto para el Desarrollo y Financiamiento del Estado de Quintana Roo</w:t>
            </w:r>
          </w:p>
        </w:tc>
        <w:tc>
          <w:tcPr>
            <w:tcW w:w="709" w:type="dxa"/>
            <w:vAlign w:val="center"/>
          </w:tcPr>
          <w:p w14:paraId="0EA2FA7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1D6E82C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339B582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69914D1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vAlign w:val="center"/>
          </w:tcPr>
          <w:p w14:paraId="064780C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40" w:type="dxa"/>
            <w:shd w:val="clear" w:color="auto" w:fill="D9D9D9" w:themeFill="background1" w:themeFillShade="D9"/>
            <w:vAlign w:val="center"/>
          </w:tcPr>
          <w:p w14:paraId="00239A0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89" w:type="dxa"/>
            <w:vAlign w:val="center"/>
          </w:tcPr>
          <w:p w14:paraId="70D8A23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41D3B6C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7217CB5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2713" w:type="dxa"/>
            <w:vAlign w:val="center"/>
          </w:tcPr>
          <w:p w14:paraId="15E049F5"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a nivel Fin reflejan un promedio de 114.29%. Para el ejercicio fiscal 2022 el Estado de Quintana Roo alcanzó la posición #16 de 32 Estados. De igual manera, representa un incremento de dos puntos porcentuales con relación al ejercicio fiscal anterior.</w:t>
            </w:r>
          </w:p>
        </w:tc>
      </w:tr>
      <w:tr w:rsidR="00712618" w:rsidRPr="00712618" w14:paraId="07B9632B" w14:textId="77777777" w:rsidTr="009E04D5">
        <w:trPr>
          <w:gridAfter w:val="1"/>
          <w:wAfter w:w="17" w:type="dxa"/>
          <w:trHeight w:val="692"/>
          <w:jc w:val="center"/>
        </w:trPr>
        <w:tc>
          <w:tcPr>
            <w:tcW w:w="562" w:type="dxa"/>
            <w:vAlign w:val="center"/>
          </w:tcPr>
          <w:p w14:paraId="0D5F8141"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39</w:t>
            </w:r>
          </w:p>
        </w:tc>
        <w:tc>
          <w:tcPr>
            <w:tcW w:w="1134" w:type="dxa"/>
            <w:vAlign w:val="center"/>
          </w:tcPr>
          <w:p w14:paraId="23EE4C25" w14:textId="77777777" w:rsidR="00712618" w:rsidRPr="00712618" w:rsidRDefault="00712618" w:rsidP="00712618">
            <w:pPr>
              <w:adjustRightInd w:val="0"/>
              <w:spacing w:before="120" w:after="120" w:line="240" w:lineRule="auto"/>
              <w:ind w:left="-71" w:right="-74"/>
              <w:jc w:val="both"/>
              <w:rPr>
                <w:rFonts w:ascii="Arial" w:hAnsi="Arial" w:cs="Arial"/>
                <w:sz w:val="14"/>
                <w:szCs w:val="14"/>
              </w:rPr>
            </w:pPr>
            <w:r w:rsidRPr="00712618">
              <w:rPr>
                <w:rFonts w:ascii="Arial" w:hAnsi="Arial" w:cs="Arial"/>
                <w:sz w:val="14"/>
                <w:szCs w:val="14"/>
              </w:rPr>
              <w:t>Instituto Quintanarroense de la Juventud</w:t>
            </w:r>
          </w:p>
        </w:tc>
        <w:tc>
          <w:tcPr>
            <w:tcW w:w="709" w:type="dxa"/>
            <w:vAlign w:val="center"/>
          </w:tcPr>
          <w:p w14:paraId="07EBDD65" w14:textId="77777777" w:rsidR="00712618" w:rsidRPr="00712618" w:rsidRDefault="00712618" w:rsidP="00712618">
            <w:pPr>
              <w:spacing w:before="120" w:after="120" w:line="240" w:lineRule="auto"/>
              <w:ind w:left="-71" w:right="-74"/>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7E9916C6" w14:textId="77777777" w:rsidR="00712618" w:rsidRPr="00712618" w:rsidRDefault="00712618" w:rsidP="00712618">
            <w:pPr>
              <w:spacing w:before="120" w:after="120" w:line="240" w:lineRule="auto"/>
              <w:ind w:left="-71" w:right="-74"/>
              <w:jc w:val="center"/>
              <w:rPr>
                <w:rFonts w:ascii="Arial" w:hAnsi="Arial" w:cs="Arial"/>
                <w:sz w:val="14"/>
                <w:szCs w:val="14"/>
              </w:rPr>
            </w:pPr>
            <w:r w:rsidRPr="00712618">
              <w:rPr>
                <w:rFonts w:ascii="Arial" w:hAnsi="Arial" w:cs="Arial"/>
                <w:sz w:val="14"/>
                <w:szCs w:val="14"/>
              </w:rPr>
              <w:t>4</w:t>
            </w:r>
          </w:p>
        </w:tc>
        <w:tc>
          <w:tcPr>
            <w:tcW w:w="851" w:type="dxa"/>
            <w:vAlign w:val="center"/>
          </w:tcPr>
          <w:p w14:paraId="520B94C7" w14:textId="77777777" w:rsidR="00712618" w:rsidRPr="00712618" w:rsidRDefault="00712618" w:rsidP="00712618">
            <w:pPr>
              <w:spacing w:before="120" w:after="120" w:line="240" w:lineRule="auto"/>
              <w:ind w:left="-71" w:right="-74"/>
              <w:jc w:val="center"/>
              <w:rPr>
                <w:rFonts w:ascii="Arial" w:hAnsi="Arial" w:cs="Arial"/>
                <w:sz w:val="14"/>
                <w:szCs w:val="14"/>
              </w:rPr>
            </w:pPr>
            <w:r w:rsidRPr="00712618">
              <w:rPr>
                <w:rFonts w:ascii="Arial" w:hAnsi="Arial" w:cs="Arial"/>
                <w:sz w:val="14"/>
                <w:szCs w:val="14"/>
              </w:rPr>
              <w:t>2</w:t>
            </w:r>
          </w:p>
        </w:tc>
        <w:tc>
          <w:tcPr>
            <w:tcW w:w="709" w:type="dxa"/>
            <w:vAlign w:val="center"/>
          </w:tcPr>
          <w:p w14:paraId="21577109" w14:textId="77777777" w:rsidR="00712618" w:rsidRPr="00712618" w:rsidRDefault="00712618" w:rsidP="00712618">
            <w:pPr>
              <w:spacing w:before="120" w:after="120" w:line="240" w:lineRule="auto"/>
              <w:ind w:left="-71" w:right="-74"/>
              <w:jc w:val="center"/>
              <w:rPr>
                <w:rFonts w:ascii="Arial" w:hAnsi="Arial" w:cs="Arial"/>
                <w:sz w:val="14"/>
                <w:szCs w:val="14"/>
              </w:rPr>
            </w:pPr>
            <w:r w:rsidRPr="00712618">
              <w:rPr>
                <w:rFonts w:ascii="Arial" w:hAnsi="Arial" w:cs="Arial"/>
                <w:sz w:val="14"/>
                <w:szCs w:val="14"/>
              </w:rPr>
              <w:t>2</w:t>
            </w:r>
          </w:p>
        </w:tc>
        <w:tc>
          <w:tcPr>
            <w:tcW w:w="694" w:type="dxa"/>
            <w:vAlign w:val="center"/>
          </w:tcPr>
          <w:p w14:paraId="32981879" w14:textId="77777777" w:rsidR="00712618" w:rsidRPr="00712618" w:rsidRDefault="00712618" w:rsidP="00712618">
            <w:pPr>
              <w:spacing w:before="120" w:after="120" w:line="240" w:lineRule="auto"/>
              <w:ind w:left="-71" w:right="-74"/>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0FEFA843" w14:textId="77777777" w:rsidR="00712618" w:rsidRPr="00712618" w:rsidRDefault="00712618" w:rsidP="00712618">
            <w:pPr>
              <w:spacing w:before="120" w:after="120" w:line="240" w:lineRule="auto"/>
              <w:ind w:left="-71" w:right="-74"/>
              <w:jc w:val="center"/>
              <w:rPr>
                <w:rFonts w:ascii="Arial" w:hAnsi="Arial" w:cs="Arial"/>
                <w:sz w:val="14"/>
                <w:szCs w:val="14"/>
              </w:rPr>
            </w:pPr>
            <w:r w:rsidRPr="00712618">
              <w:rPr>
                <w:rFonts w:ascii="Arial" w:hAnsi="Arial" w:cs="Arial"/>
                <w:sz w:val="14"/>
                <w:szCs w:val="14"/>
              </w:rPr>
              <w:t>5</w:t>
            </w:r>
          </w:p>
        </w:tc>
        <w:tc>
          <w:tcPr>
            <w:tcW w:w="689" w:type="dxa"/>
            <w:vAlign w:val="center"/>
          </w:tcPr>
          <w:p w14:paraId="7816BEB2" w14:textId="77777777" w:rsidR="00712618" w:rsidRPr="00712618" w:rsidRDefault="00712618" w:rsidP="00712618">
            <w:pPr>
              <w:spacing w:before="120" w:after="120" w:line="240" w:lineRule="auto"/>
              <w:ind w:left="-71" w:right="-74"/>
              <w:jc w:val="center"/>
              <w:rPr>
                <w:rFonts w:ascii="Arial" w:hAnsi="Arial" w:cs="Arial"/>
                <w:sz w:val="14"/>
                <w:szCs w:val="14"/>
              </w:rPr>
            </w:pPr>
            <w:r w:rsidRPr="00712618">
              <w:rPr>
                <w:rFonts w:ascii="Arial" w:hAnsi="Arial" w:cs="Arial"/>
                <w:sz w:val="14"/>
                <w:szCs w:val="14"/>
              </w:rPr>
              <w:t>3</w:t>
            </w:r>
          </w:p>
        </w:tc>
        <w:tc>
          <w:tcPr>
            <w:tcW w:w="728" w:type="dxa"/>
            <w:vAlign w:val="center"/>
          </w:tcPr>
          <w:p w14:paraId="1B9EA0E3" w14:textId="77777777" w:rsidR="00712618" w:rsidRPr="00712618" w:rsidRDefault="00712618" w:rsidP="00712618">
            <w:pPr>
              <w:spacing w:before="120" w:after="120" w:line="240" w:lineRule="auto"/>
              <w:ind w:left="-71" w:right="-74"/>
              <w:jc w:val="center"/>
              <w:rPr>
                <w:rFonts w:ascii="Arial" w:hAnsi="Arial" w:cs="Arial"/>
                <w:sz w:val="14"/>
                <w:szCs w:val="14"/>
              </w:rPr>
            </w:pPr>
            <w:r w:rsidRPr="00712618">
              <w:rPr>
                <w:rFonts w:ascii="Arial" w:hAnsi="Arial" w:cs="Arial"/>
                <w:sz w:val="14"/>
                <w:szCs w:val="14"/>
              </w:rPr>
              <w:t>0</w:t>
            </w:r>
          </w:p>
        </w:tc>
        <w:tc>
          <w:tcPr>
            <w:tcW w:w="709" w:type="dxa"/>
            <w:vAlign w:val="center"/>
          </w:tcPr>
          <w:p w14:paraId="2F8EDF6F" w14:textId="77777777" w:rsidR="00712618" w:rsidRPr="00712618" w:rsidRDefault="00712618" w:rsidP="00712618">
            <w:pPr>
              <w:spacing w:before="120" w:after="120" w:line="240" w:lineRule="auto"/>
              <w:ind w:left="-71" w:right="-74"/>
              <w:jc w:val="center"/>
              <w:rPr>
                <w:rFonts w:ascii="Arial" w:hAnsi="Arial" w:cs="Arial"/>
                <w:sz w:val="14"/>
                <w:szCs w:val="14"/>
              </w:rPr>
            </w:pPr>
            <w:r w:rsidRPr="00712618">
              <w:rPr>
                <w:rFonts w:ascii="Arial" w:hAnsi="Arial" w:cs="Arial"/>
                <w:sz w:val="14"/>
                <w:szCs w:val="14"/>
              </w:rPr>
              <w:t>2</w:t>
            </w:r>
          </w:p>
        </w:tc>
        <w:tc>
          <w:tcPr>
            <w:tcW w:w="2713" w:type="dxa"/>
            <w:vAlign w:val="center"/>
          </w:tcPr>
          <w:p w14:paraId="171E7D4B" w14:textId="77777777" w:rsidR="00712618" w:rsidRPr="00712618" w:rsidRDefault="00712618" w:rsidP="00712618">
            <w:pPr>
              <w:spacing w:before="120" w:after="120" w:line="240" w:lineRule="auto"/>
              <w:ind w:left="-71" w:right="-74"/>
              <w:jc w:val="both"/>
              <w:rPr>
                <w:rFonts w:ascii="Arial" w:hAnsi="Arial" w:cs="Arial"/>
                <w:sz w:val="14"/>
                <w:szCs w:val="14"/>
              </w:rPr>
            </w:pPr>
            <w:r w:rsidRPr="00712618">
              <w:rPr>
                <w:rFonts w:ascii="Arial" w:hAnsi="Arial" w:cs="Arial"/>
                <w:sz w:val="14"/>
                <w:szCs w:val="14"/>
              </w:rPr>
              <w:t>Los indicadores estratégicos establecen un promedio de 49.46% de avance. Se tenía programado beneficiar a jóvenes de los cuales fue un número menor a consecuencia del confinamiento por la pandemia del COVID-19. La falta de información de las demás instituciones del gobierno del estado y municipios, únicamente fue posible realizar el registro de los jóvenes que se beneficiaron a través de las actividades que llevó a cabo el Instituto Quintanarroense de la Juventud.</w:t>
            </w:r>
          </w:p>
        </w:tc>
      </w:tr>
      <w:tr w:rsidR="00712618" w:rsidRPr="00712618" w14:paraId="0A4C09CF" w14:textId="77777777" w:rsidTr="009E04D5">
        <w:trPr>
          <w:gridAfter w:val="1"/>
          <w:wAfter w:w="17" w:type="dxa"/>
          <w:trHeight w:val="448"/>
          <w:jc w:val="center"/>
        </w:trPr>
        <w:tc>
          <w:tcPr>
            <w:tcW w:w="562" w:type="dxa"/>
            <w:vAlign w:val="center"/>
          </w:tcPr>
          <w:p w14:paraId="6E1E0F95"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40</w:t>
            </w:r>
          </w:p>
        </w:tc>
        <w:tc>
          <w:tcPr>
            <w:tcW w:w="1134" w:type="dxa"/>
            <w:vAlign w:val="center"/>
          </w:tcPr>
          <w:p w14:paraId="1248B25B" w14:textId="77777777" w:rsidR="00712618" w:rsidRPr="00712618" w:rsidRDefault="00712618" w:rsidP="00712618">
            <w:pPr>
              <w:adjustRightInd w:val="0"/>
              <w:spacing w:before="120" w:after="120" w:line="240" w:lineRule="auto"/>
              <w:ind w:left="-71" w:right="-74"/>
              <w:rPr>
                <w:rFonts w:ascii="Arial" w:hAnsi="Arial" w:cs="Arial"/>
                <w:sz w:val="14"/>
                <w:szCs w:val="14"/>
              </w:rPr>
            </w:pPr>
            <w:r w:rsidRPr="00712618">
              <w:rPr>
                <w:rFonts w:ascii="Arial" w:hAnsi="Arial" w:cs="Arial"/>
                <w:sz w:val="14"/>
                <w:szCs w:val="14"/>
              </w:rPr>
              <w:t>Instituto Quintanarroense de la Mujer</w:t>
            </w:r>
          </w:p>
        </w:tc>
        <w:tc>
          <w:tcPr>
            <w:tcW w:w="709" w:type="dxa"/>
            <w:vAlign w:val="center"/>
          </w:tcPr>
          <w:p w14:paraId="09EEFDD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25" w:type="dxa"/>
            <w:shd w:val="clear" w:color="auto" w:fill="D9D9D9" w:themeFill="background1" w:themeFillShade="D9"/>
            <w:vAlign w:val="center"/>
          </w:tcPr>
          <w:p w14:paraId="308CDE1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9</w:t>
            </w:r>
          </w:p>
        </w:tc>
        <w:tc>
          <w:tcPr>
            <w:tcW w:w="851" w:type="dxa"/>
            <w:vAlign w:val="center"/>
          </w:tcPr>
          <w:p w14:paraId="2731396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2672FEF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694" w:type="dxa"/>
            <w:vAlign w:val="center"/>
          </w:tcPr>
          <w:p w14:paraId="24AC944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440" w:type="dxa"/>
            <w:shd w:val="clear" w:color="auto" w:fill="D9D9D9" w:themeFill="background1" w:themeFillShade="D9"/>
            <w:vAlign w:val="center"/>
          </w:tcPr>
          <w:p w14:paraId="0BC0A73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12</w:t>
            </w:r>
          </w:p>
        </w:tc>
        <w:tc>
          <w:tcPr>
            <w:tcW w:w="689" w:type="dxa"/>
            <w:vAlign w:val="center"/>
          </w:tcPr>
          <w:p w14:paraId="78DB601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13012E6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2F5E61D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12</w:t>
            </w:r>
          </w:p>
        </w:tc>
        <w:tc>
          <w:tcPr>
            <w:tcW w:w="2713" w:type="dxa"/>
            <w:vAlign w:val="center"/>
          </w:tcPr>
          <w:p w14:paraId="52DD2E74"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Cumple con las metas programadas</w:t>
            </w:r>
          </w:p>
        </w:tc>
      </w:tr>
      <w:tr w:rsidR="00712618" w:rsidRPr="00712618" w14:paraId="104F55F6" w14:textId="77777777" w:rsidTr="009E04D5">
        <w:trPr>
          <w:gridAfter w:val="1"/>
          <w:wAfter w:w="17" w:type="dxa"/>
          <w:trHeight w:val="1032"/>
          <w:jc w:val="center"/>
        </w:trPr>
        <w:tc>
          <w:tcPr>
            <w:tcW w:w="562" w:type="dxa"/>
            <w:vAlign w:val="center"/>
          </w:tcPr>
          <w:p w14:paraId="222112BB"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41</w:t>
            </w:r>
          </w:p>
        </w:tc>
        <w:tc>
          <w:tcPr>
            <w:tcW w:w="1134" w:type="dxa"/>
            <w:vAlign w:val="center"/>
          </w:tcPr>
          <w:p w14:paraId="69D8632D"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Instituto Tecnológico Superior de Felipe Carrillo Puerto</w:t>
            </w:r>
          </w:p>
        </w:tc>
        <w:tc>
          <w:tcPr>
            <w:tcW w:w="709" w:type="dxa"/>
            <w:vAlign w:val="center"/>
          </w:tcPr>
          <w:p w14:paraId="2D61ADF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175C60F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4E006AA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01074AE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vAlign w:val="center"/>
          </w:tcPr>
          <w:p w14:paraId="0FD0498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440" w:type="dxa"/>
            <w:shd w:val="clear" w:color="auto" w:fill="D9D9D9" w:themeFill="background1" w:themeFillShade="D9"/>
            <w:vAlign w:val="center"/>
          </w:tcPr>
          <w:p w14:paraId="44A22EF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1CF18EE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28" w:type="dxa"/>
            <w:vAlign w:val="center"/>
          </w:tcPr>
          <w:p w14:paraId="7A0497D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1D424EC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2713" w:type="dxa"/>
            <w:vAlign w:val="center"/>
          </w:tcPr>
          <w:p w14:paraId="13D5E8C4"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 xml:space="preserve">El indicador de gestión con un refleja un --111.90%, la entidad no emite la justificación respectiva. </w:t>
            </w:r>
          </w:p>
        </w:tc>
      </w:tr>
      <w:tr w:rsidR="00712618" w:rsidRPr="00712618" w14:paraId="76F0E22A" w14:textId="77777777" w:rsidTr="009E04D5">
        <w:trPr>
          <w:gridAfter w:val="1"/>
          <w:wAfter w:w="17" w:type="dxa"/>
          <w:trHeight w:val="1032"/>
          <w:jc w:val="center"/>
        </w:trPr>
        <w:tc>
          <w:tcPr>
            <w:tcW w:w="562" w:type="dxa"/>
            <w:vAlign w:val="center"/>
          </w:tcPr>
          <w:p w14:paraId="4EA17F08"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42</w:t>
            </w:r>
          </w:p>
        </w:tc>
        <w:tc>
          <w:tcPr>
            <w:tcW w:w="1134" w:type="dxa"/>
            <w:vAlign w:val="center"/>
          </w:tcPr>
          <w:p w14:paraId="24932662"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Secretaría Ejecutiva del Sistema Anticorrupción del Estado de Quintana Roo</w:t>
            </w:r>
          </w:p>
        </w:tc>
        <w:tc>
          <w:tcPr>
            <w:tcW w:w="709" w:type="dxa"/>
            <w:vAlign w:val="center"/>
          </w:tcPr>
          <w:p w14:paraId="3C34343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25" w:type="dxa"/>
            <w:shd w:val="clear" w:color="auto" w:fill="D9D9D9" w:themeFill="background1" w:themeFillShade="D9"/>
            <w:vAlign w:val="center"/>
          </w:tcPr>
          <w:p w14:paraId="39C4588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8</w:t>
            </w:r>
          </w:p>
        </w:tc>
        <w:tc>
          <w:tcPr>
            <w:tcW w:w="851" w:type="dxa"/>
            <w:vAlign w:val="center"/>
          </w:tcPr>
          <w:p w14:paraId="3C8438F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378AF98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vAlign w:val="center"/>
          </w:tcPr>
          <w:p w14:paraId="6992C18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8</w:t>
            </w:r>
          </w:p>
        </w:tc>
        <w:tc>
          <w:tcPr>
            <w:tcW w:w="440" w:type="dxa"/>
            <w:shd w:val="clear" w:color="auto" w:fill="D9D9D9" w:themeFill="background1" w:themeFillShade="D9"/>
            <w:vAlign w:val="center"/>
          </w:tcPr>
          <w:p w14:paraId="3E170E9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7</w:t>
            </w:r>
          </w:p>
        </w:tc>
        <w:tc>
          <w:tcPr>
            <w:tcW w:w="689" w:type="dxa"/>
            <w:vAlign w:val="center"/>
          </w:tcPr>
          <w:p w14:paraId="159799B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73EFBED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4F78358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7</w:t>
            </w:r>
          </w:p>
        </w:tc>
        <w:tc>
          <w:tcPr>
            <w:tcW w:w="2713" w:type="dxa"/>
            <w:vAlign w:val="center"/>
          </w:tcPr>
          <w:p w14:paraId="51A9B77C"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Cumple con las metas programadas</w:t>
            </w:r>
          </w:p>
        </w:tc>
      </w:tr>
      <w:tr w:rsidR="00712618" w:rsidRPr="00712618" w14:paraId="3B5CB387" w14:textId="77777777" w:rsidTr="009E04D5">
        <w:trPr>
          <w:gridAfter w:val="1"/>
          <w:wAfter w:w="17" w:type="dxa"/>
          <w:trHeight w:val="741"/>
          <w:jc w:val="center"/>
        </w:trPr>
        <w:tc>
          <w:tcPr>
            <w:tcW w:w="562" w:type="dxa"/>
            <w:vAlign w:val="center"/>
          </w:tcPr>
          <w:p w14:paraId="12216876"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43</w:t>
            </w:r>
          </w:p>
        </w:tc>
        <w:tc>
          <w:tcPr>
            <w:tcW w:w="1134" w:type="dxa"/>
            <w:vAlign w:val="center"/>
          </w:tcPr>
          <w:p w14:paraId="26B12C71"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 xml:space="preserve">Secretariado Ejecutivo del Sistema Estatal de Seguridad Pública </w:t>
            </w:r>
          </w:p>
        </w:tc>
        <w:tc>
          <w:tcPr>
            <w:tcW w:w="709" w:type="dxa"/>
            <w:vAlign w:val="center"/>
          </w:tcPr>
          <w:p w14:paraId="7602C00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25" w:type="dxa"/>
            <w:shd w:val="clear" w:color="auto" w:fill="D9D9D9" w:themeFill="background1" w:themeFillShade="D9"/>
            <w:vAlign w:val="center"/>
          </w:tcPr>
          <w:p w14:paraId="628D58E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8</w:t>
            </w:r>
          </w:p>
        </w:tc>
        <w:tc>
          <w:tcPr>
            <w:tcW w:w="851" w:type="dxa"/>
            <w:vAlign w:val="center"/>
          </w:tcPr>
          <w:p w14:paraId="6398951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709" w:type="dxa"/>
            <w:vAlign w:val="center"/>
          </w:tcPr>
          <w:p w14:paraId="6F9BB6B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43BE83B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7ED0FF70"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689" w:type="dxa"/>
            <w:vAlign w:val="center"/>
          </w:tcPr>
          <w:p w14:paraId="32E46FB6"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009E750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59FD6F0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5</w:t>
            </w:r>
          </w:p>
        </w:tc>
        <w:tc>
          <w:tcPr>
            <w:tcW w:w="2713" w:type="dxa"/>
            <w:vAlign w:val="center"/>
          </w:tcPr>
          <w:p w14:paraId="6A9A452D"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reflejan un promedio de avance del 121.52%. La percepción de la seguridad no logró reducirse; se recibieron reportes de 52 programas que realizan las instituciones para atender los factores de riesgo social, económico y situacional, lo que no es suficiente para alcanzar el semáforo verde; no se logró obtener la reducción de la delincuencia programada al haber más delitos de los esperados.</w:t>
            </w:r>
          </w:p>
        </w:tc>
      </w:tr>
      <w:tr w:rsidR="00712618" w:rsidRPr="00712618" w14:paraId="332D1E69" w14:textId="77777777" w:rsidTr="009E04D5">
        <w:trPr>
          <w:gridAfter w:val="1"/>
          <w:wAfter w:w="17" w:type="dxa"/>
          <w:trHeight w:val="896"/>
          <w:jc w:val="center"/>
        </w:trPr>
        <w:tc>
          <w:tcPr>
            <w:tcW w:w="562" w:type="dxa"/>
            <w:vAlign w:val="center"/>
          </w:tcPr>
          <w:p w14:paraId="6E601643"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44</w:t>
            </w:r>
          </w:p>
        </w:tc>
        <w:tc>
          <w:tcPr>
            <w:tcW w:w="1134" w:type="dxa"/>
            <w:vAlign w:val="center"/>
          </w:tcPr>
          <w:p w14:paraId="7742E878"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Servicios Educativos de Quintana Roo</w:t>
            </w:r>
          </w:p>
        </w:tc>
        <w:tc>
          <w:tcPr>
            <w:tcW w:w="709" w:type="dxa"/>
            <w:vAlign w:val="center"/>
          </w:tcPr>
          <w:p w14:paraId="5CDD459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425" w:type="dxa"/>
            <w:shd w:val="clear" w:color="auto" w:fill="D9D9D9" w:themeFill="background1" w:themeFillShade="D9"/>
            <w:vAlign w:val="center"/>
          </w:tcPr>
          <w:p w14:paraId="2FC3B7C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11</w:t>
            </w:r>
          </w:p>
        </w:tc>
        <w:tc>
          <w:tcPr>
            <w:tcW w:w="851" w:type="dxa"/>
            <w:vAlign w:val="center"/>
          </w:tcPr>
          <w:p w14:paraId="026D314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3208DD58"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694" w:type="dxa"/>
            <w:vAlign w:val="center"/>
          </w:tcPr>
          <w:p w14:paraId="19203D4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10</w:t>
            </w:r>
          </w:p>
        </w:tc>
        <w:tc>
          <w:tcPr>
            <w:tcW w:w="440" w:type="dxa"/>
            <w:shd w:val="clear" w:color="auto" w:fill="D9D9D9" w:themeFill="background1" w:themeFillShade="D9"/>
            <w:vAlign w:val="center"/>
          </w:tcPr>
          <w:p w14:paraId="04DCBCF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20</w:t>
            </w:r>
          </w:p>
        </w:tc>
        <w:tc>
          <w:tcPr>
            <w:tcW w:w="689" w:type="dxa"/>
            <w:vAlign w:val="center"/>
          </w:tcPr>
          <w:p w14:paraId="234B2614"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728" w:type="dxa"/>
            <w:vAlign w:val="center"/>
          </w:tcPr>
          <w:p w14:paraId="1500A3E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549BEE0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15</w:t>
            </w:r>
          </w:p>
        </w:tc>
        <w:tc>
          <w:tcPr>
            <w:tcW w:w="2713" w:type="dxa"/>
            <w:vAlign w:val="center"/>
          </w:tcPr>
          <w:p w14:paraId="7D07E6C5"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4 indicadores de gestión con un promedio de 400.02%.</w:t>
            </w:r>
            <w:r w:rsidR="001376C7">
              <w:rPr>
                <w:rFonts w:ascii="Arial" w:hAnsi="Arial" w:cs="Arial"/>
                <w:sz w:val="14"/>
                <w:szCs w:val="14"/>
              </w:rPr>
              <w:t xml:space="preserve"> </w:t>
            </w:r>
            <w:r w:rsidRPr="00712618">
              <w:rPr>
                <w:rFonts w:ascii="Arial" w:hAnsi="Arial" w:cs="Arial"/>
                <w:sz w:val="14"/>
                <w:szCs w:val="14"/>
              </w:rPr>
              <w:t>Se realizó la promoción para la recuperación de matrícula, de lo proyectado, se logró la recuperación de alumnos que mantenían educación a distancia.</w:t>
            </w:r>
            <w:r w:rsidR="001376C7">
              <w:rPr>
                <w:rFonts w:ascii="Arial" w:hAnsi="Arial" w:cs="Arial"/>
                <w:sz w:val="14"/>
                <w:szCs w:val="14"/>
              </w:rPr>
              <w:t xml:space="preserve">                        </w:t>
            </w:r>
          </w:p>
        </w:tc>
      </w:tr>
      <w:tr w:rsidR="00712618" w:rsidRPr="00712618" w14:paraId="0D6E7030" w14:textId="77777777" w:rsidTr="009E04D5">
        <w:trPr>
          <w:gridAfter w:val="1"/>
          <w:wAfter w:w="17" w:type="dxa"/>
          <w:trHeight w:val="1032"/>
          <w:jc w:val="center"/>
        </w:trPr>
        <w:tc>
          <w:tcPr>
            <w:tcW w:w="562" w:type="dxa"/>
            <w:vAlign w:val="center"/>
          </w:tcPr>
          <w:p w14:paraId="64F46BF2"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lastRenderedPageBreak/>
              <w:t>45</w:t>
            </w:r>
          </w:p>
        </w:tc>
        <w:tc>
          <w:tcPr>
            <w:tcW w:w="1134" w:type="dxa"/>
            <w:vAlign w:val="center"/>
          </w:tcPr>
          <w:p w14:paraId="0FDE1FE6"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Servicios Estatales de Salud</w:t>
            </w:r>
          </w:p>
        </w:tc>
        <w:tc>
          <w:tcPr>
            <w:tcW w:w="709" w:type="dxa"/>
            <w:vAlign w:val="center"/>
          </w:tcPr>
          <w:p w14:paraId="577A6D2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9</w:t>
            </w:r>
          </w:p>
        </w:tc>
        <w:tc>
          <w:tcPr>
            <w:tcW w:w="425" w:type="dxa"/>
            <w:shd w:val="clear" w:color="auto" w:fill="D9D9D9" w:themeFill="background1" w:themeFillShade="D9"/>
            <w:vAlign w:val="center"/>
          </w:tcPr>
          <w:p w14:paraId="0EB97C2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18</w:t>
            </w:r>
          </w:p>
        </w:tc>
        <w:tc>
          <w:tcPr>
            <w:tcW w:w="851" w:type="dxa"/>
            <w:vAlign w:val="center"/>
          </w:tcPr>
          <w:p w14:paraId="7CDBE277"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9</w:t>
            </w:r>
          </w:p>
        </w:tc>
        <w:tc>
          <w:tcPr>
            <w:tcW w:w="709" w:type="dxa"/>
            <w:vAlign w:val="center"/>
          </w:tcPr>
          <w:p w14:paraId="1A8BDF5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694" w:type="dxa"/>
            <w:vAlign w:val="center"/>
          </w:tcPr>
          <w:p w14:paraId="030342C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440" w:type="dxa"/>
            <w:shd w:val="clear" w:color="auto" w:fill="D9D9D9" w:themeFill="background1" w:themeFillShade="D9"/>
            <w:vAlign w:val="center"/>
          </w:tcPr>
          <w:p w14:paraId="2F268F8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37</w:t>
            </w:r>
          </w:p>
        </w:tc>
        <w:tc>
          <w:tcPr>
            <w:tcW w:w="689" w:type="dxa"/>
            <w:vAlign w:val="center"/>
          </w:tcPr>
          <w:p w14:paraId="755D452C"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11</w:t>
            </w:r>
          </w:p>
        </w:tc>
        <w:tc>
          <w:tcPr>
            <w:tcW w:w="728" w:type="dxa"/>
            <w:vAlign w:val="center"/>
          </w:tcPr>
          <w:p w14:paraId="1633A7F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3</w:t>
            </w:r>
          </w:p>
        </w:tc>
        <w:tc>
          <w:tcPr>
            <w:tcW w:w="709" w:type="dxa"/>
            <w:vAlign w:val="center"/>
          </w:tcPr>
          <w:p w14:paraId="56C06A41"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23</w:t>
            </w:r>
          </w:p>
        </w:tc>
        <w:tc>
          <w:tcPr>
            <w:tcW w:w="2713" w:type="dxa"/>
            <w:vAlign w:val="center"/>
          </w:tcPr>
          <w:p w14:paraId="2EB9152F"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Los indicadores estratégicos establecen un promedio de 211.20%: La carencia por acceso a los servicios de salud se debe a la disminución de la población que reportó estar afiliada o inscrita al Seguro Popular de acuerdo a Consejo Nacional de Evaluación de la Política de Desarrollo Social</w:t>
            </w:r>
          </w:p>
        </w:tc>
      </w:tr>
      <w:tr w:rsidR="00712618" w:rsidRPr="00712618" w14:paraId="07C33697" w14:textId="77777777" w:rsidTr="009E04D5">
        <w:trPr>
          <w:gridAfter w:val="1"/>
          <w:wAfter w:w="17" w:type="dxa"/>
          <w:trHeight w:val="457"/>
          <w:jc w:val="center"/>
        </w:trPr>
        <w:tc>
          <w:tcPr>
            <w:tcW w:w="562" w:type="dxa"/>
            <w:vAlign w:val="center"/>
          </w:tcPr>
          <w:p w14:paraId="60D2992F"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46</w:t>
            </w:r>
          </w:p>
        </w:tc>
        <w:tc>
          <w:tcPr>
            <w:tcW w:w="1134" w:type="dxa"/>
            <w:vAlign w:val="center"/>
          </w:tcPr>
          <w:p w14:paraId="0A4B7F50"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Sistema para el Desarrollo</w:t>
            </w:r>
            <w:r w:rsidR="001376C7">
              <w:rPr>
                <w:rFonts w:ascii="Arial" w:hAnsi="Arial" w:cs="Arial"/>
                <w:sz w:val="14"/>
                <w:szCs w:val="14"/>
              </w:rPr>
              <w:t xml:space="preserve"> </w:t>
            </w:r>
            <w:r w:rsidRPr="00712618">
              <w:rPr>
                <w:rFonts w:ascii="Arial" w:hAnsi="Arial" w:cs="Arial"/>
                <w:sz w:val="14"/>
                <w:szCs w:val="14"/>
              </w:rPr>
              <w:t>Integral de la Familia del Estado de Quintana Roo</w:t>
            </w:r>
          </w:p>
        </w:tc>
        <w:tc>
          <w:tcPr>
            <w:tcW w:w="709" w:type="dxa"/>
            <w:vAlign w:val="center"/>
          </w:tcPr>
          <w:p w14:paraId="0D5FCE5F" w14:textId="77777777" w:rsidR="00712618" w:rsidRPr="00712618" w:rsidRDefault="00712618" w:rsidP="00712618">
            <w:pPr>
              <w:adjustRightInd w:val="0"/>
              <w:spacing w:before="120" w:after="120" w:line="240" w:lineRule="auto"/>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2F7CCFBB" w14:textId="77777777" w:rsidR="00712618" w:rsidRPr="00712618" w:rsidRDefault="00712618" w:rsidP="00712618">
            <w:pPr>
              <w:adjustRightInd w:val="0"/>
              <w:spacing w:before="120" w:after="120" w:line="240" w:lineRule="auto"/>
              <w:jc w:val="center"/>
              <w:rPr>
                <w:rFonts w:ascii="Arial" w:hAnsi="Arial" w:cs="Arial"/>
                <w:sz w:val="14"/>
                <w:szCs w:val="14"/>
              </w:rPr>
            </w:pPr>
            <w:r w:rsidRPr="00712618">
              <w:rPr>
                <w:rFonts w:ascii="Arial" w:hAnsi="Arial" w:cs="Arial"/>
                <w:sz w:val="14"/>
                <w:szCs w:val="14"/>
              </w:rPr>
              <w:t>4</w:t>
            </w:r>
          </w:p>
        </w:tc>
        <w:tc>
          <w:tcPr>
            <w:tcW w:w="851" w:type="dxa"/>
            <w:vAlign w:val="center"/>
          </w:tcPr>
          <w:p w14:paraId="6239FBC5" w14:textId="77777777" w:rsidR="00712618" w:rsidRPr="00712618" w:rsidRDefault="00712618" w:rsidP="00712618">
            <w:pPr>
              <w:adjustRightInd w:val="0"/>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657C8F4D" w14:textId="77777777" w:rsidR="00712618" w:rsidRPr="00712618" w:rsidRDefault="00712618" w:rsidP="00712618">
            <w:pPr>
              <w:adjustRightInd w:val="0"/>
              <w:spacing w:before="120" w:after="120" w:line="240" w:lineRule="auto"/>
              <w:jc w:val="center"/>
              <w:rPr>
                <w:rFonts w:ascii="Arial" w:hAnsi="Arial" w:cs="Arial"/>
                <w:sz w:val="14"/>
                <w:szCs w:val="14"/>
              </w:rPr>
            </w:pPr>
            <w:r w:rsidRPr="00712618">
              <w:rPr>
                <w:rFonts w:ascii="Arial" w:hAnsi="Arial" w:cs="Arial"/>
                <w:sz w:val="14"/>
                <w:szCs w:val="14"/>
              </w:rPr>
              <w:t>2</w:t>
            </w:r>
          </w:p>
        </w:tc>
        <w:tc>
          <w:tcPr>
            <w:tcW w:w="694" w:type="dxa"/>
            <w:vAlign w:val="center"/>
          </w:tcPr>
          <w:p w14:paraId="76927BE6" w14:textId="77777777" w:rsidR="00712618" w:rsidRPr="00712618" w:rsidRDefault="00712618" w:rsidP="00712618">
            <w:pPr>
              <w:adjustRightInd w:val="0"/>
              <w:spacing w:before="120" w:after="120" w:line="240" w:lineRule="auto"/>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6CA81B37" w14:textId="77777777" w:rsidR="00712618" w:rsidRPr="00712618" w:rsidRDefault="00712618" w:rsidP="00712618">
            <w:pPr>
              <w:adjustRightInd w:val="0"/>
              <w:spacing w:before="120" w:after="120" w:line="240" w:lineRule="auto"/>
              <w:jc w:val="center"/>
              <w:rPr>
                <w:rFonts w:ascii="Arial" w:hAnsi="Arial" w:cs="Arial"/>
                <w:sz w:val="14"/>
                <w:szCs w:val="14"/>
              </w:rPr>
            </w:pPr>
            <w:r w:rsidRPr="00712618">
              <w:rPr>
                <w:rFonts w:ascii="Arial" w:hAnsi="Arial" w:cs="Arial"/>
                <w:sz w:val="14"/>
                <w:szCs w:val="14"/>
              </w:rPr>
              <w:t>6</w:t>
            </w:r>
          </w:p>
        </w:tc>
        <w:tc>
          <w:tcPr>
            <w:tcW w:w="689" w:type="dxa"/>
            <w:vAlign w:val="center"/>
          </w:tcPr>
          <w:p w14:paraId="08290625" w14:textId="77777777" w:rsidR="00712618" w:rsidRPr="00712618" w:rsidRDefault="00712618" w:rsidP="00712618">
            <w:pPr>
              <w:adjustRightInd w:val="0"/>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28DD61FB"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500497E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6</w:t>
            </w:r>
          </w:p>
        </w:tc>
        <w:tc>
          <w:tcPr>
            <w:tcW w:w="2713" w:type="dxa"/>
            <w:vAlign w:val="center"/>
          </w:tcPr>
          <w:p w14:paraId="5B452C59"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Cumple con las metas programadas</w:t>
            </w:r>
          </w:p>
        </w:tc>
      </w:tr>
      <w:tr w:rsidR="00712618" w:rsidRPr="00712618" w14:paraId="07B7F66F" w14:textId="77777777" w:rsidTr="009E04D5">
        <w:trPr>
          <w:gridAfter w:val="1"/>
          <w:wAfter w:w="17" w:type="dxa"/>
          <w:trHeight w:val="378"/>
          <w:jc w:val="center"/>
        </w:trPr>
        <w:tc>
          <w:tcPr>
            <w:tcW w:w="562" w:type="dxa"/>
            <w:vAlign w:val="center"/>
          </w:tcPr>
          <w:p w14:paraId="6711F3AE"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47</w:t>
            </w:r>
          </w:p>
        </w:tc>
        <w:tc>
          <w:tcPr>
            <w:tcW w:w="1134" w:type="dxa"/>
            <w:vAlign w:val="center"/>
          </w:tcPr>
          <w:p w14:paraId="36BE3639" w14:textId="77777777" w:rsidR="00712618" w:rsidRPr="00712618" w:rsidDel="004750CE"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Sistema Quintanarroense de Comunicación Social</w:t>
            </w:r>
          </w:p>
        </w:tc>
        <w:tc>
          <w:tcPr>
            <w:tcW w:w="709" w:type="dxa"/>
            <w:vAlign w:val="center"/>
          </w:tcPr>
          <w:p w14:paraId="3A3304A5"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24602E9"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62EA7DBC"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58E66E03"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694" w:type="dxa"/>
            <w:vAlign w:val="center"/>
          </w:tcPr>
          <w:p w14:paraId="1B174554"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66CB71FE"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689" w:type="dxa"/>
            <w:vAlign w:val="center"/>
          </w:tcPr>
          <w:p w14:paraId="25E10C3F"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28" w:type="dxa"/>
            <w:vAlign w:val="center"/>
          </w:tcPr>
          <w:p w14:paraId="459F80BD"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131AA0D0"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2713" w:type="dxa"/>
            <w:vAlign w:val="center"/>
          </w:tcPr>
          <w:p w14:paraId="7F981058" w14:textId="77777777" w:rsidR="00712618" w:rsidRPr="00712618" w:rsidDel="004750CE" w:rsidRDefault="00712618" w:rsidP="00712618">
            <w:pPr>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a nivel Fin se establece un promedio porcentual del 114.29%.</w:t>
            </w:r>
          </w:p>
        </w:tc>
      </w:tr>
      <w:tr w:rsidR="00712618" w:rsidRPr="00712618" w14:paraId="02962C8C" w14:textId="77777777" w:rsidTr="009E04D5">
        <w:trPr>
          <w:gridAfter w:val="1"/>
          <w:wAfter w:w="17" w:type="dxa"/>
          <w:trHeight w:val="378"/>
          <w:jc w:val="center"/>
        </w:trPr>
        <w:tc>
          <w:tcPr>
            <w:tcW w:w="562" w:type="dxa"/>
            <w:vAlign w:val="center"/>
          </w:tcPr>
          <w:p w14:paraId="3775BA8B"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48</w:t>
            </w:r>
          </w:p>
        </w:tc>
        <w:tc>
          <w:tcPr>
            <w:tcW w:w="1134" w:type="dxa"/>
            <w:vAlign w:val="center"/>
          </w:tcPr>
          <w:p w14:paraId="3A824581" w14:textId="77777777" w:rsidR="00712618" w:rsidRPr="00712618" w:rsidDel="004750CE"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Universidad Autónoma de Quintana Roo</w:t>
            </w:r>
          </w:p>
        </w:tc>
        <w:tc>
          <w:tcPr>
            <w:tcW w:w="709" w:type="dxa"/>
            <w:vAlign w:val="center"/>
          </w:tcPr>
          <w:p w14:paraId="32B14BFE"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6BD18DA"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2F6F4B46"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5BA77B5E"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4334B52B"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5816FB4D"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04B39A29"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28" w:type="dxa"/>
            <w:vAlign w:val="center"/>
          </w:tcPr>
          <w:p w14:paraId="792DBA8F"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6A5AEB78"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2713" w:type="dxa"/>
            <w:vAlign w:val="center"/>
          </w:tcPr>
          <w:p w14:paraId="3D084D9C" w14:textId="77777777" w:rsidR="00712618" w:rsidRPr="00712618" w:rsidDel="004750CE" w:rsidRDefault="00712618" w:rsidP="003D1ACC">
            <w:pPr>
              <w:spacing w:before="120" w:after="120" w:line="240" w:lineRule="auto"/>
              <w:ind w:right="-68"/>
              <w:jc w:val="both"/>
              <w:rPr>
                <w:rFonts w:ascii="Arial" w:hAnsi="Arial" w:cs="Arial"/>
                <w:sz w:val="14"/>
                <w:szCs w:val="14"/>
              </w:rPr>
            </w:pPr>
            <w:r w:rsidRPr="00712618">
              <w:rPr>
                <w:rFonts w:ascii="Arial" w:hAnsi="Arial" w:cs="Arial"/>
                <w:sz w:val="14"/>
                <w:szCs w:val="14"/>
              </w:rPr>
              <w:t xml:space="preserve">Los indicadores de gestión presentan un promedio de avance del 33.12%, señalando que se debe a la deserción de estudiantes por contingencia del </w:t>
            </w:r>
            <w:r w:rsidR="003D1ACC" w:rsidRPr="00712618">
              <w:rPr>
                <w:rFonts w:ascii="Arial" w:hAnsi="Arial" w:cs="Arial"/>
                <w:sz w:val="14"/>
                <w:szCs w:val="14"/>
              </w:rPr>
              <w:t>COVID</w:t>
            </w:r>
            <w:r w:rsidR="003D1ACC">
              <w:rPr>
                <w:rFonts w:ascii="Arial" w:hAnsi="Arial" w:cs="Arial"/>
                <w:sz w:val="14"/>
                <w:szCs w:val="14"/>
              </w:rPr>
              <w:t>-</w:t>
            </w:r>
            <w:r w:rsidRPr="00712618">
              <w:rPr>
                <w:rFonts w:ascii="Arial" w:hAnsi="Arial" w:cs="Arial"/>
                <w:sz w:val="14"/>
                <w:szCs w:val="14"/>
              </w:rPr>
              <w:t>19; de igual manera solo se tuvieron 18 de 27 programas educativos; asimismo, se lograron 7 de los 15 indicadores programados.</w:t>
            </w:r>
          </w:p>
        </w:tc>
      </w:tr>
      <w:tr w:rsidR="00712618" w:rsidRPr="00712618" w14:paraId="1F0F9B20" w14:textId="77777777" w:rsidTr="009E04D5">
        <w:trPr>
          <w:gridAfter w:val="1"/>
          <w:wAfter w:w="17" w:type="dxa"/>
          <w:trHeight w:val="378"/>
          <w:jc w:val="center"/>
        </w:trPr>
        <w:tc>
          <w:tcPr>
            <w:tcW w:w="562" w:type="dxa"/>
            <w:vAlign w:val="center"/>
          </w:tcPr>
          <w:p w14:paraId="5637A64A"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49</w:t>
            </w:r>
          </w:p>
        </w:tc>
        <w:tc>
          <w:tcPr>
            <w:tcW w:w="1134" w:type="dxa"/>
            <w:vAlign w:val="center"/>
          </w:tcPr>
          <w:p w14:paraId="2FF33DE7"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Universidad del Caribe</w:t>
            </w:r>
          </w:p>
        </w:tc>
        <w:tc>
          <w:tcPr>
            <w:tcW w:w="709" w:type="dxa"/>
            <w:vAlign w:val="center"/>
          </w:tcPr>
          <w:p w14:paraId="219A894E"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40924CA1"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4792876B"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5B61DFEC"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54D84896"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086572E5"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6</w:t>
            </w:r>
          </w:p>
        </w:tc>
        <w:tc>
          <w:tcPr>
            <w:tcW w:w="689" w:type="dxa"/>
            <w:vAlign w:val="center"/>
          </w:tcPr>
          <w:p w14:paraId="36F56AD9"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28" w:type="dxa"/>
            <w:vAlign w:val="center"/>
          </w:tcPr>
          <w:p w14:paraId="0010CE65"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1FCA97B7"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2713" w:type="dxa"/>
            <w:vAlign w:val="center"/>
          </w:tcPr>
          <w:p w14:paraId="3A2B029A" w14:textId="77777777" w:rsidR="00712618" w:rsidRPr="00712618" w:rsidRDefault="00712618" w:rsidP="00712618">
            <w:pPr>
              <w:spacing w:before="120" w:after="120" w:line="240" w:lineRule="auto"/>
              <w:ind w:right="-68"/>
              <w:jc w:val="both"/>
              <w:rPr>
                <w:rFonts w:ascii="Arial" w:hAnsi="Arial" w:cs="Arial"/>
                <w:sz w:val="14"/>
                <w:szCs w:val="14"/>
              </w:rPr>
            </w:pPr>
            <w:r w:rsidRPr="00712618">
              <w:rPr>
                <w:rFonts w:ascii="Arial" w:hAnsi="Arial" w:cs="Arial"/>
                <w:sz w:val="14"/>
                <w:szCs w:val="14"/>
              </w:rPr>
              <w:t>El indicador estratégico a nivel Propósito refleja un 73.71% de avance; se programó alcanzar una eficiencia terminal de educación superior del 70%, logrando el 73% de la meta con un 51.62% de eficiencia terminal; Los indicadores de gestión con un 118.52% de avance; se programó que el 100% de los programas de posgrado sean pertinentes, meta alcanzada.</w:t>
            </w:r>
            <w:r w:rsidR="001376C7">
              <w:rPr>
                <w:rFonts w:ascii="Arial" w:hAnsi="Arial" w:cs="Arial"/>
                <w:sz w:val="14"/>
                <w:szCs w:val="14"/>
              </w:rPr>
              <w:t xml:space="preserve"> </w:t>
            </w:r>
            <w:r w:rsidRPr="00712618">
              <w:rPr>
                <w:rFonts w:ascii="Arial" w:hAnsi="Arial" w:cs="Arial"/>
                <w:sz w:val="14"/>
                <w:szCs w:val="14"/>
              </w:rPr>
              <w:t>Los Programas Educativos de Posgrado son pertinentes todos y cuenta con plan de estudios actualizado. Indicador de gestión de 83.33% de avance, la entidad no justifica el motivo.</w:t>
            </w:r>
            <w:r w:rsidR="001376C7">
              <w:rPr>
                <w:rFonts w:ascii="Arial" w:hAnsi="Arial" w:cs="Arial"/>
                <w:sz w:val="14"/>
                <w:szCs w:val="14"/>
              </w:rPr>
              <w:t xml:space="preserve"> </w:t>
            </w:r>
          </w:p>
        </w:tc>
      </w:tr>
      <w:tr w:rsidR="00712618" w:rsidRPr="00712618" w14:paraId="4CFD5B62" w14:textId="77777777" w:rsidTr="009E04D5">
        <w:trPr>
          <w:gridAfter w:val="1"/>
          <w:wAfter w:w="17" w:type="dxa"/>
          <w:trHeight w:val="378"/>
          <w:jc w:val="center"/>
        </w:trPr>
        <w:tc>
          <w:tcPr>
            <w:tcW w:w="562" w:type="dxa"/>
            <w:vAlign w:val="center"/>
          </w:tcPr>
          <w:p w14:paraId="34BED18C"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50</w:t>
            </w:r>
          </w:p>
        </w:tc>
        <w:tc>
          <w:tcPr>
            <w:tcW w:w="1134" w:type="dxa"/>
            <w:vAlign w:val="center"/>
          </w:tcPr>
          <w:p w14:paraId="1779C72C" w14:textId="77777777" w:rsidR="00712618" w:rsidRPr="00712618" w:rsidDel="004750CE"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Universidad Intercultural Maya de Quintana Roo</w:t>
            </w:r>
          </w:p>
        </w:tc>
        <w:tc>
          <w:tcPr>
            <w:tcW w:w="709" w:type="dxa"/>
            <w:vAlign w:val="center"/>
          </w:tcPr>
          <w:p w14:paraId="35DA9842"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1E0FFB70"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662DBAE5"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0367E0C6"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4326CFE4"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43022E00"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689" w:type="dxa"/>
            <w:vAlign w:val="center"/>
          </w:tcPr>
          <w:p w14:paraId="45AB9D7A"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28" w:type="dxa"/>
            <w:vAlign w:val="center"/>
          </w:tcPr>
          <w:p w14:paraId="63C5253D"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1D327FC9"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2713" w:type="dxa"/>
            <w:vAlign w:val="center"/>
          </w:tcPr>
          <w:p w14:paraId="355D07B4" w14:textId="77777777" w:rsidR="00712618" w:rsidRPr="00712618" w:rsidDel="004750CE" w:rsidRDefault="00712618" w:rsidP="00712618">
            <w:pPr>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obtuvieron un promedio de 66.38%, señalando la entidad que tuvo un incremento en la matricula, sin embargo se observa que no alcanzó la meta.</w:t>
            </w:r>
          </w:p>
        </w:tc>
      </w:tr>
      <w:tr w:rsidR="00712618" w:rsidRPr="00712618" w14:paraId="78F06D6F" w14:textId="77777777" w:rsidTr="009E04D5">
        <w:trPr>
          <w:gridAfter w:val="1"/>
          <w:wAfter w:w="17" w:type="dxa"/>
          <w:trHeight w:val="378"/>
          <w:jc w:val="center"/>
        </w:trPr>
        <w:tc>
          <w:tcPr>
            <w:tcW w:w="562" w:type="dxa"/>
            <w:vAlign w:val="center"/>
          </w:tcPr>
          <w:p w14:paraId="2EA79405"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51</w:t>
            </w:r>
          </w:p>
        </w:tc>
        <w:tc>
          <w:tcPr>
            <w:tcW w:w="1134" w:type="dxa"/>
            <w:vAlign w:val="center"/>
          </w:tcPr>
          <w:p w14:paraId="6DE6605A" w14:textId="77777777" w:rsidR="00712618" w:rsidRPr="00712618" w:rsidDel="004750CE"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Universidad Politécnica de Bacalar</w:t>
            </w:r>
          </w:p>
        </w:tc>
        <w:tc>
          <w:tcPr>
            <w:tcW w:w="709" w:type="dxa"/>
            <w:vAlign w:val="center"/>
          </w:tcPr>
          <w:p w14:paraId="3A0B430C"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D1801FE"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7D1156EB"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1D4079EC"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4D9212A6"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77E241D1"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689" w:type="dxa"/>
            <w:vAlign w:val="center"/>
          </w:tcPr>
          <w:p w14:paraId="3E03F51F"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28" w:type="dxa"/>
            <w:vAlign w:val="center"/>
          </w:tcPr>
          <w:p w14:paraId="38DF8C64"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7319A1E8"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2713" w:type="dxa"/>
            <w:vAlign w:val="center"/>
          </w:tcPr>
          <w:p w14:paraId="3965295B" w14:textId="77777777" w:rsidR="00712618" w:rsidRPr="00712618" w:rsidDel="004750CE" w:rsidRDefault="00712618" w:rsidP="00712618">
            <w:pPr>
              <w:spacing w:before="120" w:after="120" w:line="240" w:lineRule="auto"/>
              <w:ind w:right="-68"/>
              <w:jc w:val="both"/>
              <w:rPr>
                <w:rFonts w:ascii="Arial" w:hAnsi="Arial" w:cs="Arial"/>
                <w:sz w:val="14"/>
                <w:szCs w:val="14"/>
              </w:rPr>
            </w:pPr>
            <w:r w:rsidRPr="00712618">
              <w:rPr>
                <w:rFonts w:ascii="Arial" w:hAnsi="Arial" w:cs="Arial"/>
                <w:sz w:val="14"/>
                <w:szCs w:val="14"/>
              </w:rPr>
              <w:t>El nivel estratégico Fin representa un 80.97%, se debe al periodo escolar 2021-2022. De los indicadores de gestión se tiene un promedio de 170.24%,</w:t>
            </w:r>
            <w:r w:rsidR="001376C7">
              <w:rPr>
                <w:rFonts w:ascii="Arial" w:hAnsi="Arial" w:cs="Arial"/>
                <w:sz w:val="14"/>
                <w:szCs w:val="14"/>
              </w:rPr>
              <w:t xml:space="preserve"> </w:t>
            </w:r>
            <w:r w:rsidRPr="00712618">
              <w:rPr>
                <w:rFonts w:ascii="Arial" w:hAnsi="Arial" w:cs="Arial"/>
                <w:sz w:val="14"/>
                <w:szCs w:val="14"/>
              </w:rPr>
              <w:t>se tuvo un incremento con el regreso a actividades presenciales; de igual forma los cinco programas educativos que se ofertan</w:t>
            </w:r>
            <w:r w:rsidR="001376C7">
              <w:rPr>
                <w:rFonts w:ascii="Arial" w:hAnsi="Arial" w:cs="Arial"/>
                <w:sz w:val="14"/>
                <w:szCs w:val="14"/>
              </w:rPr>
              <w:t xml:space="preserve"> </w:t>
            </w:r>
            <w:r w:rsidRPr="00712618">
              <w:rPr>
                <w:rFonts w:ascii="Arial" w:hAnsi="Arial" w:cs="Arial"/>
                <w:sz w:val="14"/>
                <w:szCs w:val="14"/>
              </w:rPr>
              <w:t>se encuentran en proceso de acreditación.</w:t>
            </w:r>
          </w:p>
        </w:tc>
      </w:tr>
      <w:tr w:rsidR="00712618" w:rsidRPr="00712618" w14:paraId="51D79C56" w14:textId="77777777" w:rsidTr="009E04D5">
        <w:trPr>
          <w:gridAfter w:val="1"/>
          <w:wAfter w:w="17" w:type="dxa"/>
          <w:trHeight w:val="378"/>
          <w:jc w:val="center"/>
        </w:trPr>
        <w:tc>
          <w:tcPr>
            <w:tcW w:w="562" w:type="dxa"/>
            <w:vAlign w:val="center"/>
          </w:tcPr>
          <w:p w14:paraId="3AA33250"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52</w:t>
            </w:r>
          </w:p>
        </w:tc>
        <w:tc>
          <w:tcPr>
            <w:tcW w:w="1134" w:type="dxa"/>
            <w:vAlign w:val="center"/>
          </w:tcPr>
          <w:p w14:paraId="21CDEBA0" w14:textId="77777777" w:rsidR="00712618" w:rsidRPr="00712618" w:rsidDel="004750CE"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Universidad Politécnica de Quintana Roo </w:t>
            </w:r>
          </w:p>
        </w:tc>
        <w:tc>
          <w:tcPr>
            <w:tcW w:w="709" w:type="dxa"/>
            <w:vAlign w:val="center"/>
          </w:tcPr>
          <w:p w14:paraId="73D51451"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079544C"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59A3BE9A"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09" w:type="dxa"/>
            <w:vAlign w:val="center"/>
          </w:tcPr>
          <w:p w14:paraId="79D3EF5C"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52929F52"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5DF6F337"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689" w:type="dxa"/>
            <w:vAlign w:val="center"/>
          </w:tcPr>
          <w:p w14:paraId="65DD6A6E"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28" w:type="dxa"/>
            <w:vAlign w:val="center"/>
          </w:tcPr>
          <w:p w14:paraId="7A48FBEA"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5CF526CF"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2713" w:type="dxa"/>
            <w:vAlign w:val="center"/>
          </w:tcPr>
          <w:p w14:paraId="43DEB521" w14:textId="77777777" w:rsidR="00712618" w:rsidRPr="00712618" w:rsidDel="004750CE" w:rsidRDefault="00712618" w:rsidP="00712618">
            <w:pPr>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a nivel Fin 16.11% y propósitos 0.00% y 82.17%. La entidad no alcanzo la meta anual debido a que no se recuperaron las matrículas en educación superior,</w:t>
            </w:r>
            <w:r w:rsidR="001376C7">
              <w:rPr>
                <w:rFonts w:ascii="Arial" w:hAnsi="Arial" w:cs="Arial"/>
                <w:sz w:val="14"/>
                <w:szCs w:val="14"/>
              </w:rPr>
              <w:t xml:space="preserve"> </w:t>
            </w:r>
            <w:r w:rsidRPr="00712618">
              <w:rPr>
                <w:rFonts w:ascii="Arial" w:hAnsi="Arial" w:cs="Arial"/>
                <w:sz w:val="14"/>
                <w:szCs w:val="14"/>
              </w:rPr>
              <w:t xml:space="preserve">por lo que no se pudo </w:t>
            </w:r>
            <w:r w:rsidRPr="00712618">
              <w:rPr>
                <w:rFonts w:ascii="Arial" w:hAnsi="Arial" w:cs="Arial"/>
                <w:sz w:val="14"/>
                <w:szCs w:val="14"/>
              </w:rPr>
              <w:lastRenderedPageBreak/>
              <w:t>tener el número de alumnos programados para alcanzar la meta.</w:t>
            </w:r>
          </w:p>
        </w:tc>
      </w:tr>
      <w:tr w:rsidR="00712618" w:rsidRPr="00712618" w14:paraId="7668B0F5" w14:textId="77777777" w:rsidTr="009E04D5">
        <w:trPr>
          <w:gridAfter w:val="1"/>
          <w:wAfter w:w="17" w:type="dxa"/>
          <w:trHeight w:val="378"/>
          <w:jc w:val="center"/>
        </w:trPr>
        <w:tc>
          <w:tcPr>
            <w:tcW w:w="562" w:type="dxa"/>
            <w:vAlign w:val="center"/>
          </w:tcPr>
          <w:p w14:paraId="579577EA"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53</w:t>
            </w:r>
          </w:p>
        </w:tc>
        <w:tc>
          <w:tcPr>
            <w:tcW w:w="1134" w:type="dxa"/>
            <w:vAlign w:val="center"/>
          </w:tcPr>
          <w:p w14:paraId="1C2642B2" w14:textId="77777777" w:rsidR="00712618" w:rsidRPr="00712618" w:rsidDel="004750CE"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Universidad Tecnológica de Cancún</w:t>
            </w:r>
          </w:p>
        </w:tc>
        <w:tc>
          <w:tcPr>
            <w:tcW w:w="709" w:type="dxa"/>
            <w:vAlign w:val="center"/>
          </w:tcPr>
          <w:p w14:paraId="02D975B8"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6B85B928"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041D1EE9"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6C377FEC"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2833722D"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58B0027C"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689" w:type="dxa"/>
            <w:vAlign w:val="center"/>
          </w:tcPr>
          <w:p w14:paraId="735C3C97"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28" w:type="dxa"/>
            <w:vAlign w:val="center"/>
          </w:tcPr>
          <w:p w14:paraId="348D5C20"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2E14076D"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2713" w:type="dxa"/>
            <w:vAlign w:val="center"/>
          </w:tcPr>
          <w:p w14:paraId="516DA53B" w14:textId="77777777" w:rsidR="00712618" w:rsidRPr="00712618" w:rsidDel="004750CE" w:rsidRDefault="00712618" w:rsidP="00712618">
            <w:pPr>
              <w:spacing w:before="120" w:after="120" w:line="240" w:lineRule="auto"/>
              <w:ind w:right="-68"/>
              <w:jc w:val="both"/>
              <w:rPr>
                <w:rFonts w:ascii="Arial" w:hAnsi="Arial" w:cs="Arial"/>
                <w:sz w:val="14"/>
                <w:szCs w:val="14"/>
              </w:rPr>
            </w:pPr>
            <w:r w:rsidRPr="00712618">
              <w:rPr>
                <w:rFonts w:ascii="Arial" w:hAnsi="Arial" w:cs="Arial"/>
                <w:sz w:val="14"/>
                <w:szCs w:val="14"/>
              </w:rPr>
              <w:t>Cumple con las metas programadas</w:t>
            </w:r>
          </w:p>
        </w:tc>
      </w:tr>
      <w:tr w:rsidR="00712618" w:rsidRPr="00712618" w14:paraId="3D4D021F" w14:textId="77777777" w:rsidTr="009E04D5">
        <w:trPr>
          <w:gridAfter w:val="1"/>
          <w:wAfter w:w="17" w:type="dxa"/>
          <w:trHeight w:val="378"/>
          <w:jc w:val="center"/>
        </w:trPr>
        <w:tc>
          <w:tcPr>
            <w:tcW w:w="562" w:type="dxa"/>
            <w:vAlign w:val="center"/>
          </w:tcPr>
          <w:p w14:paraId="29598FC1"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54</w:t>
            </w:r>
          </w:p>
        </w:tc>
        <w:tc>
          <w:tcPr>
            <w:tcW w:w="1134" w:type="dxa"/>
            <w:vAlign w:val="center"/>
          </w:tcPr>
          <w:p w14:paraId="6BECB68D" w14:textId="77777777" w:rsidR="00712618" w:rsidRPr="00712618" w:rsidDel="004750CE"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Universidad Tecnológica de Chetumal</w:t>
            </w:r>
          </w:p>
        </w:tc>
        <w:tc>
          <w:tcPr>
            <w:tcW w:w="709" w:type="dxa"/>
            <w:vAlign w:val="center"/>
          </w:tcPr>
          <w:p w14:paraId="73243E73"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507CAC1A"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59E331B1"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7BF641BE"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31450C30"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40F15226"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689" w:type="dxa"/>
            <w:vAlign w:val="center"/>
          </w:tcPr>
          <w:p w14:paraId="04E944F0"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28" w:type="dxa"/>
            <w:vAlign w:val="center"/>
          </w:tcPr>
          <w:p w14:paraId="04066975"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05085ED0"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2713" w:type="dxa"/>
            <w:vAlign w:val="center"/>
          </w:tcPr>
          <w:p w14:paraId="2D29F29B" w14:textId="77777777" w:rsidR="00712618" w:rsidRPr="00712618" w:rsidDel="004750CE" w:rsidRDefault="00712618" w:rsidP="00712618">
            <w:pPr>
              <w:spacing w:before="120" w:after="120" w:line="240" w:lineRule="auto"/>
              <w:ind w:right="-68"/>
              <w:jc w:val="both"/>
              <w:rPr>
                <w:rFonts w:ascii="Arial" w:hAnsi="Arial" w:cs="Arial"/>
                <w:sz w:val="14"/>
                <w:szCs w:val="14"/>
              </w:rPr>
            </w:pPr>
            <w:r w:rsidRPr="00712618">
              <w:rPr>
                <w:rFonts w:ascii="Arial" w:hAnsi="Arial" w:cs="Arial"/>
                <w:sz w:val="14"/>
                <w:szCs w:val="14"/>
              </w:rPr>
              <w:t>El indicador de gestión representa un 339.19% de avance||||||||||, la entidad señala que presentó un incremento significativo en la matrícula del ciclo escolar 2022-2023 respecto del ciclo inmediato anterior; lo cual genera una variación superior a la proyectada.</w:t>
            </w:r>
          </w:p>
        </w:tc>
      </w:tr>
      <w:tr w:rsidR="00712618" w:rsidRPr="00712618" w14:paraId="28D06436" w14:textId="77777777" w:rsidTr="009E04D5">
        <w:trPr>
          <w:gridAfter w:val="1"/>
          <w:wAfter w:w="17" w:type="dxa"/>
          <w:trHeight w:val="378"/>
          <w:jc w:val="center"/>
        </w:trPr>
        <w:tc>
          <w:tcPr>
            <w:tcW w:w="562" w:type="dxa"/>
            <w:vAlign w:val="center"/>
          </w:tcPr>
          <w:p w14:paraId="4E57229F"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55</w:t>
            </w:r>
          </w:p>
        </w:tc>
        <w:tc>
          <w:tcPr>
            <w:tcW w:w="1134" w:type="dxa"/>
            <w:vAlign w:val="center"/>
          </w:tcPr>
          <w:p w14:paraId="7FD812E9" w14:textId="77777777" w:rsidR="00712618" w:rsidRPr="00712618" w:rsidDel="004750CE"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Universidad Tecnológica de la Riviera Maya</w:t>
            </w:r>
          </w:p>
        </w:tc>
        <w:tc>
          <w:tcPr>
            <w:tcW w:w="709" w:type="dxa"/>
            <w:vAlign w:val="center"/>
          </w:tcPr>
          <w:p w14:paraId="1F5A7D17"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6D7DAC5A"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0949E01A" w14:textId="77777777" w:rsidR="00712618" w:rsidRPr="00712618" w:rsidDel="004750CE" w:rsidRDefault="00712618" w:rsidP="00712618">
            <w:pPr>
              <w:spacing w:before="120" w:after="120" w:line="240" w:lineRule="auto"/>
              <w:ind w:right="-68"/>
              <w:jc w:val="center"/>
              <w:rPr>
                <w:rFonts w:ascii="Arial" w:hAnsi="Arial" w:cs="Arial"/>
                <w:sz w:val="14"/>
                <w:szCs w:val="14"/>
              </w:rPr>
            </w:pPr>
          </w:p>
        </w:tc>
        <w:tc>
          <w:tcPr>
            <w:tcW w:w="709" w:type="dxa"/>
            <w:vAlign w:val="center"/>
          </w:tcPr>
          <w:p w14:paraId="7226EC08"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5A39DDA6"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78F91520"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5</w:t>
            </w:r>
          </w:p>
        </w:tc>
        <w:tc>
          <w:tcPr>
            <w:tcW w:w="689" w:type="dxa"/>
            <w:vAlign w:val="center"/>
          </w:tcPr>
          <w:p w14:paraId="06AC5514"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28" w:type="dxa"/>
            <w:vAlign w:val="center"/>
          </w:tcPr>
          <w:p w14:paraId="1C489BD6"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288F23BB"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2713" w:type="dxa"/>
            <w:vAlign w:val="center"/>
          </w:tcPr>
          <w:p w14:paraId="165A7F3F" w14:textId="77777777" w:rsidR="00712618" w:rsidRPr="00712618" w:rsidDel="004750CE" w:rsidRDefault="00712618" w:rsidP="00712618">
            <w:pPr>
              <w:spacing w:before="120" w:after="120" w:line="240" w:lineRule="auto"/>
              <w:ind w:right="-68"/>
              <w:jc w:val="both"/>
              <w:rPr>
                <w:rFonts w:ascii="Arial" w:hAnsi="Arial" w:cs="Arial"/>
                <w:sz w:val="14"/>
                <w:szCs w:val="14"/>
              </w:rPr>
            </w:pPr>
            <w:r w:rsidRPr="00712618">
              <w:rPr>
                <w:rFonts w:ascii="Arial" w:hAnsi="Arial" w:cs="Arial"/>
                <w:sz w:val="14"/>
                <w:szCs w:val="14"/>
              </w:rPr>
              <w:t xml:space="preserve">El indicador de gestión con un avance de 31.06%, debido que tiene como meta anual atender a 1,089 alumnos matriculados. Para el inicio del ciclo escolar, la captación alcanzó los 1,061 matriculados, con una variación de 27 estudiantes menos de los pronosticados, principalmente por las bajas presentadas durante los cuatrimestres corrientes y la limitante en la apertura de los programas educativos despresurizados. </w:t>
            </w:r>
          </w:p>
        </w:tc>
      </w:tr>
      <w:tr w:rsidR="00712618" w:rsidRPr="00712618" w14:paraId="0C5B7ABA" w14:textId="77777777" w:rsidTr="009E04D5">
        <w:trPr>
          <w:gridAfter w:val="1"/>
          <w:wAfter w:w="17" w:type="dxa"/>
          <w:trHeight w:val="378"/>
          <w:jc w:val="center"/>
        </w:trPr>
        <w:tc>
          <w:tcPr>
            <w:tcW w:w="562" w:type="dxa"/>
            <w:vAlign w:val="center"/>
          </w:tcPr>
          <w:p w14:paraId="5DA13AAA"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56</w:t>
            </w:r>
          </w:p>
        </w:tc>
        <w:tc>
          <w:tcPr>
            <w:tcW w:w="1134" w:type="dxa"/>
            <w:vAlign w:val="center"/>
          </w:tcPr>
          <w:p w14:paraId="0D547DCD" w14:textId="77777777" w:rsidR="00712618" w:rsidRPr="00712618" w:rsidDel="004750CE"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VIP Servicios Aéreos Ejecutivos, S.A de C.V,</w:t>
            </w:r>
          </w:p>
        </w:tc>
        <w:tc>
          <w:tcPr>
            <w:tcW w:w="709" w:type="dxa"/>
            <w:vAlign w:val="center"/>
          </w:tcPr>
          <w:p w14:paraId="7D6AE67A"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0918E1B1"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1A96F116"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2BAB8BCC"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6F1ECA6D"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0B48B615"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7F7DE81E"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28" w:type="dxa"/>
            <w:vAlign w:val="center"/>
          </w:tcPr>
          <w:p w14:paraId="1C3EB259"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2C4CC618"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2713" w:type="dxa"/>
            <w:vAlign w:val="center"/>
          </w:tcPr>
          <w:p w14:paraId="18583E51" w14:textId="77777777" w:rsidR="00712618" w:rsidRPr="00712618" w:rsidDel="004750CE" w:rsidRDefault="00712618" w:rsidP="00712618">
            <w:pPr>
              <w:spacing w:before="120" w:after="120" w:line="240" w:lineRule="auto"/>
              <w:ind w:right="-68"/>
              <w:jc w:val="both"/>
              <w:rPr>
                <w:rFonts w:ascii="Arial" w:hAnsi="Arial" w:cs="Arial"/>
                <w:sz w:val="14"/>
                <w:szCs w:val="14"/>
              </w:rPr>
            </w:pPr>
            <w:r w:rsidRPr="00712618">
              <w:rPr>
                <w:rFonts w:ascii="Arial" w:hAnsi="Arial" w:cs="Arial"/>
                <w:sz w:val="14"/>
                <w:szCs w:val="14"/>
              </w:rPr>
              <w:t>Los indicadores de gestión presentan un promedio de 260%, señalando la entidad que hubo un incremento en el uso de los aeródromos con respecto a lo programado; así mismo, se rebaso la meta en atención de transporte de pasajeros.</w:t>
            </w:r>
          </w:p>
        </w:tc>
      </w:tr>
      <w:tr w:rsidR="00712618" w:rsidRPr="00712618" w14:paraId="6EFEF675" w14:textId="77777777" w:rsidTr="009E04D5">
        <w:trPr>
          <w:gridAfter w:val="1"/>
          <w:wAfter w:w="17" w:type="dxa"/>
          <w:trHeight w:val="378"/>
          <w:jc w:val="center"/>
        </w:trPr>
        <w:tc>
          <w:tcPr>
            <w:tcW w:w="562" w:type="dxa"/>
            <w:vAlign w:val="center"/>
          </w:tcPr>
          <w:p w14:paraId="2C7FE81F" w14:textId="77777777" w:rsidR="00712618" w:rsidRPr="00712618" w:rsidRDefault="00712618" w:rsidP="00712618">
            <w:pPr>
              <w:adjustRightInd w:val="0"/>
              <w:spacing w:before="120" w:after="120" w:line="240" w:lineRule="auto"/>
              <w:ind w:right="-66"/>
              <w:jc w:val="center"/>
              <w:rPr>
                <w:rFonts w:ascii="Arial" w:hAnsi="Arial" w:cs="Arial"/>
                <w:bCs/>
                <w:color w:val="000000"/>
                <w:sz w:val="14"/>
                <w:szCs w:val="14"/>
              </w:rPr>
            </w:pPr>
            <w:r w:rsidRPr="00712618">
              <w:rPr>
                <w:rFonts w:ascii="Arial" w:hAnsi="Arial" w:cs="Arial"/>
                <w:bCs/>
                <w:color w:val="000000"/>
                <w:sz w:val="14"/>
                <w:szCs w:val="14"/>
              </w:rPr>
              <w:t>57</w:t>
            </w:r>
          </w:p>
        </w:tc>
        <w:tc>
          <w:tcPr>
            <w:tcW w:w="1134" w:type="dxa"/>
            <w:vAlign w:val="center"/>
          </w:tcPr>
          <w:p w14:paraId="41F8A9BB" w14:textId="77777777" w:rsidR="00712618" w:rsidRPr="00712618" w:rsidDel="004750CE"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Centro de Conciliación Laboral del Estado de Quintana Roo </w:t>
            </w:r>
          </w:p>
        </w:tc>
        <w:tc>
          <w:tcPr>
            <w:tcW w:w="709" w:type="dxa"/>
            <w:vAlign w:val="center"/>
          </w:tcPr>
          <w:p w14:paraId="7B9434CF"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7FBAED25"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41289FB3"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4E836839"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22423683"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440" w:type="dxa"/>
            <w:shd w:val="clear" w:color="auto" w:fill="D9D9D9" w:themeFill="background1" w:themeFillShade="D9"/>
            <w:vAlign w:val="center"/>
          </w:tcPr>
          <w:p w14:paraId="61321754"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59B5E641"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28" w:type="dxa"/>
            <w:vAlign w:val="center"/>
          </w:tcPr>
          <w:p w14:paraId="324F254E"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2156E513" w14:textId="77777777" w:rsidR="00712618" w:rsidRPr="00712618" w:rsidDel="004750CE"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2713" w:type="dxa"/>
            <w:vAlign w:val="center"/>
          </w:tcPr>
          <w:p w14:paraId="1D9EC52C" w14:textId="77777777" w:rsidR="00712618" w:rsidRPr="00712618" w:rsidDel="004750CE" w:rsidRDefault="00712618" w:rsidP="00712618">
            <w:pPr>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establecen un porcentaje del 116.36% de avance. La entidad no justifica el motivo.</w:t>
            </w:r>
          </w:p>
        </w:tc>
      </w:tr>
      <w:tr w:rsidR="00712618" w:rsidRPr="00712618" w14:paraId="682E4BA8" w14:textId="77777777" w:rsidTr="009E04D5">
        <w:trPr>
          <w:trHeight w:val="336"/>
          <w:jc w:val="center"/>
        </w:trPr>
        <w:tc>
          <w:tcPr>
            <w:tcW w:w="10380" w:type="dxa"/>
            <w:gridSpan w:val="13"/>
            <w:shd w:val="clear" w:color="auto" w:fill="9E9142"/>
            <w:vAlign w:val="center"/>
          </w:tcPr>
          <w:p w14:paraId="4641DFAA" w14:textId="77777777" w:rsidR="00712618" w:rsidRPr="00712618" w:rsidRDefault="00712618" w:rsidP="00712618">
            <w:pPr>
              <w:adjustRightInd w:val="0"/>
              <w:spacing w:before="120" w:after="120" w:line="240" w:lineRule="auto"/>
              <w:jc w:val="center"/>
              <w:rPr>
                <w:rFonts w:ascii="Arial" w:hAnsi="Arial" w:cs="Arial"/>
                <w:b/>
                <w:bCs/>
                <w:color w:val="000000"/>
                <w:sz w:val="14"/>
                <w:szCs w:val="14"/>
              </w:rPr>
            </w:pPr>
            <w:r w:rsidRPr="00712618">
              <w:rPr>
                <w:rFonts w:ascii="Arial" w:hAnsi="Arial" w:cs="Arial"/>
                <w:b/>
                <w:color w:val="FFFFFF" w:themeColor="background1"/>
                <w:sz w:val="14"/>
                <w:szCs w:val="14"/>
              </w:rPr>
              <w:t>ÓRGANOS AUTÓNOMOS</w:t>
            </w:r>
            <w:r w:rsidRPr="00712618" w:rsidDel="004750CE">
              <w:rPr>
                <w:rFonts w:ascii="Arial" w:hAnsi="Arial" w:cs="Arial"/>
                <w:b/>
                <w:bCs/>
                <w:color w:val="FFFFFF" w:themeColor="background1"/>
                <w:sz w:val="14"/>
                <w:szCs w:val="14"/>
              </w:rPr>
              <w:t xml:space="preserve"> </w:t>
            </w:r>
          </w:p>
        </w:tc>
      </w:tr>
      <w:tr w:rsidR="00712618" w:rsidRPr="00712618" w14:paraId="41684BDD" w14:textId="77777777" w:rsidTr="009E04D5">
        <w:trPr>
          <w:gridAfter w:val="1"/>
          <w:wAfter w:w="17" w:type="dxa"/>
          <w:trHeight w:val="1032"/>
          <w:jc w:val="center"/>
        </w:trPr>
        <w:tc>
          <w:tcPr>
            <w:tcW w:w="562" w:type="dxa"/>
            <w:vAlign w:val="center"/>
          </w:tcPr>
          <w:p w14:paraId="53195022"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58</w:t>
            </w:r>
          </w:p>
        </w:tc>
        <w:tc>
          <w:tcPr>
            <w:tcW w:w="1134" w:type="dxa"/>
            <w:vAlign w:val="center"/>
          </w:tcPr>
          <w:p w14:paraId="0D241BF8"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Comisión de los Derechos Humanos del Estado de Quintana Roo</w:t>
            </w:r>
          </w:p>
        </w:tc>
        <w:tc>
          <w:tcPr>
            <w:tcW w:w="709" w:type="dxa"/>
            <w:vAlign w:val="center"/>
          </w:tcPr>
          <w:p w14:paraId="3D51B6F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425" w:type="dxa"/>
            <w:shd w:val="clear" w:color="auto" w:fill="D9D9D9" w:themeFill="background1" w:themeFillShade="D9"/>
            <w:vAlign w:val="center"/>
          </w:tcPr>
          <w:p w14:paraId="02E5BCB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6</w:t>
            </w:r>
          </w:p>
        </w:tc>
        <w:tc>
          <w:tcPr>
            <w:tcW w:w="851" w:type="dxa"/>
            <w:vAlign w:val="center"/>
          </w:tcPr>
          <w:p w14:paraId="4286544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09" w:type="dxa"/>
            <w:vAlign w:val="center"/>
          </w:tcPr>
          <w:p w14:paraId="365D36A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3105F73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4CE8BC7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1792D46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28" w:type="dxa"/>
            <w:vAlign w:val="center"/>
          </w:tcPr>
          <w:p w14:paraId="76EB75F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4218886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2713" w:type="dxa"/>
            <w:vAlign w:val="center"/>
          </w:tcPr>
          <w:p w14:paraId="42368A66"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promedian un 188.75% de avance; este indicador mide el número de acciones para la defensa de los derechos de la ciudadanía. Su última actualización corresponde al Censo Nacional de Derechos Humanos Estatal y Federal 2022 del INEGI. Los indicadores de gestión promedian un avance del 46.67%; se recibieron solicitudes de instituciones públicas para capacitación, las cuales fueron atendidas; En el caso de las orientaciones, expedientes de queja, atención por violaciones graves a derechos humanos y las recomendaciones, varían de acuerdo al acercamiento, solicitud de atención por parte de la población y/o víctimas de presuntas violaciones a los derechos humanos.</w:t>
            </w:r>
          </w:p>
        </w:tc>
      </w:tr>
      <w:tr w:rsidR="00712618" w:rsidRPr="00712618" w14:paraId="16A1AE93" w14:textId="77777777" w:rsidTr="009E04D5">
        <w:trPr>
          <w:gridAfter w:val="1"/>
          <w:wAfter w:w="17" w:type="dxa"/>
          <w:trHeight w:val="916"/>
          <w:jc w:val="center"/>
        </w:trPr>
        <w:tc>
          <w:tcPr>
            <w:tcW w:w="562" w:type="dxa"/>
            <w:vAlign w:val="center"/>
          </w:tcPr>
          <w:p w14:paraId="59332AD6"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lastRenderedPageBreak/>
              <w:t>59</w:t>
            </w:r>
          </w:p>
        </w:tc>
        <w:tc>
          <w:tcPr>
            <w:tcW w:w="1134" w:type="dxa"/>
            <w:vAlign w:val="center"/>
          </w:tcPr>
          <w:p w14:paraId="1AFF2D82"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Fiscalía General del Estado de Quintana Roo</w:t>
            </w:r>
          </w:p>
        </w:tc>
        <w:tc>
          <w:tcPr>
            <w:tcW w:w="709" w:type="dxa"/>
            <w:vAlign w:val="center"/>
          </w:tcPr>
          <w:p w14:paraId="4A819EE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69BAEDF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5</w:t>
            </w:r>
          </w:p>
        </w:tc>
        <w:tc>
          <w:tcPr>
            <w:tcW w:w="851" w:type="dxa"/>
            <w:vAlign w:val="center"/>
          </w:tcPr>
          <w:p w14:paraId="4348374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09" w:type="dxa"/>
            <w:vAlign w:val="center"/>
          </w:tcPr>
          <w:p w14:paraId="447EA0F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48F2510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131BCBA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5</w:t>
            </w:r>
          </w:p>
        </w:tc>
        <w:tc>
          <w:tcPr>
            <w:tcW w:w="689" w:type="dxa"/>
            <w:vAlign w:val="center"/>
          </w:tcPr>
          <w:p w14:paraId="2C6038B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28" w:type="dxa"/>
            <w:vAlign w:val="center"/>
          </w:tcPr>
          <w:p w14:paraId="026C415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0E1341F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2713" w:type="dxa"/>
            <w:vAlign w:val="center"/>
          </w:tcPr>
          <w:p w14:paraId="13D612F3"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presentan un promedio del 26.09%. El indicador de gestión representa un 84.65%, argumentado que corresponde a que no se alcanzaron el número de carpetas de investigación.</w:t>
            </w:r>
          </w:p>
        </w:tc>
      </w:tr>
      <w:tr w:rsidR="00712618" w:rsidRPr="00712618" w14:paraId="30B50196" w14:textId="77777777" w:rsidTr="009E04D5">
        <w:trPr>
          <w:gridAfter w:val="1"/>
          <w:wAfter w:w="17" w:type="dxa"/>
          <w:trHeight w:val="504"/>
          <w:jc w:val="center"/>
        </w:trPr>
        <w:tc>
          <w:tcPr>
            <w:tcW w:w="562" w:type="dxa"/>
            <w:vAlign w:val="center"/>
          </w:tcPr>
          <w:p w14:paraId="53B2FD04"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60</w:t>
            </w:r>
          </w:p>
        </w:tc>
        <w:tc>
          <w:tcPr>
            <w:tcW w:w="1134" w:type="dxa"/>
            <w:vAlign w:val="center"/>
          </w:tcPr>
          <w:p w14:paraId="14A16476"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de Acceso a la Información y Protección de Datos Personales de Quintana Roo</w:t>
            </w:r>
          </w:p>
        </w:tc>
        <w:tc>
          <w:tcPr>
            <w:tcW w:w="709" w:type="dxa"/>
            <w:vAlign w:val="center"/>
          </w:tcPr>
          <w:p w14:paraId="0E97CCD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709978D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4ABDC72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709" w:type="dxa"/>
            <w:vAlign w:val="center"/>
          </w:tcPr>
          <w:p w14:paraId="6D8E883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100CD71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57A5364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689" w:type="dxa"/>
            <w:vAlign w:val="center"/>
          </w:tcPr>
          <w:p w14:paraId="7820D56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28" w:type="dxa"/>
            <w:vAlign w:val="center"/>
          </w:tcPr>
          <w:p w14:paraId="1EA6C6E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7F2A401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2713" w:type="dxa"/>
            <w:vAlign w:val="center"/>
          </w:tcPr>
          <w:p w14:paraId="12E9DC4C"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De los indicadores estratégicos se establece un promedio de 223.67%: Para el ejercicio fiscal 2022 el Estado de Quintana Roo alcanzo la posición #16 de 32 Estados sin embargo esta cifra no resulta desfavorable para destacar el desempeño de la entidad</w:t>
            </w:r>
            <w:r w:rsidR="001376C7">
              <w:rPr>
                <w:rFonts w:ascii="Arial" w:hAnsi="Arial" w:cs="Arial"/>
                <w:sz w:val="14"/>
                <w:szCs w:val="14"/>
              </w:rPr>
              <w:t xml:space="preserve"> </w:t>
            </w:r>
            <w:r w:rsidRPr="00712618">
              <w:rPr>
                <w:rFonts w:ascii="Arial" w:hAnsi="Arial" w:cs="Arial"/>
                <w:sz w:val="14"/>
                <w:szCs w:val="14"/>
              </w:rPr>
              <w:t>con relación al ejercicio fiscal anterior.</w:t>
            </w:r>
          </w:p>
        </w:tc>
      </w:tr>
      <w:tr w:rsidR="00712618" w:rsidRPr="00712618" w14:paraId="616F5DC6" w14:textId="77777777" w:rsidTr="009E04D5">
        <w:trPr>
          <w:gridAfter w:val="1"/>
          <w:wAfter w:w="17" w:type="dxa"/>
          <w:trHeight w:val="2106"/>
          <w:jc w:val="center"/>
        </w:trPr>
        <w:tc>
          <w:tcPr>
            <w:tcW w:w="562" w:type="dxa"/>
            <w:vAlign w:val="center"/>
          </w:tcPr>
          <w:p w14:paraId="2B0AB741"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61</w:t>
            </w:r>
          </w:p>
        </w:tc>
        <w:tc>
          <w:tcPr>
            <w:tcW w:w="1134" w:type="dxa"/>
            <w:vAlign w:val="center"/>
          </w:tcPr>
          <w:p w14:paraId="5524F155"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Instituto Electoral de Quintana Roo </w:t>
            </w:r>
          </w:p>
        </w:tc>
        <w:tc>
          <w:tcPr>
            <w:tcW w:w="709" w:type="dxa"/>
            <w:vAlign w:val="center"/>
          </w:tcPr>
          <w:p w14:paraId="054B36F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3188DA4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6A2ABE3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04D1324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694" w:type="dxa"/>
            <w:vAlign w:val="center"/>
          </w:tcPr>
          <w:p w14:paraId="6883B5B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1FE0514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89" w:type="dxa"/>
            <w:vAlign w:val="center"/>
          </w:tcPr>
          <w:p w14:paraId="7B9BECE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28" w:type="dxa"/>
            <w:vAlign w:val="center"/>
          </w:tcPr>
          <w:p w14:paraId="27DC7CB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50AA2D4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2713" w:type="dxa"/>
            <w:vAlign w:val="center"/>
          </w:tcPr>
          <w:p w14:paraId="2B972B93"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establecen un porcentaje de avance del 135.62%. se estimaba menos participación ciudadana derivado a la pandemia de COVID-19, así como del porcentaje alcanzado de participación ciudadana de la Consulta Popular. No obstante, el día de la Jornada Electoral hubo una afluencia moderada de votantes.</w:t>
            </w:r>
          </w:p>
        </w:tc>
      </w:tr>
      <w:tr w:rsidR="00712618" w:rsidRPr="00712618" w14:paraId="554C0D65" w14:textId="77777777" w:rsidTr="009E04D5">
        <w:trPr>
          <w:gridAfter w:val="1"/>
          <w:wAfter w:w="17" w:type="dxa"/>
          <w:trHeight w:val="315"/>
          <w:jc w:val="center"/>
        </w:trPr>
        <w:tc>
          <w:tcPr>
            <w:tcW w:w="562" w:type="dxa"/>
            <w:vAlign w:val="center"/>
          </w:tcPr>
          <w:p w14:paraId="086D57B0"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62</w:t>
            </w:r>
          </w:p>
        </w:tc>
        <w:tc>
          <w:tcPr>
            <w:tcW w:w="1134" w:type="dxa"/>
            <w:vAlign w:val="center"/>
          </w:tcPr>
          <w:p w14:paraId="65C9BDD9"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Tribunal de Justicia Administrativa del Estado de Quintana Roo</w:t>
            </w:r>
          </w:p>
        </w:tc>
        <w:tc>
          <w:tcPr>
            <w:tcW w:w="709" w:type="dxa"/>
            <w:vAlign w:val="center"/>
          </w:tcPr>
          <w:p w14:paraId="07850F8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16B1F59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4426FD7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09" w:type="dxa"/>
            <w:vAlign w:val="center"/>
          </w:tcPr>
          <w:p w14:paraId="26D5A74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6D7E1BD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19FFD06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05EB585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28" w:type="dxa"/>
            <w:vAlign w:val="center"/>
          </w:tcPr>
          <w:p w14:paraId="30A8AF5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525A624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2713" w:type="dxa"/>
            <w:vAlign w:val="center"/>
          </w:tcPr>
          <w:p w14:paraId="707861C7"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presentan un promedio de avance del 135.93%; Dicho indicador corresponde a los resultados reflejados en la página oficial de índice de Desarrollo Democrático de México IDD-MEX; así como este indicador tiene como meta trimestral 390 sentencias emitidas sobre 780 asuntos radicados dando un porcentaje total para cumplimiento de 50.00.</w:t>
            </w:r>
            <w:r w:rsidR="001376C7">
              <w:rPr>
                <w:rFonts w:ascii="Arial" w:hAnsi="Arial" w:cs="Arial"/>
                <w:sz w:val="14"/>
                <w:szCs w:val="14"/>
              </w:rPr>
              <w:t xml:space="preserve"> </w:t>
            </w:r>
            <w:r w:rsidRPr="00712618">
              <w:rPr>
                <w:rFonts w:ascii="Arial" w:hAnsi="Arial" w:cs="Arial"/>
                <w:sz w:val="14"/>
                <w:szCs w:val="14"/>
              </w:rPr>
              <w:t>Los indicadores de gestión se obtuvieron un promedio de 64.61%;</w:t>
            </w:r>
            <w:r w:rsidR="001376C7">
              <w:rPr>
                <w:rFonts w:ascii="Arial" w:hAnsi="Arial" w:cs="Arial"/>
                <w:sz w:val="14"/>
                <w:szCs w:val="14"/>
              </w:rPr>
              <w:t xml:space="preserve"> </w:t>
            </w:r>
            <w:r w:rsidRPr="00712618">
              <w:rPr>
                <w:rFonts w:ascii="Arial" w:hAnsi="Arial" w:cs="Arial"/>
                <w:sz w:val="14"/>
                <w:szCs w:val="14"/>
              </w:rPr>
              <w:t>no se alcanzaron las metas respecto a sentencia emitidas contra asuntos radicados; no se alcanzaron los trámites por sentencias emitidas por faltas administrativas graves durante el ejercicio fiscal.</w:t>
            </w:r>
          </w:p>
        </w:tc>
      </w:tr>
      <w:tr w:rsidR="00712618" w:rsidRPr="00712618" w14:paraId="7AEC6C02" w14:textId="77777777" w:rsidTr="009E04D5">
        <w:trPr>
          <w:gridAfter w:val="1"/>
          <w:wAfter w:w="17" w:type="dxa"/>
          <w:trHeight w:val="415"/>
          <w:jc w:val="center"/>
        </w:trPr>
        <w:tc>
          <w:tcPr>
            <w:tcW w:w="562" w:type="dxa"/>
            <w:vAlign w:val="center"/>
          </w:tcPr>
          <w:p w14:paraId="61AAD081"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63</w:t>
            </w:r>
          </w:p>
        </w:tc>
        <w:tc>
          <w:tcPr>
            <w:tcW w:w="1134" w:type="dxa"/>
            <w:vAlign w:val="center"/>
          </w:tcPr>
          <w:p w14:paraId="710DC585"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Tribunal Electoral de Quintana Roo</w:t>
            </w:r>
          </w:p>
        </w:tc>
        <w:tc>
          <w:tcPr>
            <w:tcW w:w="709" w:type="dxa"/>
            <w:vAlign w:val="center"/>
          </w:tcPr>
          <w:p w14:paraId="385F654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3EBDD05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12EDF77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4E3A641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311FCA5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2BA20D4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02E3191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28" w:type="dxa"/>
            <w:vAlign w:val="center"/>
          </w:tcPr>
          <w:p w14:paraId="5D46036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61FCAEC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2713" w:type="dxa"/>
            <w:vAlign w:val="center"/>
          </w:tcPr>
          <w:p w14:paraId="35C8FF06"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El indicador estratégico a nivel Fin refleja un 71.42% de avance, ya que no se contaban con las cifras para el Ejercicio 2022, por lo que se toma en consideración las cifras el año 2021 en el cual el Estado de Quintana Roo. El indicador de gestión con un 77.27% de avance, ya que tiene como meta anual 26 actividades, se alcanzaron 5 de las 8 programadas, el porcentaje alcanzado es de 62.50%, esto en virtud de que al ser un año electoral se registraron mayor número de impugnaciones. </w:t>
            </w:r>
          </w:p>
        </w:tc>
      </w:tr>
      <w:tr w:rsidR="00712618" w:rsidRPr="00712618" w14:paraId="09459FD5" w14:textId="77777777" w:rsidTr="009E04D5">
        <w:trPr>
          <w:trHeight w:val="336"/>
          <w:jc w:val="center"/>
        </w:trPr>
        <w:tc>
          <w:tcPr>
            <w:tcW w:w="10380" w:type="dxa"/>
            <w:gridSpan w:val="13"/>
            <w:shd w:val="clear" w:color="auto" w:fill="9E9142"/>
            <w:vAlign w:val="center"/>
          </w:tcPr>
          <w:p w14:paraId="5AF878F8" w14:textId="77777777" w:rsidR="00712618" w:rsidRPr="00712618" w:rsidRDefault="00712618" w:rsidP="00712618">
            <w:pPr>
              <w:adjustRightInd w:val="0"/>
              <w:spacing w:before="120" w:after="120" w:line="240" w:lineRule="auto"/>
              <w:jc w:val="center"/>
              <w:rPr>
                <w:rFonts w:ascii="Arial" w:hAnsi="Arial" w:cs="Arial"/>
                <w:b/>
                <w:bCs/>
                <w:color w:val="000000"/>
                <w:sz w:val="14"/>
                <w:szCs w:val="14"/>
              </w:rPr>
            </w:pPr>
            <w:r w:rsidRPr="00712618">
              <w:rPr>
                <w:rFonts w:ascii="Arial" w:hAnsi="Arial" w:cs="Arial"/>
                <w:b/>
                <w:bCs/>
                <w:color w:val="FFFFFF" w:themeColor="background1"/>
                <w:sz w:val="14"/>
                <w:szCs w:val="14"/>
              </w:rPr>
              <w:t>AYUNTAMIENTOS</w:t>
            </w:r>
          </w:p>
        </w:tc>
      </w:tr>
      <w:tr w:rsidR="00712618" w:rsidRPr="00712618" w14:paraId="672C4EE4" w14:textId="77777777" w:rsidTr="009E04D5">
        <w:trPr>
          <w:gridAfter w:val="1"/>
          <w:wAfter w:w="17" w:type="dxa"/>
          <w:trHeight w:val="232"/>
          <w:jc w:val="center"/>
        </w:trPr>
        <w:tc>
          <w:tcPr>
            <w:tcW w:w="562" w:type="dxa"/>
            <w:vAlign w:val="center"/>
          </w:tcPr>
          <w:p w14:paraId="4F116AC5"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64</w:t>
            </w:r>
          </w:p>
        </w:tc>
        <w:tc>
          <w:tcPr>
            <w:tcW w:w="1134" w:type="dxa"/>
            <w:vAlign w:val="center"/>
          </w:tcPr>
          <w:p w14:paraId="6A39F0D7"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Ayuntamiento del Municipio de Bacalar</w:t>
            </w:r>
          </w:p>
        </w:tc>
        <w:tc>
          <w:tcPr>
            <w:tcW w:w="709" w:type="dxa"/>
            <w:vAlign w:val="center"/>
          </w:tcPr>
          <w:p w14:paraId="4BD949D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8</w:t>
            </w:r>
          </w:p>
        </w:tc>
        <w:tc>
          <w:tcPr>
            <w:tcW w:w="425" w:type="dxa"/>
            <w:shd w:val="clear" w:color="auto" w:fill="D9D9D9" w:themeFill="background1" w:themeFillShade="D9"/>
            <w:vAlign w:val="center"/>
          </w:tcPr>
          <w:p w14:paraId="69F1850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16</w:t>
            </w:r>
          </w:p>
        </w:tc>
        <w:tc>
          <w:tcPr>
            <w:tcW w:w="851" w:type="dxa"/>
            <w:vAlign w:val="center"/>
          </w:tcPr>
          <w:p w14:paraId="71886C6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19B37A9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1573D91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13</w:t>
            </w:r>
          </w:p>
        </w:tc>
        <w:tc>
          <w:tcPr>
            <w:tcW w:w="440" w:type="dxa"/>
            <w:shd w:val="clear" w:color="auto" w:fill="D9D9D9" w:themeFill="background1" w:themeFillShade="D9"/>
            <w:vAlign w:val="center"/>
          </w:tcPr>
          <w:p w14:paraId="185C0B1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25</w:t>
            </w:r>
          </w:p>
        </w:tc>
        <w:tc>
          <w:tcPr>
            <w:tcW w:w="689" w:type="dxa"/>
            <w:vAlign w:val="center"/>
          </w:tcPr>
          <w:p w14:paraId="1E2252F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9</w:t>
            </w:r>
          </w:p>
        </w:tc>
        <w:tc>
          <w:tcPr>
            <w:tcW w:w="728" w:type="dxa"/>
            <w:vAlign w:val="center"/>
          </w:tcPr>
          <w:p w14:paraId="25D6816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09" w:type="dxa"/>
            <w:vAlign w:val="center"/>
          </w:tcPr>
          <w:p w14:paraId="312E85C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14</w:t>
            </w:r>
          </w:p>
        </w:tc>
        <w:tc>
          <w:tcPr>
            <w:tcW w:w="2713" w:type="dxa"/>
            <w:vAlign w:val="center"/>
          </w:tcPr>
          <w:p w14:paraId="60CE58AA"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El indicador estratégico a nivel fin presenta un 55.00% de avance; se programó al año 20 y solo realizo 11, por la falta de ministración de recursos. Los indicadores estratégicos presentan un avance del </w:t>
            </w:r>
            <w:r w:rsidRPr="00712618">
              <w:rPr>
                <w:rFonts w:ascii="Arial" w:hAnsi="Arial" w:cs="Arial"/>
                <w:sz w:val="14"/>
                <w:szCs w:val="14"/>
              </w:rPr>
              <w:lastRenderedPageBreak/>
              <w:t>91.21%, no se alcanzó la meta de reforestación; la certificación de</w:t>
            </w:r>
            <w:r w:rsidR="001376C7">
              <w:rPr>
                <w:rFonts w:ascii="Arial" w:hAnsi="Arial" w:cs="Arial"/>
                <w:sz w:val="14"/>
                <w:szCs w:val="14"/>
              </w:rPr>
              <w:t xml:space="preserve"> </w:t>
            </w:r>
            <w:r w:rsidRPr="00712618">
              <w:rPr>
                <w:rFonts w:ascii="Arial" w:hAnsi="Arial" w:cs="Arial"/>
                <w:sz w:val="14"/>
                <w:szCs w:val="14"/>
              </w:rPr>
              <w:t>policías; la obtención de CUP programados; no se terminaron de regular todos los reglamentos que se tenían para este ejercicio; así como se rebasó la meta sobre la impartición de cursos sobre educación ambiental.</w:t>
            </w:r>
          </w:p>
        </w:tc>
      </w:tr>
      <w:tr w:rsidR="00712618" w:rsidRPr="00712618" w14:paraId="39BED1E3" w14:textId="77777777" w:rsidTr="009E04D5">
        <w:trPr>
          <w:gridAfter w:val="1"/>
          <w:wAfter w:w="17" w:type="dxa"/>
          <w:trHeight w:val="239"/>
          <w:jc w:val="center"/>
        </w:trPr>
        <w:tc>
          <w:tcPr>
            <w:tcW w:w="562" w:type="dxa"/>
            <w:vAlign w:val="center"/>
          </w:tcPr>
          <w:p w14:paraId="29DB7891"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65</w:t>
            </w:r>
          </w:p>
        </w:tc>
        <w:tc>
          <w:tcPr>
            <w:tcW w:w="1134" w:type="dxa"/>
            <w:vAlign w:val="center"/>
          </w:tcPr>
          <w:p w14:paraId="63AD1031"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Ayuntamiento del Municipio de Benito Juárez </w:t>
            </w:r>
          </w:p>
        </w:tc>
        <w:tc>
          <w:tcPr>
            <w:tcW w:w="709" w:type="dxa"/>
            <w:vAlign w:val="center"/>
          </w:tcPr>
          <w:p w14:paraId="0153068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11</w:t>
            </w:r>
          </w:p>
        </w:tc>
        <w:tc>
          <w:tcPr>
            <w:tcW w:w="425" w:type="dxa"/>
            <w:shd w:val="clear" w:color="auto" w:fill="D9D9D9" w:themeFill="background1" w:themeFillShade="D9"/>
            <w:vAlign w:val="center"/>
          </w:tcPr>
          <w:p w14:paraId="692D99D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35</w:t>
            </w:r>
          </w:p>
        </w:tc>
        <w:tc>
          <w:tcPr>
            <w:tcW w:w="851" w:type="dxa"/>
            <w:vAlign w:val="center"/>
          </w:tcPr>
          <w:p w14:paraId="1573CD8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14</w:t>
            </w:r>
          </w:p>
        </w:tc>
        <w:tc>
          <w:tcPr>
            <w:tcW w:w="709" w:type="dxa"/>
            <w:vAlign w:val="center"/>
          </w:tcPr>
          <w:p w14:paraId="16A0CC7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7</w:t>
            </w:r>
          </w:p>
        </w:tc>
        <w:tc>
          <w:tcPr>
            <w:tcW w:w="694" w:type="dxa"/>
            <w:vAlign w:val="center"/>
          </w:tcPr>
          <w:p w14:paraId="31D01CC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14</w:t>
            </w:r>
          </w:p>
        </w:tc>
        <w:tc>
          <w:tcPr>
            <w:tcW w:w="440" w:type="dxa"/>
            <w:shd w:val="clear" w:color="auto" w:fill="D9D9D9" w:themeFill="background1" w:themeFillShade="D9"/>
            <w:vAlign w:val="center"/>
          </w:tcPr>
          <w:p w14:paraId="17ED300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115</w:t>
            </w:r>
          </w:p>
        </w:tc>
        <w:tc>
          <w:tcPr>
            <w:tcW w:w="689" w:type="dxa"/>
            <w:vAlign w:val="center"/>
          </w:tcPr>
          <w:p w14:paraId="01582A5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61</w:t>
            </w:r>
          </w:p>
        </w:tc>
        <w:tc>
          <w:tcPr>
            <w:tcW w:w="728" w:type="dxa"/>
            <w:vAlign w:val="center"/>
          </w:tcPr>
          <w:p w14:paraId="2E5C8B5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10</w:t>
            </w:r>
          </w:p>
        </w:tc>
        <w:tc>
          <w:tcPr>
            <w:tcW w:w="709" w:type="dxa"/>
            <w:vAlign w:val="center"/>
          </w:tcPr>
          <w:p w14:paraId="2F59821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44</w:t>
            </w:r>
          </w:p>
        </w:tc>
        <w:tc>
          <w:tcPr>
            <w:tcW w:w="2713" w:type="dxa"/>
            <w:vAlign w:val="center"/>
          </w:tcPr>
          <w:p w14:paraId="17E14FCB"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a nivel Fin con un 122.02% y 81.37%, no alcanzaron la meta la entidad no presenta justificación. A nivel Propósito con un promedio de 162.73% y 75.13%, derivado a las diversas actividades en las que interviene la Contraloría Municipal, correspondientes a verificaciones y revisiones del cumplimiento normativo por parte de las Dependencias y Entidades de la Administración Pública Municipal; la entidad no presenta justificación sobre la meta anual. Los indicadores de gestión con un promedio de 221.00%, debido a que al buen funcionamiento de las áreas y en la atención a la ciudadanía; se logró rebasar en notificaciones del rezago de impuesto predial y en multas federales y municipales no fiscales cobradas; se capacitaron a 9,936 servidores públicos de 1,500 que estaban programados a capacitar; se realizaron un total de 3,443 servicios de sistemas de información de 2,806 programados en el 2022; se dieron 1466 atenciones médicas; se superó con 54 acciones de profesionalización sobre herramientas de mejora y comercialización de productos para el desarrollo rural y las consultas jurídicas al personal y actualización del marco normativo de la Secretaria de Seguridad Pública y Tránsito de Benito Juárez; se lograron 1,888 intervenciones de 1,117 actividades, con respecto a la meta anual.</w:t>
            </w:r>
            <w:r w:rsidR="001376C7">
              <w:rPr>
                <w:rFonts w:ascii="Arial" w:hAnsi="Arial" w:cs="Arial"/>
                <w:sz w:val="14"/>
                <w:szCs w:val="14"/>
              </w:rPr>
              <w:t xml:space="preserve">                                     </w:t>
            </w:r>
            <w:r w:rsidRPr="00712618">
              <w:rPr>
                <w:rFonts w:ascii="Arial" w:hAnsi="Arial" w:cs="Arial"/>
                <w:sz w:val="14"/>
                <w:szCs w:val="14"/>
              </w:rPr>
              <w:t xml:space="preserve"> Los indicadores de gestión con un promedio de 63.15%, debido a que la información en los portales (Municipal y Nacional) avanzan en su actualización, lo que ha permitido que se generen menos solicitudes de información; la participación ciudadana, de las instituciones Gubernamentales y las OSC´S., para la entrega de apoyos a los grupos vulnerables del Municipio de Benito Juárez no fue la programada;</w:t>
            </w:r>
            <w:r w:rsidR="001376C7">
              <w:rPr>
                <w:rFonts w:ascii="Arial" w:hAnsi="Arial" w:cs="Arial"/>
                <w:sz w:val="14"/>
                <w:szCs w:val="14"/>
              </w:rPr>
              <w:t xml:space="preserve"> </w:t>
            </w:r>
            <w:r w:rsidRPr="00712618">
              <w:rPr>
                <w:rFonts w:ascii="Arial" w:hAnsi="Arial" w:cs="Arial"/>
                <w:sz w:val="14"/>
                <w:szCs w:val="14"/>
              </w:rPr>
              <w:t>se logró cumplir con el suministro de 7,039 recursos materiales y servicios de 8,815 programados; y la capacitación inicial, continúa y especializada, lograron realizar 1,313 actividades de 2,240 programadas como meta anual.</w:t>
            </w:r>
            <w:r w:rsidR="001376C7">
              <w:rPr>
                <w:rFonts w:ascii="Arial" w:hAnsi="Arial" w:cs="Arial"/>
                <w:sz w:val="14"/>
                <w:szCs w:val="14"/>
              </w:rPr>
              <w:t xml:space="preserve">                                  </w:t>
            </w:r>
          </w:p>
        </w:tc>
      </w:tr>
      <w:tr w:rsidR="00712618" w:rsidRPr="00712618" w14:paraId="7DC873A7" w14:textId="77777777" w:rsidTr="009E04D5">
        <w:trPr>
          <w:gridAfter w:val="1"/>
          <w:wAfter w:w="17" w:type="dxa"/>
          <w:trHeight w:val="117"/>
          <w:jc w:val="center"/>
        </w:trPr>
        <w:tc>
          <w:tcPr>
            <w:tcW w:w="562" w:type="dxa"/>
            <w:vAlign w:val="center"/>
          </w:tcPr>
          <w:p w14:paraId="6886B6F5"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66</w:t>
            </w:r>
          </w:p>
        </w:tc>
        <w:tc>
          <w:tcPr>
            <w:tcW w:w="1134" w:type="dxa"/>
            <w:vAlign w:val="center"/>
          </w:tcPr>
          <w:p w14:paraId="1325D416"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Ayuntamiento del Municipio de Cozumel</w:t>
            </w:r>
          </w:p>
        </w:tc>
        <w:tc>
          <w:tcPr>
            <w:tcW w:w="709" w:type="dxa"/>
            <w:vAlign w:val="center"/>
          </w:tcPr>
          <w:p w14:paraId="2D4605D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12</w:t>
            </w:r>
          </w:p>
        </w:tc>
        <w:tc>
          <w:tcPr>
            <w:tcW w:w="425" w:type="dxa"/>
            <w:shd w:val="clear" w:color="auto" w:fill="D9D9D9" w:themeFill="background1" w:themeFillShade="D9"/>
            <w:vAlign w:val="center"/>
          </w:tcPr>
          <w:p w14:paraId="725BE02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24</w:t>
            </w:r>
          </w:p>
        </w:tc>
        <w:tc>
          <w:tcPr>
            <w:tcW w:w="851" w:type="dxa"/>
            <w:vAlign w:val="center"/>
          </w:tcPr>
          <w:p w14:paraId="49B21A9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8</w:t>
            </w:r>
          </w:p>
        </w:tc>
        <w:tc>
          <w:tcPr>
            <w:tcW w:w="709" w:type="dxa"/>
            <w:vAlign w:val="center"/>
          </w:tcPr>
          <w:p w14:paraId="50B3138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0100375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16</w:t>
            </w:r>
          </w:p>
        </w:tc>
        <w:tc>
          <w:tcPr>
            <w:tcW w:w="440" w:type="dxa"/>
            <w:shd w:val="clear" w:color="auto" w:fill="D9D9D9" w:themeFill="background1" w:themeFillShade="D9"/>
            <w:vAlign w:val="center"/>
          </w:tcPr>
          <w:p w14:paraId="0058120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29</w:t>
            </w:r>
          </w:p>
        </w:tc>
        <w:tc>
          <w:tcPr>
            <w:tcW w:w="689" w:type="dxa"/>
            <w:vAlign w:val="center"/>
          </w:tcPr>
          <w:p w14:paraId="4DB7341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19</w:t>
            </w:r>
          </w:p>
        </w:tc>
        <w:tc>
          <w:tcPr>
            <w:tcW w:w="728" w:type="dxa"/>
            <w:vAlign w:val="center"/>
          </w:tcPr>
          <w:p w14:paraId="0856FEA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0C74575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9</w:t>
            </w:r>
          </w:p>
        </w:tc>
        <w:tc>
          <w:tcPr>
            <w:tcW w:w="2713" w:type="dxa"/>
            <w:vAlign w:val="center"/>
          </w:tcPr>
          <w:p w14:paraId="66484693"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Los indicadores estratégicos reflejan 0.00% de avance; se programa una meta de cumplimiento trianual, por lo que se espera que en el primer trimestre del siguiente periodo se cuente con la información correspondiente a este indicador; este indicador corresponde a un reporte anual emitido por SEDETUR, el </w:t>
            </w:r>
            <w:r w:rsidRPr="00712618">
              <w:rPr>
                <w:rFonts w:ascii="Arial" w:hAnsi="Arial" w:cs="Arial"/>
                <w:sz w:val="14"/>
                <w:szCs w:val="14"/>
              </w:rPr>
              <w:lastRenderedPageBreak/>
              <w:t xml:space="preserve">cual no se había publicado; Los indicadores de gestión reflejan un promedio de 190.07% de avance; la meta establecida este año fue de atender a 1200 personas, se logró atender a un total de 1878, debido al interés que la población tuvo a las jornadas de salud que se programaron durante el año. Se rebasa la meta en las pláticas de Educación Ambiental y de Protección a la fauna, esta acción se lleva a cabo en todos los niveles educativos de la isla de Cozumel. El indicador de gestión con un promedio del 33.25% de avance, la entidad comenta que no se cumple con la meta por falta de personal y cambio del personal de las áreas por las que no se pudo realizar; no se logra cumplir con la actividad de este indicador, debido a que las unidades administrativas no reportaron actividad. </w:t>
            </w:r>
          </w:p>
        </w:tc>
      </w:tr>
      <w:tr w:rsidR="00712618" w:rsidRPr="00712618" w14:paraId="2EC9EACC" w14:textId="77777777" w:rsidTr="009E04D5">
        <w:trPr>
          <w:gridAfter w:val="1"/>
          <w:wAfter w:w="17" w:type="dxa"/>
          <w:trHeight w:val="674"/>
          <w:jc w:val="center"/>
        </w:trPr>
        <w:tc>
          <w:tcPr>
            <w:tcW w:w="562" w:type="dxa"/>
            <w:vAlign w:val="center"/>
          </w:tcPr>
          <w:p w14:paraId="0E09D059"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67</w:t>
            </w:r>
          </w:p>
        </w:tc>
        <w:tc>
          <w:tcPr>
            <w:tcW w:w="1134" w:type="dxa"/>
            <w:vAlign w:val="center"/>
          </w:tcPr>
          <w:p w14:paraId="298A916B"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Ayuntamiento del Municipio de Felipe Carrillo Puerto</w:t>
            </w:r>
          </w:p>
        </w:tc>
        <w:tc>
          <w:tcPr>
            <w:tcW w:w="709" w:type="dxa"/>
            <w:vAlign w:val="center"/>
          </w:tcPr>
          <w:p w14:paraId="43F97A5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8</w:t>
            </w:r>
          </w:p>
        </w:tc>
        <w:tc>
          <w:tcPr>
            <w:tcW w:w="425" w:type="dxa"/>
            <w:shd w:val="clear" w:color="auto" w:fill="D9D9D9" w:themeFill="background1" w:themeFillShade="D9"/>
            <w:vAlign w:val="center"/>
          </w:tcPr>
          <w:p w14:paraId="54D7CFA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16</w:t>
            </w:r>
          </w:p>
        </w:tc>
        <w:tc>
          <w:tcPr>
            <w:tcW w:w="851" w:type="dxa"/>
            <w:vAlign w:val="center"/>
          </w:tcPr>
          <w:p w14:paraId="7645DDE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7</w:t>
            </w:r>
          </w:p>
        </w:tc>
        <w:tc>
          <w:tcPr>
            <w:tcW w:w="709" w:type="dxa"/>
            <w:vAlign w:val="center"/>
          </w:tcPr>
          <w:p w14:paraId="715FF05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0895183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9</w:t>
            </w:r>
          </w:p>
        </w:tc>
        <w:tc>
          <w:tcPr>
            <w:tcW w:w="440" w:type="dxa"/>
            <w:shd w:val="clear" w:color="auto" w:fill="D9D9D9" w:themeFill="background1" w:themeFillShade="D9"/>
            <w:vAlign w:val="center"/>
          </w:tcPr>
          <w:p w14:paraId="5ACE0C1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37</w:t>
            </w:r>
          </w:p>
        </w:tc>
        <w:tc>
          <w:tcPr>
            <w:tcW w:w="689" w:type="dxa"/>
            <w:vAlign w:val="center"/>
          </w:tcPr>
          <w:p w14:paraId="2DB34EC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11</w:t>
            </w:r>
          </w:p>
        </w:tc>
        <w:tc>
          <w:tcPr>
            <w:tcW w:w="728" w:type="dxa"/>
            <w:vAlign w:val="center"/>
          </w:tcPr>
          <w:p w14:paraId="52E1585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2A07091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26</w:t>
            </w:r>
          </w:p>
        </w:tc>
        <w:tc>
          <w:tcPr>
            <w:tcW w:w="2713" w:type="dxa"/>
            <w:vAlign w:val="center"/>
          </w:tcPr>
          <w:p w14:paraId="6AF40753"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Los indicadores de gestión presentan un promedio de avance del 46.57%. No se tiene la información debido a que no se ha publicado el informe de pobreza correspondiente al 2023. Se realizaron actividades que no estaban programadas. </w:t>
            </w:r>
          </w:p>
        </w:tc>
      </w:tr>
      <w:tr w:rsidR="00712618" w:rsidRPr="00712618" w14:paraId="65F3A21F" w14:textId="77777777" w:rsidTr="009E04D5">
        <w:trPr>
          <w:gridAfter w:val="1"/>
          <w:wAfter w:w="17" w:type="dxa"/>
          <w:trHeight w:val="623"/>
          <w:jc w:val="center"/>
        </w:trPr>
        <w:tc>
          <w:tcPr>
            <w:tcW w:w="562" w:type="dxa"/>
            <w:vAlign w:val="center"/>
          </w:tcPr>
          <w:p w14:paraId="13416077"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68</w:t>
            </w:r>
          </w:p>
        </w:tc>
        <w:tc>
          <w:tcPr>
            <w:tcW w:w="1134" w:type="dxa"/>
            <w:vAlign w:val="center"/>
          </w:tcPr>
          <w:p w14:paraId="4E1E6C3A"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Ayuntamiento del Municipio de Isla Mujeres</w:t>
            </w:r>
          </w:p>
        </w:tc>
        <w:tc>
          <w:tcPr>
            <w:tcW w:w="709" w:type="dxa"/>
            <w:vAlign w:val="center"/>
          </w:tcPr>
          <w:p w14:paraId="002AD35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9</w:t>
            </w:r>
          </w:p>
        </w:tc>
        <w:tc>
          <w:tcPr>
            <w:tcW w:w="425" w:type="dxa"/>
            <w:shd w:val="clear" w:color="auto" w:fill="D9D9D9" w:themeFill="background1" w:themeFillShade="D9"/>
            <w:vAlign w:val="center"/>
          </w:tcPr>
          <w:p w14:paraId="05FAD4D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18</w:t>
            </w:r>
          </w:p>
        </w:tc>
        <w:tc>
          <w:tcPr>
            <w:tcW w:w="851" w:type="dxa"/>
            <w:vAlign w:val="center"/>
          </w:tcPr>
          <w:p w14:paraId="02C468A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9</w:t>
            </w:r>
          </w:p>
        </w:tc>
        <w:tc>
          <w:tcPr>
            <w:tcW w:w="709" w:type="dxa"/>
            <w:vAlign w:val="center"/>
          </w:tcPr>
          <w:p w14:paraId="43F0362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94" w:type="dxa"/>
            <w:vAlign w:val="center"/>
          </w:tcPr>
          <w:p w14:paraId="715B765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6</w:t>
            </w:r>
          </w:p>
        </w:tc>
        <w:tc>
          <w:tcPr>
            <w:tcW w:w="440" w:type="dxa"/>
            <w:shd w:val="clear" w:color="auto" w:fill="D9D9D9" w:themeFill="background1" w:themeFillShade="D9"/>
            <w:vAlign w:val="center"/>
          </w:tcPr>
          <w:p w14:paraId="5CD8E75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37</w:t>
            </w:r>
          </w:p>
        </w:tc>
        <w:tc>
          <w:tcPr>
            <w:tcW w:w="689" w:type="dxa"/>
            <w:vAlign w:val="center"/>
          </w:tcPr>
          <w:p w14:paraId="082EC8F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11</w:t>
            </w:r>
          </w:p>
        </w:tc>
        <w:tc>
          <w:tcPr>
            <w:tcW w:w="728" w:type="dxa"/>
            <w:vAlign w:val="center"/>
          </w:tcPr>
          <w:p w14:paraId="05DFC07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09" w:type="dxa"/>
            <w:vAlign w:val="center"/>
          </w:tcPr>
          <w:p w14:paraId="73E637F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23</w:t>
            </w:r>
          </w:p>
        </w:tc>
        <w:tc>
          <w:tcPr>
            <w:tcW w:w="2713" w:type="dxa"/>
            <w:vAlign w:val="center"/>
          </w:tcPr>
          <w:p w14:paraId="61FDF02C"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El Ayuntamiento del Municipio de Isla Mujeres no presenta justificaciones de las metas anuales.</w:t>
            </w:r>
          </w:p>
        </w:tc>
      </w:tr>
      <w:tr w:rsidR="00712618" w:rsidRPr="00712618" w14:paraId="0E94421C" w14:textId="77777777" w:rsidTr="009E04D5">
        <w:trPr>
          <w:gridAfter w:val="1"/>
          <w:wAfter w:w="17" w:type="dxa"/>
          <w:trHeight w:val="816"/>
          <w:jc w:val="center"/>
        </w:trPr>
        <w:tc>
          <w:tcPr>
            <w:tcW w:w="562" w:type="dxa"/>
            <w:vAlign w:val="center"/>
          </w:tcPr>
          <w:p w14:paraId="4E9F6CCE"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69</w:t>
            </w:r>
          </w:p>
        </w:tc>
        <w:tc>
          <w:tcPr>
            <w:tcW w:w="1134" w:type="dxa"/>
            <w:vAlign w:val="center"/>
          </w:tcPr>
          <w:p w14:paraId="551E0A1A"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Ayuntamiento del Municipio de José María Morelos</w:t>
            </w:r>
          </w:p>
        </w:tc>
        <w:tc>
          <w:tcPr>
            <w:tcW w:w="709" w:type="dxa"/>
            <w:vAlign w:val="center"/>
          </w:tcPr>
          <w:p w14:paraId="7C767D87" w14:textId="77777777" w:rsidR="00712618" w:rsidRPr="00712618" w:rsidRDefault="00712618" w:rsidP="00712618">
            <w:pPr>
              <w:spacing w:before="120" w:after="120" w:line="240" w:lineRule="auto"/>
              <w:jc w:val="center"/>
              <w:rPr>
                <w:rFonts w:ascii="Arial" w:hAnsi="Arial" w:cs="Arial"/>
                <w:sz w:val="14"/>
                <w:szCs w:val="14"/>
              </w:rPr>
            </w:pPr>
          </w:p>
        </w:tc>
        <w:tc>
          <w:tcPr>
            <w:tcW w:w="425" w:type="dxa"/>
            <w:shd w:val="clear" w:color="auto" w:fill="D9D9D9" w:themeFill="background1" w:themeFillShade="D9"/>
            <w:vAlign w:val="center"/>
          </w:tcPr>
          <w:p w14:paraId="68BAAE6F" w14:textId="77777777" w:rsidR="00712618" w:rsidRPr="00712618" w:rsidRDefault="00712618" w:rsidP="00712618">
            <w:pPr>
              <w:spacing w:before="120" w:after="120" w:line="240" w:lineRule="auto"/>
              <w:jc w:val="center"/>
              <w:rPr>
                <w:rFonts w:ascii="Arial" w:hAnsi="Arial" w:cs="Arial"/>
                <w:sz w:val="14"/>
                <w:szCs w:val="14"/>
              </w:rPr>
            </w:pPr>
          </w:p>
        </w:tc>
        <w:tc>
          <w:tcPr>
            <w:tcW w:w="851" w:type="dxa"/>
            <w:vAlign w:val="center"/>
          </w:tcPr>
          <w:p w14:paraId="5CC2C50B" w14:textId="77777777" w:rsidR="00712618" w:rsidRPr="00712618" w:rsidRDefault="00712618" w:rsidP="00712618">
            <w:pPr>
              <w:spacing w:before="120" w:after="120" w:line="240" w:lineRule="auto"/>
              <w:jc w:val="center"/>
              <w:rPr>
                <w:rFonts w:ascii="Arial" w:hAnsi="Arial" w:cs="Arial"/>
                <w:sz w:val="14"/>
                <w:szCs w:val="14"/>
              </w:rPr>
            </w:pPr>
          </w:p>
        </w:tc>
        <w:tc>
          <w:tcPr>
            <w:tcW w:w="709" w:type="dxa"/>
            <w:vAlign w:val="center"/>
          </w:tcPr>
          <w:p w14:paraId="370E2657" w14:textId="77777777" w:rsidR="00712618" w:rsidRPr="00712618" w:rsidRDefault="00712618" w:rsidP="00712618">
            <w:pPr>
              <w:spacing w:before="120" w:after="120" w:line="240" w:lineRule="auto"/>
              <w:jc w:val="center"/>
              <w:rPr>
                <w:rFonts w:ascii="Arial" w:hAnsi="Arial" w:cs="Arial"/>
                <w:sz w:val="14"/>
                <w:szCs w:val="14"/>
              </w:rPr>
            </w:pPr>
          </w:p>
        </w:tc>
        <w:tc>
          <w:tcPr>
            <w:tcW w:w="694" w:type="dxa"/>
            <w:vAlign w:val="center"/>
          </w:tcPr>
          <w:p w14:paraId="34E1AE4C" w14:textId="77777777" w:rsidR="00712618" w:rsidRPr="00712618" w:rsidRDefault="00712618" w:rsidP="00712618">
            <w:pPr>
              <w:spacing w:before="120" w:after="120" w:line="240" w:lineRule="auto"/>
              <w:jc w:val="center"/>
              <w:rPr>
                <w:rFonts w:ascii="Arial" w:hAnsi="Arial" w:cs="Arial"/>
                <w:sz w:val="14"/>
                <w:szCs w:val="14"/>
              </w:rPr>
            </w:pPr>
          </w:p>
        </w:tc>
        <w:tc>
          <w:tcPr>
            <w:tcW w:w="440" w:type="dxa"/>
            <w:shd w:val="clear" w:color="auto" w:fill="D9D9D9" w:themeFill="background1" w:themeFillShade="D9"/>
            <w:vAlign w:val="center"/>
          </w:tcPr>
          <w:p w14:paraId="50E87984" w14:textId="77777777" w:rsidR="00712618" w:rsidRPr="00712618" w:rsidRDefault="00712618" w:rsidP="00712618">
            <w:pPr>
              <w:spacing w:before="120" w:after="120" w:line="240" w:lineRule="auto"/>
              <w:jc w:val="center"/>
              <w:rPr>
                <w:rFonts w:ascii="Arial" w:hAnsi="Arial" w:cs="Arial"/>
                <w:sz w:val="14"/>
                <w:szCs w:val="14"/>
              </w:rPr>
            </w:pPr>
          </w:p>
        </w:tc>
        <w:tc>
          <w:tcPr>
            <w:tcW w:w="689" w:type="dxa"/>
            <w:vAlign w:val="center"/>
          </w:tcPr>
          <w:p w14:paraId="018AA9FA" w14:textId="77777777" w:rsidR="00712618" w:rsidRPr="00712618" w:rsidRDefault="00712618" w:rsidP="00712618">
            <w:pPr>
              <w:spacing w:before="120" w:after="120" w:line="240" w:lineRule="auto"/>
              <w:jc w:val="center"/>
              <w:rPr>
                <w:rFonts w:ascii="Arial" w:hAnsi="Arial" w:cs="Arial"/>
                <w:sz w:val="14"/>
                <w:szCs w:val="14"/>
              </w:rPr>
            </w:pPr>
          </w:p>
        </w:tc>
        <w:tc>
          <w:tcPr>
            <w:tcW w:w="728" w:type="dxa"/>
            <w:vAlign w:val="center"/>
          </w:tcPr>
          <w:p w14:paraId="3FA79A50" w14:textId="77777777" w:rsidR="00712618" w:rsidRPr="00712618" w:rsidRDefault="00712618" w:rsidP="00712618">
            <w:pPr>
              <w:spacing w:before="120" w:after="120" w:line="240" w:lineRule="auto"/>
              <w:jc w:val="center"/>
              <w:rPr>
                <w:rFonts w:ascii="Arial" w:hAnsi="Arial" w:cs="Arial"/>
                <w:sz w:val="14"/>
                <w:szCs w:val="14"/>
              </w:rPr>
            </w:pPr>
          </w:p>
        </w:tc>
        <w:tc>
          <w:tcPr>
            <w:tcW w:w="709" w:type="dxa"/>
            <w:vAlign w:val="center"/>
          </w:tcPr>
          <w:p w14:paraId="1BD7B546" w14:textId="77777777" w:rsidR="00712618" w:rsidRPr="00712618" w:rsidRDefault="00712618" w:rsidP="00712618">
            <w:pPr>
              <w:spacing w:before="120" w:after="120" w:line="240" w:lineRule="auto"/>
              <w:jc w:val="center"/>
              <w:rPr>
                <w:rFonts w:ascii="Arial" w:hAnsi="Arial" w:cs="Arial"/>
                <w:sz w:val="14"/>
                <w:szCs w:val="14"/>
              </w:rPr>
            </w:pPr>
          </w:p>
        </w:tc>
        <w:tc>
          <w:tcPr>
            <w:tcW w:w="2713" w:type="dxa"/>
            <w:vAlign w:val="center"/>
          </w:tcPr>
          <w:p w14:paraId="3D5204F0" w14:textId="77777777" w:rsidR="00712618" w:rsidRPr="00712618" w:rsidRDefault="00712618" w:rsidP="00712618">
            <w:pPr>
              <w:spacing w:before="120" w:after="120" w:line="240" w:lineRule="auto"/>
              <w:jc w:val="both"/>
              <w:rPr>
                <w:rFonts w:ascii="Arial" w:hAnsi="Arial" w:cs="Arial"/>
                <w:sz w:val="14"/>
                <w:szCs w:val="14"/>
              </w:rPr>
            </w:pPr>
            <w:r w:rsidRPr="00712618">
              <w:rPr>
                <w:rFonts w:ascii="Arial" w:hAnsi="Arial" w:cs="Arial"/>
                <w:sz w:val="14"/>
                <w:szCs w:val="14"/>
              </w:rPr>
              <w:t>La entidad presenta información incompleta para realizar el análisis durante todo el Ejercicio Fiscal.</w:t>
            </w:r>
          </w:p>
        </w:tc>
      </w:tr>
      <w:tr w:rsidR="00712618" w:rsidRPr="00712618" w14:paraId="0D7B8D61" w14:textId="77777777" w:rsidTr="009E04D5">
        <w:trPr>
          <w:gridAfter w:val="1"/>
          <w:wAfter w:w="17" w:type="dxa"/>
          <w:trHeight w:val="457"/>
          <w:jc w:val="center"/>
        </w:trPr>
        <w:tc>
          <w:tcPr>
            <w:tcW w:w="562" w:type="dxa"/>
            <w:vAlign w:val="center"/>
          </w:tcPr>
          <w:p w14:paraId="68B8D442"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70</w:t>
            </w:r>
          </w:p>
        </w:tc>
        <w:tc>
          <w:tcPr>
            <w:tcW w:w="1134" w:type="dxa"/>
            <w:vAlign w:val="center"/>
          </w:tcPr>
          <w:p w14:paraId="15B3C8A3"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Ayuntamiento del Municipio de Lázaro Cárdenas</w:t>
            </w:r>
          </w:p>
        </w:tc>
        <w:tc>
          <w:tcPr>
            <w:tcW w:w="709" w:type="dxa"/>
            <w:vAlign w:val="center"/>
          </w:tcPr>
          <w:p w14:paraId="2D24D4D5"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425" w:type="dxa"/>
            <w:shd w:val="clear" w:color="auto" w:fill="D9D9D9" w:themeFill="background1" w:themeFillShade="D9"/>
            <w:vAlign w:val="center"/>
          </w:tcPr>
          <w:p w14:paraId="7905AB05"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851" w:type="dxa"/>
            <w:vAlign w:val="center"/>
          </w:tcPr>
          <w:p w14:paraId="697ECF22"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709" w:type="dxa"/>
            <w:vAlign w:val="center"/>
          </w:tcPr>
          <w:p w14:paraId="40DD2FFB"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694" w:type="dxa"/>
            <w:vAlign w:val="center"/>
          </w:tcPr>
          <w:p w14:paraId="008687DB"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440" w:type="dxa"/>
            <w:shd w:val="clear" w:color="auto" w:fill="D9D9D9" w:themeFill="background1" w:themeFillShade="D9"/>
            <w:vAlign w:val="center"/>
          </w:tcPr>
          <w:p w14:paraId="44167D9A"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689" w:type="dxa"/>
            <w:vAlign w:val="center"/>
          </w:tcPr>
          <w:p w14:paraId="2DDD5AC2"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728" w:type="dxa"/>
            <w:vAlign w:val="center"/>
          </w:tcPr>
          <w:p w14:paraId="1FEF934E"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709" w:type="dxa"/>
            <w:vAlign w:val="center"/>
          </w:tcPr>
          <w:p w14:paraId="44F2CE1C"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2713" w:type="dxa"/>
            <w:vAlign w:val="center"/>
          </w:tcPr>
          <w:p w14:paraId="31D9D98C"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La entidad no presentó información durante todo el Ejercicio Fiscal.</w:t>
            </w:r>
          </w:p>
        </w:tc>
      </w:tr>
      <w:tr w:rsidR="00712618" w:rsidRPr="00712618" w14:paraId="46A2BD71" w14:textId="77777777" w:rsidTr="009E04D5">
        <w:trPr>
          <w:gridAfter w:val="1"/>
          <w:wAfter w:w="17" w:type="dxa"/>
          <w:trHeight w:val="404"/>
          <w:jc w:val="center"/>
        </w:trPr>
        <w:tc>
          <w:tcPr>
            <w:tcW w:w="562" w:type="dxa"/>
            <w:vAlign w:val="center"/>
          </w:tcPr>
          <w:p w14:paraId="57EB7A95"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71</w:t>
            </w:r>
          </w:p>
        </w:tc>
        <w:tc>
          <w:tcPr>
            <w:tcW w:w="1134" w:type="dxa"/>
            <w:vAlign w:val="center"/>
          </w:tcPr>
          <w:p w14:paraId="7FCA96BE"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Ayuntamiento del Municipio de Othón P. Blanco</w:t>
            </w:r>
          </w:p>
        </w:tc>
        <w:tc>
          <w:tcPr>
            <w:tcW w:w="709" w:type="dxa"/>
            <w:vAlign w:val="center"/>
          </w:tcPr>
          <w:p w14:paraId="1A05F77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19</w:t>
            </w:r>
          </w:p>
        </w:tc>
        <w:tc>
          <w:tcPr>
            <w:tcW w:w="425" w:type="dxa"/>
            <w:shd w:val="clear" w:color="auto" w:fill="D9D9D9" w:themeFill="background1" w:themeFillShade="D9"/>
            <w:vAlign w:val="center"/>
          </w:tcPr>
          <w:p w14:paraId="71F2DD8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38</w:t>
            </w:r>
          </w:p>
        </w:tc>
        <w:tc>
          <w:tcPr>
            <w:tcW w:w="851" w:type="dxa"/>
            <w:vAlign w:val="center"/>
          </w:tcPr>
          <w:p w14:paraId="0D2878D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10</w:t>
            </w:r>
          </w:p>
        </w:tc>
        <w:tc>
          <w:tcPr>
            <w:tcW w:w="709" w:type="dxa"/>
            <w:vAlign w:val="center"/>
          </w:tcPr>
          <w:p w14:paraId="64B0244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546C614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9</w:t>
            </w:r>
          </w:p>
        </w:tc>
        <w:tc>
          <w:tcPr>
            <w:tcW w:w="440" w:type="dxa"/>
            <w:shd w:val="clear" w:color="auto" w:fill="D9D9D9" w:themeFill="background1" w:themeFillShade="D9"/>
            <w:vAlign w:val="center"/>
          </w:tcPr>
          <w:p w14:paraId="5CDDB8F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49</w:t>
            </w:r>
          </w:p>
        </w:tc>
        <w:tc>
          <w:tcPr>
            <w:tcW w:w="689" w:type="dxa"/>
            <w:vAlign w:val="center"/>
          </w:tcPr>
          <w:p w14:paraId="410CB39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26</w:t>
            </w:r>
          </w:p>
        </w:tc>
        <w:tc>
          <w:tcPr>
            <w:tcW w:w="728" w:type="dxa"/>
            <w:vAlign w:val="center"/>
          </w:tcPr>
          <w:p w14:paraId="1F5290F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00</w:t>
            </w:r>
          </w:p>
        </w:tc>
        <w:tc>
          <w:tcPr>
            <w:tcW w:w="709" w:type="dxa"/>
            <w:vAlign w:val="center"/>
          </w:tcPr>
          <w:p w14:paraId="3D90C0F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23</w:t>
            </w:r>
          </w:p>
        </w:tc>
        <w:tc>
          <w:tcPr>
            <w:tcW w:w="2713" w:type="dxa"/>
            <w:vAlign w:val="center"/>
          </w:tcPr>
          <w:p w14:paraId="75472D53"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Los indicadores estratégicos a nivel Fin, presentan frecuencia de medición Trianual por lo que no se analizan. Y a nivel Propósito con un promedio de 153.64%, según indicador de la </w:t>
            </w:r>
            <w:r w:rsidR="003D1ACC" w:rsidRPr="00712618">
              <w:rPr>
                <w:rFonts w:ascii="Arial" w:hAnsi="Arial" w:cs="Arial"/>
                <w:sz w:val="14"/>
                <w:szCs w:val="14"/>
              </w:rPr>
              <w:t>SEDETUR</w:t>
            </w:r>
            <w:r w:rsidRPr="00712618">
              <w:rPr>
                <w:rFonts w:ascii="Arial" w:hAnsi="Arial" w:cs="Arial"/>
                <w:sz w:val="14"/>
                <w:szCs w:val="14"/>
              </w:rPr>
              <w:t>, se superó la meta por 660,689 visitantes nacionales y extranjeros en el municipio de Othón P. Blanco, además para este indicador era llegar a 728 servidores públicos municipales profesionalizados, sin embargo, se logró llegar a 1139; el indicador a nivel propósito con un promedio de 58.05%, debido a que no se cuenta con las facultades y los elementos para llevar a cabo las 25 transmisiones por medio de las TIC¨S. Y debido al ajuste presupuestal algunas metas establecidas para los indicadores no se alcanzaron en su totalidad.</w:t>
            </w:r>
          </w:p>
        </w:tc>
      </w:tr>
      <w:tr w:rsidR="00712618" w:rsidRPr="00712618" w14:paraId="2A8B5620" w14:textId="77777777" w:rsidTr="009E04D5">
        <w:trPr>
          <w:gridAfter w:val="1"/>
          <w:wAfter w:w="17" w:type="dxa"/>
          <w:trHeight w:val="1032"/>
          <w:jc w:val="center"/>
        </w:trPr>
        <w:tc>
          <w:tcPr>
            <w:tcW w:w="562" w:type="dxa"/>
            <w:vAlign w:val="center"/>
          </w:tcPr>
          <w:p w14:paraId="6C4A6E4A"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lastRenderedPageBreak/>
              <w:t>72</w:t>
            </w:r>
          </w:p>
        </w:tc>
        <w:tc>
          <w:tcPr>
            <w:tcW w:w="1134" w:type="dxa"/>
            <w:vAlign w:val="center"/>
          </w:tcPr>
          <w:p w14:paraId="7E760FB4"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Ayuntamiento del Municipio de Puerto Morelos</w:t>
            </w:r>
          </w:p>
        </w:tc>
        <w:tc>
          <w:tcPr>
            <w:tcW w:w="709" w:type="dxa"/>
            <w:vAlign w:val="center"/>
          </w:tcPr>
          <w:p w14:paraId="1245724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14</w:t>
            </w:r>
          </w:p>
        </w:tc>
        <w:tc>
          <w:tcPr>
            <w:tcW w:w="425" w:type="dxa"/>
            <w:shd w:val="clear" w:color="auto" w:fill="D9D9D9" w:themeFill="background1" w:themeFillShade="D9"/>
            <w:vAlign w:val="center"/>
          </w:tcPr>
          <w:p w14:paraId="0D3E4B2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28</w:t>
            </w:r>
          </w:p>
        </w:tc>
        <w:tc>
          <w:tcPr>
            <w:tcW w:w="851" w:type="dxa"/>
            <w:vAlign w:val="center"/>
          </w:tcPr>
          <w:p w14:paraId="29D557C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22</w:t>
            </w:r>
          </w:p>
        </w:tc>
        <w:tc>
          <w:tcPr>
            <w:tcW w:w="709" w:type="dxa"/>
            <w:vAlign w:val="center"/>
          </w:tcPr>
          <w:p w14:paraId="789553D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694" w:type="dxa"/>
            <w:vAlign w:val="center"/>
          </w:tcPr>
          <w:p w14:paraId="13BF5F0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2FADD1F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138</w:t>
            </w:r>
          </w:p>
        </w:tc>
        <w:tc>
          <w:tcPr>
            <w:tcW w:w="689" w:type="dxa"/>
            <w:vAlign w:val="center"/>
          </w:tcPr>
          <w:p w14:paraId="3A5D71B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97</w:t>
            </w:r>
          </w:p>
        </w:tc>
        <w:tc>
          <w:tcPr>
            <w:tcW w:w="728" w:type="dxa"/>
            <w:vAlign w:val="center"/>
          </w:tcPr>
          <w:p w14:paraId="2DE1143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5</w:t>
            </w:r>
          </w:p>
        </w:tc>
        <w:tc>
          <w:tcPr>
            <w:tcW w:w="709" w:type="dxa"/>
            <w:vAlign w:val="center"/>
          </w:tcPr>
          <w:p w14:paraId="2ED0359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36</w:t>
            </w:r>
          </w:p>
        </w:tc>
        <w:tc>
          <w:tcPr>
            <w:tcW w:w="2713" w:type="dxa"/>
            <w:vAlign w:val="center"/>
          </w:tcPr>
          <w:p w14:paraId="04A434D4"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Promedio de 154.43%. Se ha tenido una gran demanda por parte de la comunidad en los diferentes servicios y apoyos que se otorgan. La entidad no presenta justificación que motivaron el incumpliendo de las actividades programadas. Se llevaron a cabo las acciones destinadas a la prestación de servicios públicos atendiendo la demanda ciudadana. Se realizó avance en algunas de las acciones referidas a obra pública e infraestructura quedando así algunas para el ejercicio 2023. Actualmente se está trabajando en los manuales y organigramas.</w:t>
            </w:r>
          </w:p>
        </w:tc>
      </w:tr>
      <w:tr w:rsidR="00712618" w:rsidRPr="00712618" w14:paraId="6D66E694" w14:textId="77777777" w:rsidTr="009E04D5">
        <w:trPr>
          <w:gridAfter w:val="1"/>
          <w:wAfter w:w="17" w:type="dxa"/>
          <w:trHeight w:val="492"/>
          <w:jc w:val="center"/>
        </w:trPr>
        <w:tc>
          <w:tcPr>
            <w:tcW w:w="562" w:type="dxa"/>
            <w:vAlign w:val="center"/>
          </w:tcPr>
          <w:p w14:paraId="3E73CA70"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73</w:t>
            </w:r>
          </w:p>
        </w:tc>
        <w:tc>
          <w:tcPr>
            <w:tcW w:w="1134" w:type="dxa"/>
            <w:vAlign w:val="center"/>
          </w:tcPr>
          <w:p w14:paraId="7B2A0918"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Ayuntamiento del Municipio de Solidaridad</w:t>
            </w:r>
          </w:p>
        </w:tc>
        <w:tc>
          <w:tcPr>
            <w:tcW w:w="709" w:type="dxa"/>
            <w:vAlign w:val="center"/>
          </w:tcPr>
          <w:p w14:paraId="16ABD8D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26</w:t>
            </w:r>
          </w:p>
        </w:tc>
        <w:tc>
          <w:tcPr>
            <w:tcW w:w="425" w:type="dxa"/>
            <w:shd w:val="clear" w:color="auto" w:fill="D9D9D9" w:themeFill="background1" w:themeFillShade="D9"/>
            <w:vAlign w:val="center"/>
          </w:tcPr>
          <w:p w14:paraId="59AA014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52</w:t>
            </w:r>
          </w:p>
        </w:tc>
        <w:tc>
          <w:tcPr>
            <w:tcW w:w="851" w:type="dxa"/>
            <w:vAlign w:val="center"/>
          </w:tcPr>
          <w:p w14:paraId="69FFC67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34</w:t>
            </w:r>
          </w:p>
        </w:tc>
        <w:tc>
          <w:tcPr>
            <w:tcW w:w="709" w:type="dxa"/>
            <w:vAlign w:val="center"/>
          </w:tcPr>
          <w:p w14:paraId="146E0D5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5D018B7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16</w:t>
            </w:r>
          </w:p>
        </w:tc>
        <w:tc>
          <w:tcPr>
            <w:tcW w:w="440" w:type="dxa"/>
            <w:shd w:val="clear" w:color="auto" w:fill="D9D9D9" w:themeFill="background1" w:themeFillShade="D9"/>
            <w:vAlign w:val="center"/>
          </w:tcPr>
          <w:p w14:paraId="1F50CA3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198</w:t>
            </w:r>
          </w:p>
        </w:tc>
        <w:tc>
          <w:tcPr>
            <w:tcW w:w="689" w:type="dxa"/>
            <w:vAlign w:val="center"/>
          </w:tcPr>
          <w:p w14:paraId="796AACB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99</w:t>
            </w:r>
          </w:p>
        </w:tc>
        <w:tc>
          <w:tcPr>
            <w:tcW w:w="728" w:type="dxa"/>
            <w:vAlign w:val="center"/>
          </w:tcPr>
          <w:p w14:paraId="0C70072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18</w:t>
            </w:r>
          </w:p>
        </w:tc>
        <w:tc>
          <w:tcPr>
            <w:tcW w:w="709" w:type="dxa"/>
            <w:vAlign w:val="center"/>
          </w:tcPr>
          <w:p w14:paraId="40CF189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81</w:t>
            </w:r>
          </w:p>
        </w:tc>
        <w:tc>
          <w:tcPr>
            <w:tcW w:w="2713" w:type="dxa"/>
            <w:vAlign w:val="center"/>
          </w:tcPr>
          <w:p w14:paraId="63EF4640"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Los indicadores estratégicos promedian un 80.87% de avance; el resultado fue emitido por el Instituto Mexicano de Competitividad (IMCO) por lo que no alcanzaron la meta por lo que la dependencia no tiene injerencia en el resultado obtenido; se aprobaron 15 proyectos en el comité técnico de fideicomiso del derecho de saneamiento ambiental, de los cuales solo 7 fueron aplicados satisfactoriamente, toda vez que las áreas responsables de la ejecución de los proyectos presentaron licitaciones desiertas; el pago de la deuda pública supera lo programado, derivado que se autorizó más recursos; se tomaron en cuenta las solicitudes de la población y se mejoraron más vialidades, guarniciones y banquetas, pozos de absorción, edificios públicos y espacios públicos; la información no depende a esta secretaria por lo que se queda en semaforización crítico. Los indicadores de gestión promedia un avance del 122.72%, ya que durante este periodo se realizaron diversos trámites que se necesitaron por las festividades; la secretaría cuenta con más personal especializado y está llevando a cabo todas las actividades en las que se encuentra facultada; se recibieron más solicitudes de información por parte de la ciudadanía de lo programado; no se contaba con el tiempo suficiente para realizar las gestiones de licitación; incremento de ingreso de trámites por los ciudadanos de forma presencial en la ventanilla de la Dirección de Desarrollo Urbano y Fisonomía; la Subsecretaria de Obras Públicas no ejecuto obras de movilidad peatonal; se aprobaron solo vialidades prioritarias por el tiempo de ejecución; se superó la meta programada prevista debido a la solicitud de las necesidades de las escuelas del nivel medio superior; no se tenía programado obras fiscalizadas, sin embargo, se continua con la auditoria de la cuenta pública por parte de la ASE 2021, donde se fiscalizan 8 obras; se contó con mayor maquinaria y recurso humano para tener una mayor cobertura en las vialidades y sobre todo en la carretera federal principal acceso a la ciudad. se entregaron 32 informes de las 8 programadas, el porcentaje alcanzado es de 160% debido </w:t>
            </w:r>
            <w:r w:rsidRPr="00712618">
              <w:rPr>
                <w:rFonts w:ascii="Arial" w:hAnsi="Arial" w:cs="Arial"/>
                <w:sz w:val="14"/>
                <w:szCs w:val="14"/>
              </w:rPr>
              <w:lastRenderedPageBreak/>
              <w:t>a la alta incidencia de quejas de la ciudadanía en contra de los servidores públicos municipales; no se cumple la meta trimestral ni la anual establecida debido a la poca actividad de la población para realizar trabajos en la vía pública.</w:t>
            </w:r>
          </w:p>
        </w:tc>
      </w:tr>
      <w:tr w:rsidR="00712618" w:rsidRPr="00712618" w14:paraId="18AC91C9" w14:textId="77777777" w:rsidTr="009E04D5">
        <w:trPr>
          <w:gridAfter w:val="1"/>
          <w:wAfter w:w="17" w:type="dxa"/>
          <w:trHeight w:val="1032"/>
          <w:jc w:val="center"/>
        </w:trPr>
        <w:tc>
          <w:tcPr>
            <w:tcW w:w="562" w:type="dxa"/>
            <w:vAlign w:val="center"/>
          </w:tcPr>
          <w:p w14:paraId="1FA8BA19"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74</w:t>
            </w:r>
          </w:p>
        </w:tc>
        <w:tc>
          <w:tcPr>
            <w:tcW w:w="1134" w:type="dxa"/>
            <w:vAlign w:val="center"/>
          </w:tcPr>
          <w:p w14:paraId="26F80E27"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Ayuntamiento del Municipio de Tulum</w:t>
            </w:r>
          </w:p>
        </w:tc>
        <w:tc>
          <w:tcPr>
            <w:tcW w:w="709" w:type="dxa"/>
            <w:vAlign w:val="center"/>
          </w:tcPr>
          <w:p w14:paraId="1543A31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16</w:t>
            </w:r>
          </w:p>
        </w:tc>
        <w:tc>
          <w:tcPr>
            <w:tcW w:w="425" w:type="dxa"/>
            <w:shd w:val="clear" w:color="auto" w:fill="D9D9D9" w:themeFill="background1" w:themeFillShade="D9"/>
            <w:vAlign w:val="center"/>
          </w:tcPr>
          <w:p w14:paraId="5ED3A62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32</w:t>
            </w:r>
          </w:p>
        </w:tc>
        <w:tc>
          <w:tcPr>
            <w:tcW w:w="851" w:type="dxa"/>
            <w:vAlign w:val="center"/>
          </w:tcPr>
          <w:p w14:paraId="789A245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17</w:t>
            </w:r>
          </w:p>
        </w:tc>
        <w:tc>
          <w:tcPr>
            <w:tcW w:w="709" w:type="dxa"/>
            <w:vAlign w:val="center"/>
          </w:tcPr>
          <w:p w14:paraId="4C713FA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2FA4A57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13</w:t>
            </w:r>
          </w:p>
        </w:tc>
        <w:tc>
          <w:tcPr>
            <w:tcW w:w="440" w:type="dxa"/>
            <w:shd w:val="clear" w:color="auto" w:fill="D9D9D9" w:themeFill="background1" w:themeFillShade="D9"/>
            <w:vAlign w:val="center"/>
          </w:tcPr>
          <w:p w14:paraId="5A6D9DD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35</w:t>
            </w:r>
          </w:p>
        </w:tc>
        <w:tc>
          <w:tcPr>
            <w:tcW w:w="689" w:type="dxa"/>
            <w:vAlign w:val="center"/>
          </w:tcPr>
          <w:p w14:paraId="3A4D8E2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14</w:t>
            </w:r>
          </w:p>
        </w:tc>
        <w:tc>
          <w:tcPr>
            <w:tcW w:w="728" w:type="dxa"/>
            <w:vAlign w:val="center"/>
          </w:tcPr>
          <w:p w14:paraId="4C5480A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09" w:type="dxa"/>
            <w:vAlign w:val="center"/>
          </w:tcPr>
          <w:p w14:paraId="60D98AB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18</w:t>
            </w:r>
          </w:p>
        </w:tc>
        <w:tc>
          <w:tcPr>
            <w:tcW w:w="2713" w:type="dxa"/>
            <w:vAlign w:val="center"/>
          </w:tcPr>
          <w:p w14:paraId="14ABAA2F"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a nivel Fin con un promedio de 66.72%, debido a la disminución de generación de basura por la baja fluencia de turismo (temporada baja) y hubo una modificación dentro de la estructura orgánica de la Dirección General de Desarrollo Económico, por lo que se vieron afectadas las actividades a desarrollar. A nivel Fin con un promedio de 247.08%, debido a eventos realizados por fechas de temporada alta en el municipio, no se pueden cuantificar por ejemplos los festivales, las marchas. Cabe mencionar, que no se realizó el análisis de un indicador estratégico</w:t>
            </w:r>
          </w:p>
        </w:tc>
      </w:tr>
      <w:tr w:rsidR="00712618" w:rsidRPr="00712618" w14:paraId="3950F9B3" w14:textId="77777777" w:rsidTr="009E04D5">
        <w:trPr>
          <w:gridAfter w:val="1"/>
          <w:wAfter w:w="17" w:type="dxa"/>
          <w:trHeight w:val="283"/>
          <w:jc w:val="center"/>
        </w:trPr>
        <w:tc>
          <w:tcPr>
            <w:tcW w:w="562" w:type="dxa"/>
            <w:vAlign w:val="center"/>
          </w:tcPr>
          <w:p w14:paraId="2F619527"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p>
        </w:tc>
        <w:tc>
          <w:tcPr>
            <w:tcW w:w="1134" w:type="dxa"/>
            <w:vAlign w:val="center"/>
          </w:tcPr>
          <w:p w14:paraId="4DA3B76F" w14:textId="77777777" w:rsidR="00712618" w:rsidRPr="00712618" w:rsidRDefault="00712618" w:rsidP="00712618">
            <w:pPr>
              <w:adjustRightInd w:val="0"/>
              <w:spacing w:before="120" w:after="120" w:line="240" w:lineRule="auto"/>
              <w:ind w:right="-68"/>
              <w:jc w:val="both"/>
              <w:rPr>
                <w:rFonts w:ascii="Arial" w:hAnsi="Arial" w:cs="Arial"/>
                <w:sz w:val="14"/>
                <w:szCs w:val="14"/>
              </w:rPr>
            </w:pPr>
          </w:p>
        </w:tc>
        <w:tc>
          <w:tcPr>
            <w:tcW w:w="709" w:type="dxa"/>
            <w:vAlign w:val="center"/>
          </w:tcPr>
          <w:p w14:paraId="1CC0F4FE"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425" w:type="dxa"/>
            <w:shd w:val="clear" w:color="auto" w:fill="D9D9D9" w:themeFill="background1" w:themeFillShade="D9"/>
            <w:vAlign w:val="center"/>
          </w:tcPr>
          <w:p w14:paraId="31837BAE"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851" w:type="dxa"/>
            <w:vAlign w:val="center"/>
          </w:tcPr>
          <w:p w14:paraId="1C2CA006"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709" w:type="dxa"/>
            <w:vAlign w:val="center"/>
          </w:tcPr>
          <w:p w14:paraId="7703C98A"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694" w:type="dxa"/>
            <w:vAlign w:val="center"/>
          </w:tcPr>
          <w:p w14:paraId="67579849"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440" w:type="dxa"/>
            <w:shd w:val="clear" w:color="auto" w:fill="D9D9D9" w:themeFill="background1" w:themeFillShade="D9"/>
            <w:vAlign w:val="center"/>
          </w:tcPr>
          <w:p w14:paraId="267A0AC1"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689" w:type="dxa"/>
            <w:vAlign w:val="center"/>
          </w:tcPr>
          <w:p w14:paraId="32FB469C"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728" w:type="dxa"/>
            <w:vAlign w:val="center"/>
          </w:tcPr>
          <w:p w14:paraId="6CD0A6DC"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709" w:type="dxa"/>
            <w:vAlign w:val="center"/>
          </w:tcPr>
          <w:p w14:paraId="1B9E3E1C" w14:textId="77777777" w:rsidR="00712618" w:rsidRPr="00712618" w:rsidRDefault="00712618" w:rsidP="00712618">
            <w:pPr>
              <w:adjustRightInd w:val="0"/>
              <w:spacing w:before="120" w:after="120" w:line="240" w:lineRule="auto"/>
              <w:ind w:right="-68"/>
              <w:jc w:val="center"/>
              <w:rPr>
                <w:rFonts w:ascii="Arial" w:hAnsi="Arial" w:cs="Arial"/>
                <w:sz w:val="14"/>
                <w:szCs w:val="14"/>
              </w:rPr>
            </w:pPr>
          </w:p>
        </w:tc>
        <w:tc>
          <w:tcPr>
            <w:tcW w:w="2713" w:type="dxa"/>
            <w:vAlign w:val="center"/>
          </w:tcPr>
          <w:p w14:paraId="20C17923" w14:textId="77777777" w:rsidR="00712618" w:rsidRPr="00712618" w:rsidRDefault="00712618" w:rsidP="00712618">
            <w:pPr>
              <w:adjustRightInd w:val="0"/>
              <w:spacing w:before="120" w:after="120" w:line="240" w:lineRule="auto"/>
              <w:ind w:right="-68"/>
              <w:jc w:val="both"/>
              <w:rPr>
                <w:rFonts w:ascii="Arial" w:hAnsi="Arial" w:cs="Arial"/>
                <w:sz w:val="14"/>
                <w:szCs w:val="14"/>
              </w:rPr>
            </w:pPr>
          </w:p>
        </w:tc>
      </w:tr>
      <w:tr w:rsidR="00712618" w:rsidRPr="00712618" w14:paraId="69886A57" w14:textId="77777777" w:rsidTr="009E04D5">
        <w:trPr>
          <w:trHeight w:val="336"/>
          <w:jc w:val="center"/>
        </w:trPr>
        <w:tc>
          <w:tcPr>
            <w:tcW w:w="10380" w:type="dxa"/>
            <w:gridSpan w:val="13"/>
            <w:shd w:val="clear" w:color="auto" w:fill="9E9142"/>
            <w:vAlign w:val="center"/>
          </w:tcPr>
          <w:p w14:paraId="72881487" w14:textId="77777777" w:rsidR="00712618" w:rsidRPr="00712618" w:rsidRDefault="00712618" w:rsidP="00712618">
            <w:pPr>
              <w:adjustRightInd w:val="0"/>
              <w:spacing w:before="120" w:after="120" w:line="240" w:lineRule="auto"/>
              <w:jc w:val="center"/>
              <w:rPr>
                <w:rFonts w:ascii="Arial" w:hAnsi="Arial" w:cs="Arial"/>
                <w:b/>
                <w:bCs/>
                <w:color w:val="000000"/>
                <w:sz w:val="14"/>
                <w:szCs w:val="14"/>
              </w:rPr>
            </w:pPr>
            <w:r w:rsidRPr="00712618">
              <w:rPr>
                <w:rFonts w:ascii="Arial" w:hAnsi="Arial" w:cs="Arial"/>
                <w:b/>
                <w:bCs/>
                <w:color w:val="FFFFFF" w:themeColor="background1"/>
                <w:sz w:val="14"/>
                <w:szCs w:val="14"/>
              </w:rPr>
              <w:t>ENTIDADES PARAMUNICIPALES</w:t>
            </w:r>
          </w:p>
        </w:tc>
      </w:tr>
      <w:tr w:rsidR="00712618" w:rsidRPr="00712618" w14:paraId="72D1A470" w14:textId="77777777" w:rsidTr="009E04D5">
        <w:trPr>
          <w:gridAfter w:val="1"/>
          <w:wAfter w:w="17" w:type="dxa"/>
          <w:trHeight w:val="1032"/>
          <w:jc w:val="center"/>
        </w:trPr>
        <w:tc>
          <w:tcPr>
            <w:tcW w:w="562" w:type="dxa"/>
            <w:vAlign w:val="center"/>
          </w:tcPr>
          <w:p w14:paraId="316469A4"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75</w:t>
            </w:r>
          </w:p>
        </w:tc>
        <w:tc>
          <w:tcPr>
            <w:tcW w:w="1134" w:type="dxa"/>
            <w:vAlign w:val="center"/>
          </w:tcPr>
          <w:p w14:paraId="743590D7"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Asociación de Futbol Pioneros, A.C.</w:t>
            </w:r>
          </w:p>
        </w:tc>
        <w:tc>
          <w:tcPr>
            <w:tcW w:w="709" w:type="dxa"/>
            <w:vAlign w:val="center"/>
          </w:tcPr>
          <w:p w14:paraId="4602874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6A0BD24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628DFB4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7BEEA43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0D1DE93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4F8958F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6327087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28" w:type="dxa"/>
            <w:vAlign w:val="center"/>
          </w:tcPr>
          <w:p w14:paraId="6B7BDBE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09AFE24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2713" w:type="dxa"/>
            <w:vAlign w:val="center"/>
          </w:tcPr>
          <w:p w14:paraId="3B883121"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El indicador estratégico a nivel Propósito con un 180.94% de avance, se superó la meta anual, la entidad no presenta justificación. Los indicadores de gestión reflejan un avance del 131.67%, se tuvo mayor captación de nuevos participantes en las actividades. El indicador de gestión con un 73.33% de avance, la entidad no justifica el motivo.</w:t>
            </w:r>
            <w:r w:rsidR="001376C7">
              <w:rPr>
                <w:rFonts w:ascii="Arial" w:hAnsi="Arial" w:cs="Arial"/>
                <w:sz w:val="14"/>
                <w:szCs w:val="14"/>
              </w:rPr>
              <w:t xml:space="preserve"> </w:t>
            </w:r>
          </w:p>
        </w:tc>
      </w:tr>
      <w:tr w:rsidR="00712618" w:rsidRPr="00712618" w14:paraId="4637BD07" w14:textId="77777777" w:rsidTr="009E04D5">
        <w:trPr>
          <w:gridAfter w:val="1"/>
          <w:wAfter w:w="17" w:type="dxa"/>
          <w:trHeight w:val="728"/>
          <w:jc w:val="center"/>
        </w:trPr>
        <w:tc>
          <w:tcPr>
            <w:tcW w:w="562" w:type="dxa"/>
            <w:vAlign w:val="center"/>
          </w:tcPr>
          <w:p w14:paraId="6F9E5AA4"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76</w:t>
            </w:r>
          </w:p>
        </w:tc>
        <w:tc>
          <w:tcPr>
            <w:tcW w:w="1134" w:type="dxa"/>
            <w:vAlign w:val="center"/>
          </w:tcPr>
          <w:p w14:paraId="29082C75"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de la Cultura y las Artes del Municipio de Benito Juárez</w:t>
            </w:r>
          </w:p>
        </w:tc>
        <w:tc>
          <w:tcPr>
            <w:tcW w:w="709" w:type="dxa"/>
            <w:vAlign w:val="center"/>
          </w:tcPr>
          <w:p w14:paraId="399E471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081B0FB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11375DD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1418B47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12CFF02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4E3CE77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89" w:type="dxa"/>
            <w:vAlign w:val="center"/>
          </w:tcPr>
          <w:p w14:paraId="11890EF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28" w:type="dxa"/>
            <w:vAlign w:val="center"/>
          </w:tcPr>
          <w:p w14:paraId="520FAC7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3E58147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2713" w:type="dxa"/>
            <w:vAlign w:val="center"/>
          </w:tcPr>
          <w:p w14:paraId="54150A44"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Los indicadores de gestión con un promedio de 62.28%. En la justificación no se aclara por qué no se alcanzó la meta. </w:t>
            </w:r>
          </w:p>
        </w:tc>
      </w:tr>
      <w:tr w:rsidR="00712618" w:rsidRPr="00712618" w14:paraId="1224D79B" w14:textId="77777777" w:rsidTr="009E04D5">
        <w:trPr>
          <w:gridAfter w:val="1"/>
          <w:wAfter w:w="17" w:type="dxa"/>
          <w:trHeight w:val="44"/>
          <w:jc w:val="center"/>
        </w:trPr>
        <w:tc>
          <w:tcPr>
            <w:tcW w:w="562" w:type="dxa"/>
            <w:vAlign w:val="center"/>
          </w:tcPr>
          <w:p w14:paraId="635B85B7"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77</w:t>
            </w:r>
          </w:p>
        </w:tc>
        <w:tc>
          <w:tcPr>
            <w:tcW w:w="1134" w:type="dxa"/>
            <w:vAlign w:val="center"/>
          </w:tcPr>
          <w:p w14:paraId="4925A4F5"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de la Juventud del Municipio de Solidaridad</w:t>
            </w:r>
          </w:p>
        </w:tc>
        <w:tc>
          <w:tcPr>
            <w:tcW w:w="709" w:type="dxa"/>
            <w:vAlign w:val="center"/>
          </w:tcPr>
          <w:p w14:paraId="44361EE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6B4D2E5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0AF8451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09" w:type="dxa"/>
            <w:vAlign w:val="center"/>
          </w:tcPr>
          <w:p w14:paraId="717FF3F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54BE94A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2E58DF4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7</w:t>
            </w:r>
          </w:p>
        </w:tc>
        <w:tc>
          <w:tcPr>
            <w:tcW w:w="689" w:type="dxa"/>
            <w:vAlign w:val="center"/>
          </w:tcPr>
          <w:p w14:paraId="227B354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728" w:type="dxa"/>
            <w:vAlign w:val="center"/>
          </w:tcPr>
          <w:p w14:paraId="6BB800B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09" w:type="dxa"/>
            <w:vAlign w:val="center"/>
          </w:tcPr>
          <w:p w14:paraId="0D006C7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2713" w:type="dxa"/>
            <w:vAlign w:val="center"/>
          </w:tcPr>
          <w:p w14:paraId="644DA7A2"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presentan un promedio de avance del 20.52%; la meta programada era para reducir la población vulnerable por carencia social a un 42.00%; de igual forma se esperaba más participación de jóvenes en los talleres y actividades propias del instituto. Los indicadores de gestión promedia un 62.29%,</w:t>
            </w:r>
            <w:r w:rsidR="001376C7">
              <w:rPr>
                <w:rFonts w:ascii="Arial" w:hAnsi="Arial" w:cs="Arial"/>
                <w:sz w:val="14"/>
                <w:szCs w:val="14"/>
              </w:rPr>
              <w:t xml:space="preserve"> </w:t>
            </w:r>
            <w:r w:rsidRPr="00712618">
              <w:rPr>
                <w:rFonts w:ascii="Arial" w:hAnsi="Arial" w:cs="Arial"/>
                <w:sz w:val="14"/>
                <w:szCs w:val="14"/>
              </w:rPr>
              <w:t>en general no se alcanzaron las</w:t>
            </w:r>
            <w:r w:rsidR="001376C7">
              <w:rPr>
                <w:rFonts w:ascii="Arial" w:hAnsi="Arial" w:cs="Arial"/>
                <w:sz w:val="14"/>
                <w:szCs w:val="14"/>
              </w:rPr>
              <w:t xml:space="preserve"> </w:t>
            </w:r>
            <w:r w:rsidRPr="00712618">
              <w:rPr>
                <w:rFonts w:ascii="Arial" w:hAnsi="Arial" w:cs="Arial"/>
                <w:sz w:val="14"/>
                <w:szCs w:val="14"/>
              </w:rPr>
              <w:t>actividades para jóvenes emitidas por el instituto.</w:t>
            </w:r>
          </w:p>
        </w:tc>
      </w:tr>
      <w:tr w:rsidR="00712618" w:rsidRPr="00712618" w14:paraId="0E6FF71D" w14:textId="77777777" w:rsidTr="009E04D5">
        <w:trPr>
          <w:gridAfter w:val="1"/>
          <w:wAfter w:w="17" w:type="dxa"/>
          <w:trHeight w:val="1032"/>
          <w:jc w:val="center"/>
        </w:trPr>
        <w:tc>
          <w:tcPr>
            <w:tcW w:w="562" w:type="dxa"/>
            <w:vAlign w:val="center"/>
          </w:tcPr>
          <w:p w14:paraId="2A702269"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78</w:t>
            </w:r>
          </w:p>
        </w:tc>
        <w:tc>
          <w:tcPr>
            <w:tcW w:w="1134" w:type="dxa"/>
            <w:vAlign w:val="center"/>
          </w:tcPr>
          <w:p w14:paraId="2AE4EC77"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de las Mujeres del Municipio de Solidaridad, Quintana Roo</w:t>
            </w:r>
          </w:p>
        </w:tc>
        <w:tc>
          <w:tcPr>
            <w:tcW w:w="709" w:type="dxa"/>
            <w:vAlign w:val="center"/>
          </w:tcPr>
          <w:p w14:paraId="2B504E4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42D894D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09D411F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09" w:type="dxa"/>
            <w:vAlign w:val="center"/>
          </w:tcPr>
          <w:p w14:paraId="27C3151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020CE8B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4447F09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16E5E1B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28" w:type="dxa"/>
            <w:vAlign w:val="center"/>
          </w:tcPr>
          <w:p w14:paraId="0C10386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655110A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2713" w:type="dxa"/>
            <w:vAlign w:val="center"/>
          </w:tcPr>
          <w:p w14:paraId="71F99257"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presentan un promedio de 97.10%. Se implementaron diversos programas sociales que beneficiaron a la población vulnerable, se crearon módulos de atención a mujeres en situación de riesgo de violencia de genero lo que dio un mayor alcance de atención psicológica y jurídica.</w:t>
            </w:r>
          </w:p>
        </w:tc>
      </w:tr>
      <w:tr w:rsidR="00712618" w:rsidRPr="00712618" w14:paraId="79C6F7E5" w14:textId="77777777" w:rsidTr="009E04D5">
        <w:trPr>
          <w:gridAfter w:val="1"/>
          <w:wAfter w:w="17" w:type="dxa"/>
          <w:trHeight w:val="882"/>
          <w:jc w:val="center"/>
        </w:trPr>
        <w:tc>
          <w:tcPr>
            <w:tcW w:w="562" w:type="dxa"/>
            <w:vAlign w:val="center"/>
          </w:tcPr>
          <w:p w14:paraId="7867CF66"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lastRenderedPageBreak/>
              <w:t>79</w:t>
            </w:r>
          </w:p>
        </w:tc>
        <w:tc>
          <w:tcPr>
            <w:tcW w:w="1134" w:type="dxa"/>
            <w:vAlign w:val="center"/>
          </w:tcPr>
          <w:p w14:paraId="418C8147"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de Planeación para el Desarrollo Urbano del Municipio de Benito Juárez</w:t>
            </w:r>
          </w:p>
        </w:tc>
        <w:tc>
          <w:tcPr>
            <w:tcW w:w="709" w:type="dxa"/>
            <w:vAlign w:val="center"/>
          </w:tcPr>
          <w:p w14:paraId="4648592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60904D1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1AEB0A4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45F54CB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6E8CA79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25059AD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89" w:type="dxa"/>
            <w:vAlign w:val="center"/>
          </w:tcPr>
          <w:p w14:paraId="63127F2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28" w:type="dxa"/>
            <w:vAlign w:val="center"/>
          </w:tcPr>
          <w:p w14:paraId="57A3D7F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43A1542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2713" w:type="dxa"/>
            <w:vAlign w:val="center"/>
          </w:tcPr>
          <w:p w14:paraId="1F256CAD" w14:textId="77777777" w:rsidR="00712618" w:rsidRPr="00712618" w:rsidRDefault="00712618" w:rsidP="00712618">
            <w:pPr>
              <w:adjustRightInd w:val="0"/>
              <w:spacing w:before="120" w:after="120" w:line="240" w:lineRule="auto"/>
              <w:ind w:right="-68"/>
              <w:rPr>
                <w:rFonts w:ascii="Arial" w:hAnsi="Arial" w:cs="Arial"/>
                <w:sz w:val="14"/>
                <w:szCs w:val="14"/>
              </w:rPr>
            </w:pPr>
            <w:r w:rsidRPr="00712618">
              <w:rPr>
                <w:rFonts w:ascii="Arial" w:hAnsi="Arial" w:cs="Arial"/>
                <w:sz w:val="14"/>
                <w:szCs w:val="14"/>
              </w:rPr>
              <w:t>Cumple con las metas programadas</w:t>
            </w:r>
          </w:p>
        </w:tc>
      </w:tr>
      <w:tr w:rsidR="00712618" w:rsidRPr="00712618" w14:paraId="69EB596A" w14:textId="77777777" w:rsidTr="009E04D5">
        <w:trPr>
          <w:gridAfter w:val="1"/>
          <w:wAfter w:w="17" w:type="dxa"/>
          <w:trHeight w:val="730"/>
          <w:jc w:val="center"/>
        </w:trPr>
        <w:tc>
          <w:tcPr>
            <w:tcW w:w="562" w:type="dxa"/>
            <w:vAlign w:val="center"/>
          </w:tcPr>
          <w:p w14:paraId="6120FE3B"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80</w:t>
            </w:r>
          </w:p>
        </w:tc>
        <w:tc>
          <w:tcPr>
            <w:tcW w:w="1134" w:type="dxa"/>
            <w:vAlign w:val="center"/>
          </w:tcPr>
          <w:p w14:paraId="49C608F5"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del Deporte del Municipio de Benito Juárez, Quintana Roo</w:t>
            </w:r>
          </w:p>
        </w:tc>
        <w:tc>
          <w:tcPr>
            <w:tcW w:w="709" w:type="dxa"/>
            <w:vAlign w:val="center"/>
          </w:tcPr>
          <w:p w14:paraId="4D526B9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6DF5FF0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1145AFD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3976E3E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2112F6B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6F90328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7</w:t>
            </w:r>
          </w:p>
        </w:tc>
        <w:tc>
          <w:tcPr>
            <w:tcW w:w="689" w:type="dxa"/>
            <w:vAlign w:val="center"/>
          </w:tcPr>
          <w:p w14:paraId="09EF7A0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28" w:type="dxa"/>
            <w:vAlign w:val="center"/>
          </w:tcPr>
          <w:p w14:paraId="43282FB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77BC220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2713" w:type="dxa"/>
            <w:vAlign w:val="center"/>
          </w:tcPr>
          <w:p w14:paraId="07733600"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de gestión promedian un 137.18% de avance, hubo un mayor avance con respecto a lo programado en la atención a las instalaciones deportivas y a los eventos.</w:t>
            </w:r>
          </w:p>
        </w:tc>
      </w:tr>
      <w:tr w:rsidR="00712618" w:rsidRPr="00712618" w14:paraId="6D2E1775" w14:textId="77777777" w:rsidTr="009E04D5">
        <w:trPr>
          <w:gridAfter w:val="1"/>
          <w:wAfter w:w="17" w:type="dxa"/>
          <w:trHeight w:val="1032"/>
          <w:jc w:val="center"/>
        </w:trPr>
        <w:tc>
          <w:tcPr>
            <w:tcW w:w="562" w:type="dxa"/>
            <w:vAlign w:val="center"/>
          </w:tcPr>
          <w:p w14:paraId="04D2394A"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81</w:t>
            </w:r>
          </w:p>
        </w:tc>
        <w:tc>
          <w:tcPr>
            <w:tcW w:w="1134" w:type="dxa"/>
            <w:vAlign w:val="center"/>
          </w:tcPr>
          <w:p w14:paraId="0FEC7014"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del Deporte del Municipio de Solidaridad, Quintana Roo</w:t>
            </w:r>
          </w:p>
        </w:tc>
        <w:tc>
          <w:tcPr>
            <w:tcW w:w="709" w:type="dxa"/>
            <w:vAlign w:val="center"/>
          </w:tcPr>
          <w:p w14:paraId="7C94587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6213166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114FAF1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38FD8D6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7226862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4AF568E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9</w:t>
            </w:r>
          </w:p>
        </w:tc>
        <w:tc>
          <w:tcPr>
            <w:tcW w:w="689" w:type="dxa"/>
            <w:vAlign w:val="center"/>
          </w:tcPr>
          <w:p w14:paraId="43C70F2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5</w:t>
            </w:r>
          </w:p>
        </w:tc>
        <w:tc>
          <w:tcPr>
            <w:tcW w:w="728" w:type="dxa"/>
            <w:vAlign w:val="center"/>
          </w:tcPr>
          <w:p w14:paraId="469D612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1EA5C78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2713" w:type="dxa"/>
            <w:vAlign w:val="center"/>
          </w:tcPr>
          <w:p w14:paraId="58E53BA5"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El indicador estratégico a nivel Fin refleja un avance del 61.14%, debido a que el porcentaje queda por debajo a lo programado de acuerdo a los criterios de semaforización del estatuto.</w:t>
            </w:r>
            <w:r w:rsidR="001376C7">
              <w:rPr>
                <w:rFonts w:ascii="Arial" w:hAnsi="Arial" w:cs="Arial"/>
                <w:sz w:val="14"/>
                <w:szCs w:val="14"/>
              </w:rPr>
              <w:t xml:space="preserve">                                     </w:t>
            </w:r>
            <w:r w:rsidRPr="00712618">
              <w:rPr>
                <w:rFonts w:ascii="Arial" w:hAnsi="Arial" w:cs="Arial"/>
                <w:sz w:val="14"/>
                <w:szCs w:val="14"/>
              </w:rPr>
              <w:t xml:space="preserve"> </w:t>
            </w:r>
          </w:p>
        </w:tc>
      </w:tr>
      <w:tr w:rsidR="00712618" w:rsidRPr="00712618" w14:paraId="11FFD6AB" w14:textId="77777777" w:rsidTr="009E04D5">
        <w:trPr>
          <w:gridAfter w:val="1"/>
          <w:wAfter w:w="17" w:type="dxa"/>
          <w:trHeight w:val="1032"/>
          <w:jc w:val="center"/>
        </w:trPr>
        <w:tc>
          <w:tcPr>
            <w:tcW w:w="562" w:type="dxa"/>
            <w:vAlign w:val="center"/>
          </w:tcPr>
          <w:p w14:paraId="1C46E0A3"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82</w:t>
            </w:r>
          </w:p>
        </w:tc>
        <w:tc>
          <w:tcPr>
            <w:tcW w:w="1134" w:type="dxa"/>
            <w:vAlign w:val="center"/>
          </w:tcPr>
          <w:p w14:paraId="66248DE0"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Municipal Contra las Adicciones</w:t>
            </w:r>
          </w:p>
        </w:tc>
        <w:tc>
          <w:tcPr>
            <w:tcW w:w="709" w:type="dxa"/>
            <w:vAlign w:val="center"/>
          </w:tcPr>
          <w:p w14:paraId="2363C13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44F8119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7BC82AB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491CA72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6B45147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542F649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89" w:type="dxa"/>
            <w:vAlign w:val="center"/>
          </w:tcPr>
          <w:p w14:paraId="3932A76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28" w:type="dxa"/>
            <w:vAlign w:val="center"/>
          </w:tcPr>
          <w:p w14:paraId="674E181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39FF81E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2713" w:type="dxa"/>
            <w:vAlign w:val="center"/>
          </w:tcPr>
          <w:p w14:paraId="1A282AD4"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a nivel Propósito establece un porcentaje de 73.09%: El Instituto Municipal Contra las Adicciones no presenta justificaciones de las metas anuales.</w:t>
            </w:r>
          </w:p>
        </w:tc>
      </w:tr>
      <w:tr w:rsidR="00712618" w:rsidRPr="00712618" w14:paraId="56C5B357" w14:textId="77777777" w:rsidTr="009E04D5">
        <w:trPr>
          <w:gridAfter w:val="1"/>
          <w:wAfter w:w="17" w:type="dxa"/>
          <w:trHeight w:val="620"/>
          <w:jc w:val="center"/>
        </w:trPr>
        <w:tc>
          <w:tcPr>
            <w:tcW w:w="562" w:type="dxa"/>
            <w:vAlign w:val="center"/>
          </w:tcPr>
          <w:p w14:paraId="1EDB14D2"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83</w:t>
            </w:r>
          </w:p>
        </w:tc>
        <w:tc>
          <w:tcPr>
            <w:tcW w:w="1134" w:type="dxa"/>
            <w:vAlign w:val="center"/>
          </w:tcPr>
          <w:p w14:paraId="55BA86B1"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municipal de Desarrollo Administrativo</w:t>
            </w:r>
            <w:r w:rsidR="001376C7">
              <w:rPr>
                <w:rFonts w:ascii="Arial" w:hAnsi="Arial" w:cs="Arial"/>
                <w:sz w:val="14"/>
                <w:szCs w:val="14"/>
              </w:rPr>
              <w:t xml:space="preserve"> </w:t>
            </w:r>
            <w:r w:rsidRPr="00712618">
              <w:rPr>
                <w:rFonts w:ascii="Arial" w:hAnsi="Arial" w:cs="Arial"/>
                <w:sz w:val="14"/>
                <w:szCs w:val="14"/>
              </w:rPr>
              <w:t>e Innovación</w:t>
            </w:r>
          </w:p>
        </w:tc>
        <w:tc>
          <w:tcPr>
            <w:tcW w:w="709" w:type="dxa"/>
            <w:vAlign w:val="center"/>
          </w:tcPr>
          <w:p w14:paraId="6FCE1C4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5120944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5</w:t>
            </w:r>
          </w:p>
        </w:tc>
        <w:tc>
          <w:tcPr>
            <w:tcW w:w="851" w:type="dxa"/>
            <w:vAlign w:val="center"/>
          </w:tcPr>
          <w:p w14:paraId="69E6688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4745B87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94" w:type="dxa"/>
            <w:vAlign w:val="center"/>
          </w:tcPr>
          <w:p w14:paraId="58C3C0B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68C531D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70165E5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28" w:type="dxa"/>
            <w:vAlign w:val="center"/>
          </w:tcPr>
          <w:p w14:paraId="252D5FB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58BE712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2713" w:type="dxa"/>
            <w:vAlign w:val="center"/>
          </w:tcPr>
          <w:p w14:paraId="1D07FEC6"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El indicador estratégico a nivel Fin con un 83.62% de avance, la entidad no justifica el incumplimiento de la meta anual.</w:t>
            </w:r>
          </w:p>
        </w:tc>
      </w:tr>
      <w:tr w:rsidR="00712618" w:rsidRPr="00712618" w14:paraId="717711C9" w14:textId="77777777" w:rsidTr="009E04D5">
        <w:trPr>
          <w:gridAfter w:val="1"/>
          <w:wAfter w:w="17" w:type="dxa"/>
          <w:trHeight w:val="642"/>
          <w:jc w:val="center"/>
        </w:trPr>
        <w:tc>
          <w:tcPr>
            <w:tcW w:w="562" w:type="dxa"/>
            <w:vAlign w:val="center"/>
          </w:tcPr>
          <w:p w14:paraId="797E0065"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84</w:t>
            </w:r>
          </w:p>
        </w:tc>
        <w:tc>
          <w:tcPr>
            <w:tcW w:w="1134" w:type="dxa"/>
            <w:vAlign w:val="center"/>
          </w:tcPr>
          <w:p w14:paraId="71E22331"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Municipal de la Cultura y las Artes de Solidaridad, Quintana Roo</w:t>
            </w:r>
          </w:p>
        </w:tc>
        <w:tc>
          <w:tcPr>
            <w:tcW w:w="709" w:type="dxa"/>
            <w:vAlign w:val="center"/>
          </w:tcPr>
          <w:p w14:paraId="0B6CFC6D"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6F1C8B2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2</w:t>
            </w:r>
          </w:p>
        </w:tc>
        <w:tc>
          <w:tcPr>
            <w:tcW w:w="851" w:type="dxa"/>
            <w:vAlign w:val="center"/>
          </w:tcPr>
          <w:p w14:paraId="35145CA5"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709" w:type="dxa"/>
            <w:vAlign w:val="center"/>
          </w:tcPr>
          <w:p w14:paraId="6933065F"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694" w:type="dxa"/>
            <w:vAlign w:val="center"/>
          </w:tcPr>
          <w:p w14:paraId="658861F2"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3C226F49"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689" w:type="dxa"/>
            <w:vAlign w:val="center"/>
          </w:tcPr>
          <w:p w14:paraId="10140C5A"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28" w:type="dxa"/>
            <w:vAlign w:val="center"/>
          </w:tcPr>
          <w:p w14:paraId="6C2AA173"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0</w:t>
            </w:r>
          </w:p>
        </w:tc>
        <w:tc>
          <w:tcPr>
            <w:tcW w:w="709" w:type="dxa"/>
            <w:vAlign w:val="center"/>
          </w:tcPr>
          <w:p w14:paraId="3A80A0EE" w14:textId="77777777" w:rsidR="00712618" w:rsidRPr="00712618" w:rsidRDefault="00712618" w:rsidP="00712618">
            <w:pPr>
              <w:spacing w:before="120" w:after="120" w:line="240" w:lineRule="auto"/>
              <w:jc w:val="center"/>
              <w:rPr>
                <w:rFonts w:ascii="Arial" w:hAnsi="Arial" w:cs="Arial"/>
                <w:sz w:val="14"/>
                <w:szCs w:val="14"/>
              </w:rPr>
            </w:pPr>
            <w:r w:rsidRPr="00712618">
              <w:rPr>
                <w:rFonts w:ascii="Arial" w:hAnsi="Arial" w:cs="Arial"/>
                <w:sz w:val="14"/>
                <w:szCs w:val="14"/>
              </w:rPr>
              <w:t>4</w:t>
            </w:r>
          </w:p>
        </w:tc>
        <w:tc>
          <w:tcPr>
            <w:tcW w:w="2713" w:type="dxa"/>
            <w:vAlign w:val="center"/>
          </w:tcPr>
          <w:p w14:paraId="73AA9084" w14:textId="77777777" w:rsidR="00712618" w:rsidRPr="00712618" w:rsidRDefault="00712618" w:rsidP="00712618">
            <w:pPr>
              <w:adjustRightInd w:val="0"/>
              <w:spacing w:before="120" w:after="120" w:line="240" w:lineRule="auto"/>
              <w:jc w:val="both"/>
              <w:rPr>
                <w:rFonts w:ascii="Arial" w:hAnsi="Arial" w:cs="Arial"/>
                <w:sz w:val="14"/>
                <w:szCs w:val="14"/>
              </w:rPr>
            </w:pPr>
            <w:r w:rsidRPr="00712618">
              <w:rPr>
                <w:rFonts w:ascii="Arial" w:hAnsi="Arial" w:cs="Arial"/>
                <w:sz w:val="14"/>
                <w:szCs w:val="14"/>
              </w:rPr>
              <w:t>El indicador estratégico representa un porcentaje de 25.68%, se argumenta que la meta anual proyectada es de un 42% que equivale a 140,196 personas, este indicador es tomado del informe anual sobre la situación de pobreza y rezago social 2022 de la Secretaría del Bienestar del gobierno federal.</w:t>
            </w:r>
          </w:p>
        </w:tc>
      </w:tr>
      <w:tr w:rsidR="00712618" w:rsidRPr="00712618" w14:paraId="26504DF6" w14:textId="77777777" w:rsidTr="009E04D5">
        <w:trPr>
          <w:gridAfter w:val="1"/>
          <w:wAfter w:w="17" w:type="dxa"/>
          <w:trHeight w:val="1032"/>
          <w:jc w:val="center"/>
        </w:trPr>
        <w:tc>
          <w:tcPr>
            <w:tcW w:w="562" w:type="dxa"/>
            <w:vAlign w:val="center"/>
          </w:tcPr>
          <w:p w14:paraId="7FF23358"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85</w:t>
            </w:r>
          </w:p>
        </w:tc>
        <w:tc>
          <w:tcPr>
            <w:tcW w:w="1134" w:type="dxa"/>
            <w:vAlign w:val="center"/>
          </w:tcPr>
          <w:p w14:paraId="09A8A365"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Municipal de la Juventud</w:t>
            </w:r>
          </w:p>
        </w:tc>
        <w:tc>
          <w:tcPr>
            <w:tcW w:w="709" w:type="dxa"/>
            <w:vAlign w:val="center"/>
          </w:tcPr>
          <w:p w14:paraId="259106E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47C1872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666AE3D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2DB2C46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3E25B0C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46FCC5A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689" w:type="dxa"/>
            <w:vAlign w:val="center"/>
          </w:tcPr>
          <w:p w14:paraId="6A38347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28" w:type="dxa"/>
            <w:vAlign w:val="center"/>
          </w:tcPr>
          <w:p w14:paraId="0941C96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3BD7ED7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2713" w:type="dxa"/>
            <w:vAlign w:val="center"/>
          </w:tcPr>
          <w:p w14:paraId="65BD32BC"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Nivel Fin, con un 0.00%.</w:t>
            </w:r>
            <w:r w:rsidR="001376C7">
              <w:rPr>
                <w:rFonts w:ascii="Arial" w:hAnsi="Arial" w:cs="Arial"/>
                <w:sz w:val="14"/>
                <w:szCs w:val="14"/>
              </w:rPr>
              <w:t xml:space="preserve"> </w:t>
            </w:r>
            <w:r w:rsidRPr="00712618">
              <w:rPr>
                <w:rFonts w:ascii="Arial" w:hAnsi="Arial" w:cs="Arial"/>
                <w:sz w:val="14"/>
                <w:szCs w:val="14"/>
              </w:rPr>
              <w:t xml:space="preserve">Se determina el promedio y da como resultado semáforo en color verde. </w:t>
            </w:r>
          </w:p>
        </w:tc>
      </w:tr>
      <w:tr w:rsidR="00712618" w:rsidRPr="00712618" w14:paraId="0E8A92CC" w14:textId="77777777" w:rsidTr="009E04D5">
        <w:trPr>
          <w:gridAfter w:val="1"/>
          <w:wAfter w:w="17" w:type="dxa"/>
          <w:trHeight w:val="457"/>
          <w:jc w:val="center"/>
        </w:trPr>
        <w:tc>
          <w:tcPr>
            <w:tcW w:w="562" w:type="dxa"/>
            <w:vAlign w:val="center"/>
          </w:tcPr>
          <w:p w14:paraId="71CB8CEA"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86</w:t>
            </w:r>
          </w:p>
        </w:tc>
        <w:tc>
          <w:tcPr>
            <w:tcW w:w="1134" w:type="dxa"/>
            <w:vAlign w:val="center"/>
          </w:tcPr>
          <w:p w14:paraId="28E9CFD7"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Instituto Municipal de la Mujer</w:t>
            </w:r>
          </w:p>
        </w:tc>
        <w:tc>
          <w:tcPr>
            <w:tcW w:w="709" w:type="dxa"/>
            <w:vAlign w:val="center"/>
          </w:tcPr>
          <w:p w14:paraId="2CD7351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571B650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851" w:type="dxa"/>
            <w:vAlign w:val="center"/>
          </w:tcPr>
          <w:p w14:paraId="50FEA80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09" w:type="dxa"/>
            <w:vAlign w:val="center"/>
          </w:tcPr>
          <w:p w14:paraId="5482395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22DE9C0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511518E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7</w:t>
            </w:r>
          </w:p>
        </w:tc>
        <w:tc>
          <w:tcPr>
            <w:tcW w:w="689" w:type="dxa"/>
            <w:vAlign w:val="center"/>
          </w:tcPr>
          <w:p w14:paraId="3168432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28" w:type="dxa"/>
            <w:vAlign w:val="center"/>
          </w:tcPr>
          <w:p w14:paraId="07E44F9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5CCD037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2713" w:type="dxa"/>
            <w:vAlign w:val="center"/>
          </w:tcPr>
          <w:p w14:paraId="400B5A0E"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promedian un 86.71; hubo un incremento en atenciones a mujeres; no se alcanzaron las metas en capacitaciones, acompañamientos y canalizaciones atendidas en temas de sensibilización y transverzalización de perspectiva de género; excedente en servicios Integrales de Salud</w:t>
            </w:r>
            <w:r w:rsidR="001376C7">
              <w:rPr>
                <w:rFonts w:ascii="Arial" w:hAnsi="Arial" w:cs="Arial"/>
                <w:sz w:val="14"/>
                <w:szCs w:val="14"/>
              </w:rPr>
              <w:t xml:space="preserve"> </w:t>
            </w:r>
            <w:r w:rsidRPr="00712618">
              <w:rPr>
                <w:rFonts w:ascii="Arial" w:hAnsi="Arial" w:cs="Arial"/>
                <w:sz w:val="14"/>
                <w:szCs w:val="14"/>
              </w:rPr>
              <w:t>para la mujer; excedente de lo programado en servicios a la Mujer Para Facilitar el Acceso a la Justicia.</w:t>
            </w:r>
          </w:p>
        </w:tc>
      </w:tr>
      <w:tr w:rsidR="00712618" w:rsidRPr="00712618" w14:paraId="5BFBE84D" w14:textId="77777777" w:rsidTr="009E04D5">
        <w:trPr>
          <w:gridAfter w:val="1"/>
          <w:wAfter w:w="17" w:type="dxa"/>
          <w:trHeight w:val="333"/>
          <w:jc w:val="center"/>
        </w:trPr>
        <w:tc>
          <w:tcPr>
            <w:tcW w:w="562" w:type="dxa"/>
            <w:vAlign w:val="center"/>
          </w:tcPr>
          <w:p w14:paraId="752E4910"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87</w:t>
            </w:r>
          </w:p>
        </w:tc>
        <w:tc>
          <w:tcPr>
            <w:tcW w:w="1134" w:type="dxa"/>
            <w:vAlign w:val="center"/>
          </w:tcPr>
          <w:p w14:paraId="0BB5EA6B"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Operadora y Administradora de Bienes Municipales S.A de C.V,</w:t>
            </w:r>
          </w:p>
        </w:tc>
        <w:tc>
          <w:tcPr>
            <w:tcW w:w="709" w:type="dxa"/>
            <w:vAlign w:val="center"/>
          </w:tcPr>
          <w:p w14:paraId="5CEECB3C"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4FF797C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851" w:type="dxa"/>
            <w:vAlign w:val="center"/>
          </w:tcPr>
          <w:p w14:paraId="6885DAF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722D5E3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518437D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585E7D6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3BFCE96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28" w:type="dxa"/>
            <w:vAlign w:val="center"/>
          </w:tcPr>
          <w:p w14:paraId="7091DA5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267347D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2713" w:type="dxa"/>
            <w:vAlign w:val="center"/>
          </w:tcPr>
          <w:p w14:paraId="2F975746"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El indicador estratégico a nivel fin presenta un 135.71% de avance; la entidad no presenta la justificación correspondiente. El indicador de gestión presenta un avance del 40.00%, sin justificar el motivo por el que no cumplió con la meta..</w:t>
            </w:r>
          </w:p>
        </w:tc>
      </w:tr>
      <w:tr w:rsidR="00712618" w:rsidRPr="00712618" w14:paraId="6D7A3B3F" w14:textId="77777777" w:rsidTr="009E04D5">
        <w:trPr>
          <w:gridAfter w:val="1"/>
          <w:wAfter w:w="17" w:type="dxa"/>
          <w:trHeight w:val="553"/>
          <w:jc w:val="center"/>
        </w:trPr>
        <w:tc>
          <w:tcPr>
            <w:tcW w:w="562" w:type="dxa"/>
            <w:vAlign w:val="center"/>
          </w:tcPr>
          <w:p w14:paraId="6A0BC3F0"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lastRenderedPageBreak/>
              <w:t>88</w:t>
            </w:r>
          </w:p>
        </w:tc>
        <w:tc>
          <w:tcPr>
            <w:tcW w:w="1134" w:type="dxa"/>
            <w:vAlign w:val="center"/>
          </w:tcPr>
          <w:p w14:paraId="6068B297"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Radio Cultural Ayuntamiento de Benito Juárez</w:t>
            </w:r>
          </w:p>
        </w:tc>
        <w:tc>
          <w:tcPr>
            <w:tcW w:w="709" w:type="dxa"/>
            <w:vAlign w:val="center"/>
          </w:tcPr>
          <w:p w14:paraId="2B9833F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090EF7F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1E4B285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4456EC7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694" w:type="dxa"/>
            <w:vAlign w:val="center"/>
          </w:tcPr>
          <w:p w14:paraId="55B9814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48A1F6B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08825D2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28" w:type="dxa"/>
            <w:vAlign w:val="center"/>
          </w:tcPr>
          <w:p w14:paraId="0C3BEA5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7199272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2713" w:type="dxa"/>
            <w:vAlign w:val="center"/>
          </w:tcPr>
          <w:p w14:paraId="1B7EE094"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El indicador estratégico presentó un avance, se argumenta que la meta anual es NO acumulable se registra 0.00% en el avance de la meta anual programada, al momento de convertir dividiendo entre los 4 trimestres el porcentaje es de 83.62%, debido a que en el primer, segundo, tercer y cuarto trimestre se encuentra por debajo de la meta programada. El indicador de gestión representa un 142.85, señalando que se rebaso las metas programadas ya que se transmitieron más programas culturales.</w:t>
            </w:r>
          </w:p>
        </w:tc>
      </w:tr>
      <w:tr w:rsidR="00712618" w:rsidRPr="00712618" w14:paraId="00715F89" w14:textId="77777777" w:rsidTr="009E04D5">
        <w:trPr>
          <w:gridAfter w:val="1"/>
          <w:wAfter w:w="17" w:type="dxa"/>
          <w:trHeight w:val="1032"/>
          <w:jc w:val="center"/>
        </w:trPr>
        <w:tc>
          <w:tcPr>
            <w:tcW w:w="562" w:type="dxa"/>
            <w:vAlign w:val="center"/>
          </w:tcPr>
          <w:p w14:paraId="053FC38C"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89</w:t>
            </w:r>
          </w:p>
        </w:tc>
        <w:tc>
          <w:tcPr>
            <w:tcW w:w="1134" w:type="dxa"/>
            <w:vAlign w:val="center"/>
          </w:tcPr>
          <w:p w14:paraId="7A3D7572"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Sistema para el Desarrollo Integral de la Familia del Municipio de Benito Juárez </w:t>
            </w:r>
          </w:p>
        </w:tc>
        <w:tc>
          <w:tcPr>
            <w:tcW w:w="709" w:type="dxa"/>
            <w:vAlign w:val="center"/>
          </w:tcPr>
          <w:p w14:paraId="22CFA15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126D0AB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851" w:type="dxa"/>
            <w:vAlign w:val="center"/>
          </w:tcPr>
          <w:p w14:paraId="7C415B0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09" w:type="dxa"/>
            <w:vAlign w:val="center"/>
          </w:tcPr>
          <w:p w14:paraId="724E3D7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3E98C5F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05EE5B9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35</w:t>
            </w:r>
          </w:p>
        </w:tc>
        <w:tc>
          <w:tcPr>
            <w:tcW w:w="689" w:type="dxa"/>
            <w:vAlign w:val="center"/>
          </w:tcPr>
          <w:p w14:paraId="243C4357"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22</w:t>
            </w:r>
          </w:p>
        </w:tc>
        <w:tc>
          <w:tcPr>
            <w:tcW w:w="728" w:type="dxa"/>
            <w:vAlign w:val="center"/>
          </w:tcPr>
          <w:p w14:paraId="36F01CC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5</w:t>
            </w:r>
          </w:p>
        </w:tc>
        <w:tc>
          <w:tcPr>
            <w:tcW w:w="709" w:type="dxa"/>
            <w:vAlign w:val="center"/>
          </w:tcPr>
          <w:p w14:paraId="348CAC4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8</w:t>
            </w:r>
          </w:p>
        </w:tc>
        <w:tc>
          <w:tcPr>
            <w:tcW w:w="2713" w:type="dxa"/>
            <w:vAlign w:val="center"/>
          </w:tcPr>
          <w:p w14:paraId="13BACDAF"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Los indicadores estratégicos a nivel Fin no alcanzaron la meta. Los indicadores de gestión con un promedio de 192.92% de avance superaron la meta anual, debido a que se efectuaron 77 procuraciones de apoyos económicos y recursos para coadyuvar al mejoramiento de los servicios del Sistema de los 48 programados; se superó la meta debido a la gran labor que realizan las damas voluntarias con la gestión de conseguir apoyos para los diferentes programas del Sistema. Se realizaron 14,103 procesos de apoyo administrativo de los 6,524 programados; se superó la meta anual por el constante mantenimiento que requieren los diferentes inmuebles y por la operatividad de los programas que se realizan en beneficio de la población vulnerable del municipio. Se entregaron 807 Donativos dirigidos a fortalecer los servicios sociales de las diferentes áreas del Sistema y organizaciones no gubernamentales; durante el año se tuvo un mayor número de donativos recibidos y a su vez se benefició a una mayor cantidad de personas en estado de vulnerabilidad. Se atendieron 6,775 personas con los servicios de prevención de la explotación infantil y delito de trata de niñas, niñas y adolescentes. Se beneficiaron a 16,555 niñas, niños, adolescentes y su familia con los servicios de asistencia social y jurídica; Se otorgaron 204 atenciones psicosociales y acompañamiento a las personas que habitan en las zonas prioritarias de Benito Juárez. </w:t>
            </w:r>
          </w:p>
        </w:tc>
      </w:tr>
      <w:tr w:rsidR="00712618" w:rsidRPr="00712618" w14:paraId="15A3CA31" w14:textId="77777777" w:rsidTr="009E04D5">
        <w:trPr>
          <w:gridAfter w:val="1"/>
          <w:wAfter w:w="17" w:type="dxa"/>
          <w:trHeight w:val="316"/>
          <w:jc w:val="center"/>
        </w:trPr>
        <w:tc>
          <w:tcPr>
            <w:tcW w:w="562" w:type="dxa"/>
            <w:vAlign w:val="center"/>
          </w:tcPr>
          <w:p w14:paraId="186ABDA6"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90</w:t>
            </w:r>
          </w:p>
        </w:tc>
        <w:tc>
          <w:tcPr>
            <w:tcW w:w="1134" w:type="dxa"/>
            <w:vAlign w:val="center"/>
          </w:tcPr>
          <w:p w14:paraId="51FA4998"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Sistema para el Desarrollo Integral de la Familia del Municipio de Cozumel</w:t>
            </w:r>
          </w:p>
        </w:tc>
        <w:tc>
          <w:tcPr>
            <w:tcW w:w="709" w:type="dxa"/>
            <w:vAlign w:val="center"/>
          </w:tcPr>
          <w:p w14:paraId="09E62BB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5E27E56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3B982C5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57E98E2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35FF166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160B5C0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8</w:t>
            </w:r>
          </w:p>
        </w:tc>
        <w:tc>
          <w:tcPr>
            <w:tcW w:w="689" w:type="dxa"/>
            <w:vAlign w:val="center"/>
          </w:tcPr>
          <w:p w14:paraId="4CD5BCD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6</w:t>
            </w:r>
          </w:p>
        </w:tc>
        <w:tc>
          <w:tcPr>
            <w:tcW w:w="728" w:type="dxa"/>
            <w:vAlign w:val="center"/>
          </w:tcPr>
          <w:p w14:paraId="3EB9CD6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7909F80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2713" w:type="dxa"/>
            <w:vAlign w:val="center"/>
          </w:tcPr>
          <w:p w14:paraId="0E7E12CC"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Los indicadores de gestión presentan un promedio de avance del 164.47%. Se logró la recaudación propia. Se redujeron los casos de menores con derechos vulnerados. Se han implementado medidas preventivas sobre la población en debido al aumento de casos de violencia familiar. </w:t>
            </w:r>
          </w:p>
        </w:tc>
      </w:tr>
      <w:tr w:rsidR="00712618" w:rsidRPr="00712618" w14:paraId="6DC544AD" w14:textId="77777777" w:rsidTr="009E04D5">
        <w:trPr>
          <w:gridAfter w:val="1"/>
          <w:wAfter w:w="17" w:type="dxa"/>
          <w:trHeight w:val="688"/>
          <w:jc w:val="center"/>
        </w:trPr>
        <w:tc>
          <w:tcPr>
            <w:tcW w:w="562" w:type="dxa"/>
            <w:vAlign w:val="center"/>
          </w:tcPr>
          <w:p w14:paraId="4790887A"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91</w:t>
            </w:r>
          </w:p>
        </w:tc>
        <w:tc>
          <w:tcPr>
            <w:tcW w:w="1134" w:type="dxa"/>
            <w:vAlign w:val="center"/>
          </w:tcPr>
          <w:p w14:paraId="0ED07F86"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Sistema para el Desarrollo Integral de la Familia del Municipio de Isla Mujeres</w:t>
            </w:r>
          </w:p>
        </w:tc>
        <w:tc>
          <w:tcPr>
            <w:tcW w:w="709" w:type="dxa"/>
            <w:vAlign w:val="center"/>
          </w:tcPr>
          <w:p w14:paraId="6FB8EAE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25" w:type="dxa"/>
            <w:shd w:val="clear" w:color="auto" w:fill="D9D9D9" w:themeFill="background1" w:themeFillShade="D9"/>
            <w:vAlign w:val="center"/>
          </w:tcPr>
          <w:p w14:paraId="24198F9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851" w:type="dxa"/>
            <w:vAlign w:val="center"/>
          </w:tcPr>
          <w:p w14:paraId="03A679B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249702A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504D462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440" w:type="dxa"/>
            <w:shd w:val="clear" w:color="auto" w:fill="D9D9D9" w:themeFill="background1" w:themeFillShade="D9"/>
            <w:vAlign w:val="center"/>
          </w:tcPr>
          <w:p w14:paraId="3F889085"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13</w:t>
            </w:r>
          </w:p>
        </w:tc>
        <w:tc>
          <w:tcPr>
            <w:tcW w:w="689" w:type="dxa"/>
            <w:vAlign w:val="center"/>
          </w:tcPr>
          <w:p w14:paraId="751D160E"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7</w:t>
            </w:r>
          </w:p>
        </w:tc>
        <w:tc>
          <w:tcPr>
            <w:tcW w:w="728" w:type="dxa"/>
            <w:vAlign w:val="center"/>
          </w:tcPr>
          <w:p w14:paraId="77E40BD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02A6777F"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6</w:t>
            </w:r>
          </w:p>
        </w:tc>
        <w:tc>
          <w:tcPr>
            <w:tcW w:w="2713" w:type="dxa"/>
            <w:vAlign w:val="center"/>
          </w:tcPr>
          <w:p w14:paraId="4742EE85"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Los indicadores de gestión promedian el 111.11%; no realizaron todas las comparecencias debido a la baja fluencia de asistencia de los usuarios; por el cambio del procurador; gente que no requirió dicho servicio; se rebasaron metas con respecto a los distintos apoyos que </w:t>
            </w:r>
            <w:r w:rsidRPr="00712618">
              <w:rPr>
                <w:rFonts w:ascii="Arial" w:hAnsi="Arial" w:cs="Arial"/>
                <w:sz w:val="14"/>
                <w:szCs w:val="14"/>
              </w:rPr>
              <w:lastRenderedPageBreak/>
              <w:t>ofrece el Instituto como: consultas a personas con diversas lesiones para rehabilitación, nutrición y enfermería; se logró tener menores alumnos en los CENDIS debido a que se encontraban en mantenimiento; se rebasó el número de eventos realizados en áreas vulnerables; no se alcanzó en su totalidad darle mantenimiento a los vehículos del instituto.</w:t>
            </w:r>
          </w:p>
        </w:tc>
      </w:tr>
      <w:tr w:rsidR="00712618" w:rsidRPr="00712618" w14:paraId="3DC09AD3" w14:textId="77777777" w:rsidTr="009E04D5">
        <w:trPr>
          <w:gridAfter w:val="1"/>
          <w:wAfter w:w="17" w:type="dxa"/>
          <w:trHeight w:val="1032"/>
          <w:jc w:val="center"/>
        </w:trPr>
        <w:tc>
          <w:tcPr>
            <w:tcW w:w="562" w:type="dxa"/>
            <w:vAlign w:val="center"/>
          </w:tcPr>
          <w:p w14:paraId="43E881F4"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92</w:t>
            </w:r>
          </w:p>
        </w:tc>
        <w:tc>
          <w:tcPr>
            <w:tcW w:w="1134" w:type="dxa"/>
            <w:vAlign w:val="center"/>
          </w:tcPr>
          <w:p w14:paraId="49CE5711"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Sistema para el Desarrollo Integral de la Familia del Municipio de Othón P. Blanco</w:t>
            </w:r>
          </w:p>
        </w:tc>
        <w:tc>
          <w:tcPr>
            <w:tcW w:w="709" w:type="dxa"/>
            <w:vAlign w:val="center"/>
          </w:tcPr>
          <w:p w14:paraId="0BEEF07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688B84B4"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4B6EE32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09" w:type="dxa"/>
            <w:vAlign w:val="center"/>
          </w:tcPr>
          <w:p w14:paraId="780E23D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5182D26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22CF138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689" w:type="dxa"/>
            <w:vAlign w:val="center"/>
          </w:tcPr>
          <w:p w14:paraId="7D2D3F3D"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28" w:type="dxa"/>
            <w:vAlign w:val="center"/>
          </w:tcPr>
          <w:p w14:paraId="4BE00A82"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6D000719"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2713" w:type="dxa"/>
            <w:vAlign w:val="center"/>
          </w:tcPr>
          <w:p w14:paraId="351D3D2C"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establecen un promedio de 189.55% de avance. Se obtuvo un mejor aprovechamiento de los recursos y con ello obtenemos mejores resultados a los previstos.</w:t>
            </w:r>
            <w:r w:rsidR="001376C7">
              <w:rPr>
                <w:rFonts w:ascii="Arial" w:hAnsi="Arial" w:cs="Arial"/>
                <w:sz w:val="14"/>
                <w:szCs w:val="14"/>
              </w:rPr>
              <w:t xml:space="preserve"> </w:t>
            </w:r>
          </w:p>
        </w:tc>
      </w:tr>
      <w:tr w:rsidR="00712618" w:rsidRPr="00712618" w14:paraId="70E0C30C" w14:textId="77777777" w:rsidTr="009E04D5">
        <w:trPr>
          <w:gridAfter w:val="1"/>
          <w:wAfter w:w="17" w:type="dxa"/>
          <w:trHeight w:val="599"/>
          <w:jc w:val="center"/>
        </w:trPr>
        <w:tc>
          <w:tcPr>
            <w:tcW w:w="562" w:type="dxa"/>
            <w:vAlign w:val="center"/>
          </w:tcPr>
          <w:p w14:paraId="21006254"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93</w:t>
            </w:r>
          </w:p>
        </w:tc>
        <w:tc>
          <w:tcPr>
            <w:tcW w:w="1134" w:type="dxa"/>
            <w:vAlign w:val="center"/>
          </w:tcPr>
          <w:p w14:paraId="26C8E38B"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Sistema para el Desarrollo Integral de la Familia del Municipio de Solidaridad</w:t>
            </w:r>
          </w:p>
        </w:tc>
        <w:tc>
          <w:tcPr>
            <w:tcW w:w="709" w:type="dxa"/>
            <w:vAlign w:val="center"/>
          </w:tcPr>
          <w:p w14:paraId="03CE19B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14BD99F6"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48C83E5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709" w:type="dxa"/>
            <w:vAlign w:val="center"/>
          </w:tcPr>
          <w:p w14:paraId="450C96DA"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0F03FDB8"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440" w:type="dxa"/>
            <w:shd w:val="clear" w:color="auto" w:fill="D9D9D9" w:themeFill="background1" w:themeFillShade="D9"/>
            <w:vAlign w:val="center"/>
          </w:tcPr>
          <w:p w14:paraId="27292B20"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23</w:t>
            </w:r>
          </w:p>
        </w:tc>
        <w:tc>
          <w:tcPr>
            <w:tcW w:w="689" w:type="dxa"/>
            <w:vAlign w:val="center"/>
          </w:tcPr>
          <w:p w14:paraId="716835B3"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14</w:t>
            </w:r>
          </w:p>
        </w:tc>
        <w:tc>
          <w:tcPr>
            <w:tcW w:w="728" w:type="dxa"/>
            <w:vAlign w:val="center"/>
          </w:tcPr>
          <w:p w14:paraId="45E11461"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3</w:t>
            </w:r>
          </w:p>
        </w:tc>
        <w:tc>
          <w:tcPr>
            <w:tcW w:w="709" w:type="dxa"/>
            <w:vAlign w:val="center"/>
          </w:tcPr>
          <w:p w14:paraId="66D7ACEB" w14:textId="77777777" w:rsidR="00712618" w:rsidRPr="00712618" w:rsidRDefault="00712618" w:rsidP="00712618">
            <w:pPr>
              <w:adjustRightInd w:val="0"/>
              <w:spacing w:before="120" w:after="120" w:line="240" w:lineRule="auto"/>
              <w:ind w:right="-68"/>
              <w:jc w:val="center"/>
              <w:rPr>
                <w:rFonts w:ascii="Arial" w:hAnsi="Arial" w:cs="Arial"/>
                <w:sz w:val="14"/>
                <w:szCs w:val="14"/>
              </w:rPr>
            </w:pPr>
            <w:r w:rsidRPr="00712618">
              <w:rPr>
                <w:rFonts w:ascii="Arial" w:hAnsi="Arial" w:cs="Arial"/>
                <w:sz w:val="14"/>
                <w:szCs w:val="14"/>
              </w:rPr>
              <w:t>6</w:t>
            </w:r>
          </w:p>
        </w:tc>
        <w:tc>
          <w:tcPr>
            <w:tcW w:w="2713" w:type="dxa"/>
            <w:vAlign w:val="center"/>
          </w:tcPr>
          <w:p w14:paraId="7B11B1D9"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Los indicadores estratégicos promedian un 28.24% de avance; no se logró la meta por la contingencia sanitaria. Los Indicadores de gestión promedian un 69.84%, no se alcanzaron los programas establecidos en las distintas actividades de apoyo a la gente propias del instituto.</w:t>
            </w:r>
          </w:p>
        </w:tc>
      </w:tr>
      <w:tr w:rsidR="00712618" w:rsidRPr="00712618" w14:paraId="4AA65B59" w14:textId="77777777" w:rsidTr="009E04D5">
        <w:trPr>
          <w:gridAfter w:val="1"/>
          <w:wAfter w:w="17" w:type="dxa"/>
          <w:trHeight w:val="596"/>
          <w:jc w:val="center"/>
        </w:trPr>
        <w:tc>
          <w:tcPr>
            <w:tcW w:w="562" w:type="dxa"/>
            <w:vAlign w:val="center"/>
          </w:tcPr>
          <w:p w14:paraId="79A78EE1"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94</w:t>
            </w:r>
          </w:p>
        </w:tc>
        <w:tc>
          <w:tcPr>
            <w:tcW w:w="1134" w:type="dxa"/>
            <w:vAlign w:val="center"/>
          </w:tcPr>
          <w:p w14:paraId="2C2140C1"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 xml:space="preserve">Sistema para el Desarrollo Integral de la Familia del Municipio de Tulum </w:t>
            </w:r>
          </w:p>
        </w:tc>
        <w:tc>
          <w:tcPr>
            <w:tcW w:w="709" w:type="dxa"/>
            <w:vAlign w:val="center"/>
          </w:tcPr>
          <w:p w14:paraId="12BDFF10"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1DEEBF36"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6B2A4F82"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09" w:type="dxa"/>
            <w:vAlign w:val="center"/>
          </w:tcPr>
          <w:p w14:paraId="513926B6"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188EF0F5"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40" w:type="dxa"/>
            <w:shd w:val="clear" w:color="auto" w:fill="D9D9D9" w:themeFill="background1" w:themeFillShade="D9"/>
            <w:vAlign w:val="center"/>
          </w:tcPr>
          <w:p w14:paraId="3EBE9C81"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12</w:t>
            </w:r>
          </w:p>
        </w:tc>
        <w:tc>
          <w:tcPr>
            <w:tcW w:w="689" w:type="dxa"/>
            <w:vAlign w:val="center"/>
          </w:tcPr>
          <w:p w14:paraId="3186CEDD"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8</w:t>
            </w:r>
          </w:p>
        </w:tc>
        <w:tc>
          <w:tcPr>
            <w:tcW w:w="728" w:type="dxa"/>
            <w:vAlign w:val="center"/>
          </w:tcPr>
          <w:p w14:paraId="1BBAD180"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6903CD7A"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2713" w:type="dxa"/>
            <w:vAlign w:val="center"/>
          </w:tcPr>
          <w:p w14:paraId="51EEA114"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El indicador estratégico a nivel Propósito refleja un 134.03% de avance; este propósito se contabiliza de forma semestral, por lo cual este ultimo trimestre se vio reflejado que se sobrepasó la meta programada, esto debido a que aun que no atendieron a las personas que esperaban, las que se atendieron fueron constantes y también se les brindo diferentes servicios, es por eso que en este rubro se dieron más servicios de los esperados.</w:t>
            </w:r>
          </w:p>
        </w:tc>
      </w:tr>
      <w:tr w:rsidR="00712618" w:rsidRPr="00712618" w14:paraId="62EFC5B0" w14:textId="77777777" w:rsidTr="009E04D5">
        <w:trPr>
          <w:gridAfter w:val="1"/>
          <w:wAfter w:w="17" w:type="dxa"/>
          <w:trHeight w:val="741"/>
          <w:jc w:val="center"/>
        </w:trPr>
        <w:tc>
          <w:tcPr>
            <w:tcW w:w="562" w:type="dxa"/>
            <w:vAlign w:val="center"/>
          </w:tcPr>
          <w:p w14:paraId="6B0B526D" w14:textId="77777777" w:rsidR="00712618" w:rsidRPr="00712618" w:rsidRDefault="00712618" w:rsidP="00712618">
            <w:pPr>
              <w:adjustRightInd w:val="0"/>
              <w:spacing w:before="120" w:after="120" w:line="240" w:lineRule="auto"/>
              <w:jc w:val="center"/>
              <w:rPr>
                <w:rFonts w:ascii="Arial" w:hAnsi="Arial" w:cs="Arial"/>
                <w:bCs/>
                <w:color w:val="000000"/>
                <w:sz w:val="14"/>
                <w:szCs w:val="14"/>
              </w:rPr>
            </w:pPr>
            <w:r w:rsidRPr="00712618">
              <w:rPr>
                <w:rFonts w:ascii="Arial" w:hAnsi="Arial" w:cs="Arial"/>
                <w:bCs/>
                <w:color w:val="000000"/>
                <w:sz w:val="14"/>
                <w:szCs w:val="14"/>
              </w:rPr>
              <w:t>95</w:t>
            </w:r>
          </w:p>
        </w:tc>
        <w:tc>
          <w:tcPr>
            <w:tcW w:w="1134" w:type="dxa"/>
            <w:vAlign w:val="center"/>
          </w:tcPr>
          <w:p w14:paraId="2C660B6C"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Solución Integral de Residuos Sólidos Cancún</w:t>
            </w:r>
          </w:p>
        </w:tc>
        <w:tc>
          <w:tcPr>
            <w:tcW w:w="709" w:type="dxa"/>
            <w:vAlign w:val="center"/>
          </w:tcPr>
          <w:p w14:paraId="61D0F065"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425" w:type="dxa"/>
            <w:shd w:val="clear" w:color="auto" w:fill="D9D9D9" w:themeFill="background1" w:themeFillShade="D9"/>
            <w:vAlign w:val="center"/>
          </w:tcPr>
          <w:p w14:paraId="27A33B71"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851" w:type="dxa"/>
            <w:vAlign w:val="center"/>
          </w:tcPr>
          <w:p w14:paraId="3C2C3558"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07073BE7"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694" w:type="dxa"/>
            <w:vAlign w:val="center"/>
          </w:tcPr>
          <w:p w14:paraId="3B91B29C"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2</w:t>
            </w:r>
          </w:p>
        </w:tc>
        <w:tc>
          <w:tcPr>
            <w:tcW w:w="440" w:type="dxa"/>
            <w:shd w:val="clear" w:color="auto" w:fill="D9D9D9" w:themeFill="background1" w:themeFillShade="D9"/>
            <w:vAlign w:val="center"/>
          </w:tcPr>
          <w:p w14:paraId="5F7DCC28"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5</w:t>
            </w:r>
          </w:p>
        </w:tc>
        <w:tc>
          <w:tcPr>
            <w:tcW w:w="689" w:type="dxa"/>
            <w:vAlign w:val="center"/>
          </w:tcPr>
          <w:p w14:paraId="780E114A"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1</w:t>
            </w:r>
          </w:p>
        </w:tc>
        <w:tc>
          <w:tcPr>
            <w:tcW w:w="728" w:type="dxa"/>
            <w:vAlign w:val="center"/>
          </w:tcPr>
          <w:p w14:paraId="4EBA4043"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0</w:t>
            </w:r>
          </w:p>
        </w:tc>
        <w:tc>
          <w:tcPr>
            <w:tcW w:w="709" w:type="dxa"/>
            <w:vAlign w:val="center"/>
          </w:tcPr>
          <w:p w14:paraId="5A403842" w14:textId="77777777" w:rsidR="00712618" w:rsidRPr="00712618" w:rsidRDefault="00712618" w:rsidP="00712618">
            <w:pPr>
              <w:spacing w:before="120" w:after="120" w:line="240" w:lineRule="auto"/>
              <w:ind w:right="-68"/>
              <w:jc w:val="center"/>
              <w:rPr>
                <w:rFonts w:ascii="Arial" w:hAnsi="Arial" w:cs="Arial"/>
                <w:sz w:val="14"/>
                <w:szCs w:val="14"/>
              </w:rPr>
            </w:pPr>
            <w:r w:rsidRPr="00712618">
              <w:rPr>
                <w:rFonts w:ascii="Arial" w:hAnsi="Arial" w:cs="Arial"/>
                <w:sz w:val="14"/>
                <w:szCs w:val="14"/>
              </w:rPr>
              <w:t>4</w:t>
            </w:r>
          </w:p>
        </w:tc>
        <w:tc>
          <w:tcPr>
            <w:tcW w:w="2713" w:type="dxa"/>
            <w:vAlign w:val="center"/>
          </w:tcPr>
          <w:p w14:paraId="6CBB27B9" w14:textId="77777777" w:rsidR="00712618" w:rsidRPr="00712618" w:rsidRDefault="00712618" w:rsidP="00712618">
            <w:pPr>
              <w:adjustRightInd w:val="0"/>
              <w:spacing w:before="120" w:after="120" w:line="240" w:lineRule="auto"/>
              <w:ind w:right="-68"/>
              <w:jc w:val="both"/>
              <w:rPr>
                <w:rFonts w:ascii="Arial" w:hAnsi="Arial" w:cs="Arial"/>
                <w:sz w:val="14"/>
                <w:szCs w:val="14"/>
              </w:rPr>
            </w:pPr>
            <w:r w:rsidRPr="00712618">
              <w:rPr>
                <w:rFonts w:ascii="Arial" w:hAnsi="Arial" w:cs="Arial"/>
                <w:sz w:val="14"/>
                <w:szCs w:val="14"/>
              </w:rPr>
              <w:t>De los indicadores de gestión se establece un porcentaje de 139.25%: Esto es debido a que se registraron 79,096 ciudadanos enfocados en</w:t>
            </w:r>
            <w:r w:rsidR="001376C7">
              <w:rPr>
                <w:rFonts w:ascii="Arial" w:hAnsi="Arial" w:cs="Arial"/>
                <w:sz w:val="14"/>
                <w:szCs w:val="14"/>
              </w:rPr>
              <w:t xml:space="preserve"> </w:t>
            </w:r>
            <w:r w:rsidRPr="00712618">
              <w:rPr>
                <w:rFonts w:ascii="Arial" w:hAnsi="Arial" w:cs="Arial"/>
                <w:sz w:val="14"/>
                <w:szCs w:val="14"/>
              </w:rPr>
              <w:t>buenas prácticas sobre el manejo de residuos sólidos urbanos, de las 56,800 que estaban programadas durante todo el 2022,</w:t>
            </w:r>
            <w:r w:rsidR="001376C7">
              <w:rPr>
                <w:rFonts w:ascii="Arial" w:hAnsi="Arial" w:cs="Arial"/>
                <w:sz w:val="14"/>
                <w:szCs w:val="14"/>
              </w:rPr>
              <w:t xml:space="preserve"> </w:t>
            </w:r>
          </w:p>
        </w:tc>
      </w:tr>
    </w:tbl>
    <w:p w14:paraId="237FD6EB" w14:textId="77777777" w:rsidR="00712618" w:rsidRPr="00712618" w:rsidRDefault="00712618" w:rsidP="00712618">
      <w:pPr>
        <w:spacing w:after="0" w:line="240" w:lineRule="auto"/>
        <w:ind w:right="51"/>
        <w:jc w:val="both"/>
        <w:rPr>
          <w:sz w:val="14"/>
          <w:szCs w:val="20"/>
        </w:rPr>
      </w:pPr>
      <w:r w:rsidRPr="00712618">
        <w:rPr>
          <w:sz w:val="14"/>
          <w:szCs w:val="20"/>
        </w:rPr>
        <w:t>Fuente de información: La evaluación corresponde a los rangos establecidos en la Guía para la Construcción de Indicadores de Desempeño para el Gobierno del Estado de Quintana Roo que la Secretaría de Finanzas y Planeación publica en el siguiente link http://148.235.173.216:8081/pbr/SIPPRES/2022/Guia_Matriz_Indicadores_Resultados_2022.pdf</w:t>
      </w:r>
    </w:p>
    <w:p w14:paraId="7A64B103" w14:textId="77777777" w:rsidR="00D6051B" w:rsidRDefault="00D6051B" w:rsidP="00F67A58">
      <w:pPr>
        <w:jc w:val="both"/>
        <w:rPr>
          <w:rFonts w:ascii="Arial" w:hAnsi="Arial" w:cs="Arial"/>
          <w:sz w:val="24"/>
          <w:szCs w:val="24"/>
        </w:rPr>
      </w:pPr>
    </w:p>
    <w:p w14:paraId="03E7B069" w14:textId="77777777" w:rsidR="00D6051B" w:rsidRDefault="00D6051B" w:rsidP="00F67A58">
      <w:pPr>
        <w:jc w:val="both"/>
        <w:rPr>
          <w:rFonts w:ascii="Arial" w:hAnsi="Arial" w:cs="Arial"/>
          <w:sz w:val="24"/>
          <w:szCs w:val="24"/>
        </w:rPr>
      </w:pPr>
    </w:p>
    <w:p w14:paraId="6A676A68" w14:textId="77777777" w:rsidR="00A56947" w:rsidRDefault="00A56947" w:rsidP="00F67A58">
      <w:pPr>
        <w:jc w:val="both"/>
        <w:rPr>
          <w:rFonts w:ascii="Arial" w:hAnsi="Arial" w:cs="Arial"/>
          <w:sz w:val="24"/>
          <w:szCs w:val="24"/>
        </w:rPr>
      </w:pPr>
      <w:r>
        <w:rPr>
          <w:rFonts w:ascii="Arial" w:hAnsi="Arial" w:cs="Arial"/>
          <w:sz w:val="24"/>
          <w:szCs w:val="24"/>
        </w:rPr>
        <w:t xml:space="preserve">En atención al cumplimiento de las observaciones y recomendaciones que se derivaron del informe de la evaluación del desempeño realizadas a este Órgano Fiscalizador por la Comisión de Hacienda, Presupuesto y Cuenta en atención a los artículos 75 fracción 29, último párrafo, de la Constitución Política del Estado Libre </w:t>
      </w:r>
      <w:r w:rsidR="00420ECB">
        <w:rPr>
          <w:rFonts w:ascii="Arial" w:hAnsi="Arial" w:cs="Arial"/>
          <w:sz w:val="24"/>
          <w:szCs w:val="24"/>
        </w:rPr>
        <w:t>y S</w:t>
      </w:r>
      <w:r w:rsidR="00A557AB">
        <w:rPr>
          <w:rFonts w:ascii="Arial" w:hAnsi="Arial" w:cs="Arial"/>
          <w:sz w:val="24"/>
          <w:szCs w:val="24"/>
        </w:rPr>
        <w:t xml:space="preserve">oberano </w:t>
      </w:r>
      <w:r w:rsidR="00420ECB">
        <w:rPr>
          <w:rFonts w:ascii="Arial" w:hAnsi="Arial" w:cs="Arial"/>
          <w:sz w:val="24"/>
          <w:szCs w:val="24"/>
        </w:rPr>
        <w:t>de Quintana Roo;</w:t>
      </w:r>
      <w:r>
        <w:rPr>
          <w:rFonts w:ascii="Arial" w:hAnsi="Arial" w:cs="Arial"/>
          <w:sz w:val="24"/>
          <w:szCs w:val="24"/>
        </w:rPr>
        <w:t xml:space="preserve"> 78 </w:t>
      </w:r>
      <w:r w:rsidR="00420ECB">
        <w:rPr>
          <w:rFonts w:ascii="Arial" w:hAnsi="Arial" w:cs="Arial"/>
          <w:sz w:val="24"/>
          <w:szCs w:val="24"/>
        </w:rPr>
        <w:t>fracción</w:t>
      </w:r>
      <w:r>
        <w:rPr>
          <w:rFonts w:ascii="Arial" w:hAnsi="Arial" w:cs="Arial"/>
          <w:sz w:val="24"/>
          <w:szCs w:val="24"/>
        </w:rPr>
        <w:t xml:space="preserve"> 7, 79, 111 y 112 fracción II de </w:t>
      </w:r>
      <w:r w:rsidR="00F67A58">
        <w:rPr>
          <w:rFonts w:ascii="Arial" w:hAnsi="Arial" w:cs="Arial"/>
          <w:sz w:val="24"/>
          <w:szCs w:val="24"/>
        </w:rPr>
        <w:t>Ley de Fiscalización y Rendición d</w:t>
      </w:r>
      <w:r w:rsidR="00F67A58" w:rsidRPr="00F67A58">
        <w:rPr>
          <w:rFonts w:ascii="Arial" w:hAnsi="Arial" w:cs="Arial"/>
          <w:sz w:val="24"/>
          <w:szCs w:val="24"/>
        </w:rPr>
        <w:t>e Cuentas</w:t>
      </w:r>
      <w:r w:rsidR="00F67A58">
        <w:rPr>
          <w:rFonts w:ascii="Arial" w:hAnsi="Arial" w:cs="Arial"/>
          <w:sz w:val="24"/>
          <w:szCs w:val="24"/>
        </w:rPr>
        <w:t xml:space="preserve"> del Estado d</w:t>
      </w:r>
      <w:r w:rsidR="00F67A58" w:rsidRPr="00F67A58">
        <w:rPr>
          <w:rFonts w:ascii="Arial" w:hAnsi="Arial" w:cs="Arial"/>
          <w:sz w:val="24"/>
          <w:szCs w:val="24"/>
        </w:rPr>
        <w:t>e Quintana Roo</w:t>
      </w:r>
      <w:r w:rsidR="00F67A58">
        <w:rPr>
          <w:rFonts w:ascii="Arial" w:hAnsi="Arial" w:cs="Arial"/>
          <w:sz w:val="24"/>
          <w:szCs w:val="24"/>
        </w:rPr>
        <w:t>.</w:t>
      </w:r>
    </w:p>
    <w:p w14:paraId="1C6A15D0" w14:textId="77777777" w:rsidR="00F67A58" w:rsidRDefault="00F67A58" w:rsidP="00F67A58">
      <w:pPr>
        <w:jc w:val="both"/>
        <w:rPr>
          <w:rFonts w:ascii="Arial" w:hAnsi="Arial" w:cs="Arial"/>
          <w:sz w:val="24"/>
          <w:szCs w:val="24"/>
        </w:rPr>
      </w:pPr>
    </w:p>
    <w:tbl>
      <w:tblPr>
        <w:tblStyle w:val="Tabladecuadrcula4-nfasis3"/>
        <w:tblW w:w="4734" w:type="pct"/>
        <w:tblLook w:val="04A0" w:firstRow="1" w:lastRow="0" w:firstColumn="1" w:lastColumn="0" w:noHBand="0" w:noVBand="1"/>
      </w:tblPr>
      <w:tblGrid>
        <w:gridCol w:w="1727"/>
        <w:gridCol w:w="2478"/>
        <w:gridCol w:w="2555"/>
        <w:gridCol w:w="1598"/>
      </w:tblGrid>
      <w:tr w:rsidR="00420ECB" w:rsidRPr="007001A9" w14:paraId="7C0B7DA3" w14:textId="77777777" w:rsidTr="009F2C9A">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5000" w:type="pct"/>
            <w:gridSpan w:val="4"/>
          </w:tcPr>
          <w:p w14:paraId="2CD393F8" w14:textId="77777777" w:rsidR="00420ECB" w:rsidRPr="007001A9" w:rsidRDefault="00420ECB" w:rsidP="009F2C9A">
            <w:pPr>
              <w:jc w:val="center"/>
              <w:rPr>
                <w:rFonts w:ascii="Arial" w:eastAsia="Times New Roman" w:hAnsi="Arial" w:cs="Arial"/>
                <w:sz w:val="18"/>
                <w:szCs w:val="18"/>
                <w:lang w:eastAsia="es-MX"/>
              </w:rPr>
            </w:pPr>
            <w:r w:rsidRPr="007001A9">
              <w:rPr>
                <w:rFonts w:ascii="Arial" w:eastAsia="Times New Roman" w:hAnsi="Arial" w:cs="Arial"/>
                <w:color w:val="000000"/>
                <w:sz w:val="18"/>
                <w:szCs w:val="18"/>
                <w:lang w:eastAsia="es-MX"/>
              </w:rPr>
              <w:lastRenderedPageBreak/>
              <w:t>Auditoría Superior del Estado</w:t>
            </w:r>
          </w:p>
          <w:p w14:paraId="4BE06EE7" w14:textId="77777777" w:rsidR="00420ECB" w:rsidRPr="007001A9" w:rsidRDefault="00420ECB" w:rsidP="009F2C9A">
            <w:pPr>
              <w:jc w:val="center"/>
              <w:rPr>
                <w:rFonts w:ascii="Arial" w:eastAsia="Times New Roman" w:hAnsi="Arial" w:cs="Arial"/>
                <w:sz w:val="18"/>
                <w:szCs w:val="18"/>
                <w:lang w:eastAsia="es-MX"/>
              </w:rPr>
            </w:pPr>
            <w:r w:rsidRPr="007001A9">
              <w:rPr>
                <w:rFonts w:ascii="Arial" w:eastAsia="Times New Roman" w:hAnsi="Arial" w:cs="Arial"/>
                <w:color w:val="000000"/>
                <w:sz w:val="18"/>
                <w:szCs w:val="18"/>
                <w:lang w:eastAsia="es-MX"/>
              </w:rPr>
              <w:t>Informe que contiene las observaciones y recomendaciones que se derivan de la evaluación del desempeño realizada a la Auditoría Superior del Estado</w:t>
            </w:r>
          </w:p>
        </w:tc>
      </w:tr>
      <w:tr w:rsidR="00420ECB" w:rsidRPr="007001A9" w14:paraId="6FAF1240" w14:textId="77777777" w:rsidTr="009F2C9A">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09" w:type="pct"/>
            <w:noWrap/>
            <w:hideMark/>
          </w:tcPr>
          <w:p w14:paraId="5FDFE1BB" w14:textId="77777777" w:rsidR="00420ECB" w:rsidRPr="007001A9" w:rsidRDefault="00420ECB" w:rsidP="009F2C9A">
            <w:pPr>
              <w:jc w:val="center"/>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Hallazgo</w:t>
            </w:r>
          </w:p>
        </w:tc>
        <w:tc>
          <w:tcPr>
            <w:tcW w:w="1524" w:type="pct"/>
            <w:noWrap/>
            <w:hideMark/>
          </w:tcPr>
          <w:p w14:paraId="2AE3A52B" w14:textId="77777777" w:rsidR="00420ECB" w:rsidRPr="007001A9" w:rsidRDefault="00420ECB" w:rsidP="009F2C9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7001A9">
              <w:rPr>
                <w:rFonts w:ascii="Arial" w:eastAsia="Times New Roman" w:hAnsi="Arial" w:cs="Arial"/>
                <w:b/>
                <w:bCs/>
                <w:color w:val="000000"/>
                <w:sz w:val="18"/>
                <w:szCs w:val="18"/>
                <w:lang w:eastAsia="es-MX"/>
              </w:rPr>
              <w:t>Recomendación</w:t>
            </w:r>
          </w:p>
        </w:tc>
        <w:tc>
          <w:tcPr>
            <w:tcW w:w="1570" w:type="pct"/>
            <w:noWrap/>
            <w:hideMark/>
          </w:tcPr>
          <w:p w14:paraId="7A441B1D" w14:textId="77777777" w:rsidR="00420ECB" w:rsidRPr="007001A9" w:rsidRDefault="00420ECB" w:rsidP="009F2C9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7001A9">
              <w:rPr>
                <w:rFonts w:ascii="Arial" w:eastAsia="Times New Roman" w:hAnsi="Arial" w:cs="Arial"/>
                <w:b/>
                <w:bCs/>
                <w:color w:val="000000"/>
                <w:sz w:val="18"/>
                <w:szCs w:val="18"/>
                <w:lang w:eastAsia="es-MX"/>
              </w:rPr>
              <w:t>Justificación</w:t>
            </w:r>
          </w:p>
        </w:tc>
        <w:tc>
          <w:tcPr>
            <w:tcW w:w="997" w:type="pct"/>
            <w:noWrap/>
            <w:hideMark/>
          </w:tcPr>
          <w:p w14:paraId="21D12617" w14:textId="77777777" w:rsidR="00420ECB" w:rsidRPr="007001A9" w:rsidRDefault="00420ECB" w:rsidP="009F2C9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MX"/>
              </w:rPr>
            </w:pPr>
            <w:r w:rsidRPr="007001A9">
              <w:rPr>
                <w:rFonts w:ascii="Arial" w:eastAsia="Times New Roman" w:hAnsi="Arial" w:cs="Arial"/>
                <w:b/>
                <w:bCs/>
                <w:color w:val="000000"/>
                <w:sz w:val="18"/>
                <w:szCs w:val="18"/>
                <w:lang w:eastAsia="es-MX"/>
              </w:rPr>
              <w:t>Solventación</w:t>
            </w:r>
          </w:p>
        </w:tc>
      </w:tr>
      <w:tr w:rsidR="00420ECB" w:rsidRPr="007001A9" w14:paraId="5F583936" w14:textId="77777777" w:rsidTr="009F2C9A">
        <w:trPr>
          <w:trHeight w:val="20"/>
        </w:trPr>
        <w:tc>
          <w:tcPr>
            <w:cnfStyle w:val="001000000000" w:firstRow="0" w:lastRow="0" w:firstColumn="1" w:lastColumn="0" w:oddVBand="0" w:evenVBand="0" w:oddHBand="0" w:evenHBand="0" w:firstRowFirstColumn="0" w:firstRowLastColumn="0" w:lastRowFirstColumn="0" w:lastRowLastColumn="0"/>
            <w:tcW w:w="909" w:type="pct"/>
            <w:hideMark/>
          </w:tcPr>
          <w:p w14:paraId="2A5C0F8C" w14:textId="77777777" w:rsidR="00420ECB" w:rsidRPr="007001A9" w:rsidRDefault="00420ECB" w:rsidP="009F2C9A">
            <w:pPr>
              <w:jc w:val="both"/>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1.- Discrepancias entre el presupuesto y la Matriz de Indicadores para Resultados.</w:t>
            </w:r>
          </w:p>
        </w:tc>
        <w:tc>
          <w:tcPr>
            <w:tcW w:w="1524" w:type="pct"/>
            <w:hideMark/>
          </w:tcPr>
          <w:p w14:paraId="28CD2FB9" w14:textId="77777777" w:rsidR="00420ECB" w:rsidRPr="007001A9" w:rsidRDefault="00420ECB" w:rsidP="009F2C9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Se recomienda que en la realización de la MIR se deberán de seguir los lineamientos establecidos para la elaboración de la misma, respetándose la estructura metodológica para la lógica horizontal y vertical o estructura 4x4, y precisar la alineación del programa al Plan Estatal de Desarrollo, del cual debe de estar alineado todo programa presupuestario.</w:t>
            </w:r>
          </w:p>
        </w:tc>
        <w:tc>
          <w:tcPr>
            <w:tcW w:w="1570" w:type="pct"/>
            <w:hideMark/>
          </w:tcPr>
          <w:p w14:paraId="62AC9915" w14:textId="77777777" w:rsidR="00420ECB" w:rsidRPr="007001A9" w:rsidRDefault="00420ECB" w:rsidP="009F2C9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En el año 2017 se realizó la carga al SIPRESS de la información programática y presupuestal, iniciaba el proceso de establecer el PBR-SED , la ASEQROO no contaba con un Plan Estratégico, por tanto así se inicia, en los años posteriores el propio Sistema no nos permitió modificar información que se queda por default como es el caso la alineación al PED/PD, y en el Congreso del Estado no había un programa institucional.</w:t>
            </w:r>
          </w:p>
        </w:tc>
        <w:tc>
          <w:tcPr>
            <w:tcW w:w="997" w:type="pct"/>
            <w:hideMark/>
          </w:tcPr>
          <w:p w14:paraId="1279A268" w14:textId="77777777" w:rsidR="00420ECB" w:rsidRPr="007001A9" w:rsidRDefault="00420ECB" w:rsidP="009F2C9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Se realizó solicitud a la SEFIPLAN, para efecto de corregir, sin embargo, no fue procedente. Quedó  atendido para el ejercicio 2024</w:t>
            </w:r>
          </w:p>
        </w:tc>
      </w:tr>
      <w:tr w:rsidR="00420ECB" w:rsidRPr="007001A9" w14:paraId="71BFA4B1" w14:textId="77777777" w:rsidTr="009F2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9" w:type="pct"/>
            <w:hideMark/>
          </w:tcPr>
          <w:p w14:paraId="5697A6C1" w14:textId="77777777" w:rsidR="00420ECB" w:rsidRPr="007001A9" w:rsidRDefault="00420ECB" w:rsidP="009F2C9A">
            <w:pPr>
              <w:jc w:val="both"/>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2.- Discrepancias de la información entregada por la ASEQROO y el Sistema de Integración Programática y Presupuestal (SIPPRES)</w:t>
            </w:r>
          </w:p>
        </w:tc>
        <w:tc>
          <w:tcPr>
            <w:tcW w:w="1524" w:type="pct"/>
            <w:hideMark/>
          </w:tcPr>
          <w:p w14:paraId="12E527A9" w14:textId="77777777" w:rsidR="00420ECB" w:rsidRPr="007001A9" w:rsidRDefault="00420ECB" w:rsidP="009F2C9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La Auditoría superior del Estado de Quintana Roo deberá verificar en su caso la correcta información publicada en su portal y entrega al Poder Legislativo, toda vez que la información que se establezca en la MIR de la ASEQROO deberá estar homologada con lo que se presente en su iniciativa de presupuesto de egresos entregada al Poder Legislativo para su aprobación, su presupuesto de egresos y con la que se suministre y publique en el Sistema de Integración Programática Presupuestal (SIPRES) de la Secretaría de Finanzas y Planeación.</w:t>
            </w:r>
          </w:p>
        </w:tc>
        <w:tc>
          <w:tcPr>
            <w:tcW w:w="1570" w:type="pct"/>
            <w:hideMark/>
          </w:tcPr>
          <w:p w14:paraId="7C2F474C" w14:textId="77777777" w:rsidR="00420ECB" w:rsidRPr="007001A9" w:rsidRDefault="00420ECB" w:rsidP="009F2C9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El propio SIPPRES nos alineó al Programa 30, cuando iniciamos la carga al sistema en 2017, tanto la ASEQROO como   el Congreso del Estado no  contaba con un Programa Institucional, por sistema no nos permitieron hacer modificaciones en los años posteriores.</w:t>
            </w:r>
          </w:p>
        </w:tc>
        <w:tc>
          <w:tcPr>
            <w:tcW w:w="997" w:type="pct"/>
            <w:hideMark/>
          </w:tcPr>
          <w:p w14:paraId="3CCF24B2" w14:textId="77777777" w:rsidR="00420ECB" w:rsidRPr="007001A9" w:rsidRDefault="00420ECB" w:rsidP="009F2C9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Queda atendido para el ejercicio 2024</w:t>
            </w:r>
          </w:p>
        </w:tc>
      </w:tr>
      <w:tr w:rsidR="00420ECB" w:rsidRPr="007001A9" w14:paraId="22D4A5DB" w14:textId="77777777" w:rsidTr="009F2C9A">
        <w:trPr>
          <w:trHeight w:val="20"/>
        </w:trPr>
        <w:tc>
          <w:tcPr>
            <w:cnfStyle w:val="001000000000" w:firstRow="0" w:lastRow="0" w:firstColumn="1" w:lastColumn="0" w:oddVBand="0" w:evenVBand="0" w:oddHBand="0" w:evenHBand="0" w:firstRowFirstColumn="0" w:firstRowLastColumn="0" w:lastRowFirstColumn="0" w:lastRowLastColumn="0"/>
            <w:tcW w:w="909" w:type="pct"/>
            <w:hideMark/>
          </w:tcPr>
          <w:p w14:paraId="601E06F2" w14:textId="77777777" w:rsidR="00420ECB" w:rsidRPr="007001A9" w:rsidRDefault="00420ECB" w:rsidP="009F2C9A">
            <w:pPr>
              <w:jc w:val="both"/>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3.- Diferencias entre los Informes de Avance de Gestión Financiera correspondientes al segundo y cuarto trimestre de 2022.</w:t>
            </w:r>
          </w:p>
        </w:tc>
        <w:tc>
          <w:tcPr>
            <w:tcW w:w="1524" w:type="pct"/>
            <w:hideMark/>
          </w:tcPr>
          <w:p w14:paraId="7AFD5A70" w14:textId="77777777" w:rsidR="00420ECB" w:rsidRPr="007001A9" w:rsidRDefault="00420ECB" w:rsidP="009F2C9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Se sugiere que las metas a cumplirse sean en números enteros, toda vez que, como ya se mencionó estos son informes de auditorías concluidas con observaciones, recomendaciones y sugerencias para su seguimiento.</w:t>
            </w:r>
          </w:p>
        </w:tc>
        <w:tc>
          <w:tcPr>
            <w:tcW w:w="1570" w:type="pct"/>
            <w:hideMark/>
          </w:tcPr>
          <w:p w14:paraId="6483636F" w14:textId="77777777" w:rsidR="00420ECB" w:rsidRPr="007001A9" w:rsidRDefault="00420ECB" w:rsidP="009F2C9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A nivel componente la SEFIPLAN nos solicitó cambiar el método de cálculo, de porcentaje a índice, toda vez que la programación de auditorías e informes es cíclica, por tanto derivado de buenas práctica de la CONEVAL, se integró un método de cálculo por promedio, por tanto hay una interpretación distinta con respecto al método de cálculo</w:t>
            </w:r>
          </w:p>
        </w:tc>
        <w:tc>
          <w:tcPr>
            <w:tcW w:w="997" w:type="pct"/>
            <w:hideMark/>
          </w:tcPr>
          <w:p w14:paraId="1F8A9722" w14:textId="77777777" w:rsidR="00420ECB" w:rsidRPr="007001A9" w:rsidRDefault="00420ECB" w:rsidP="009F2C9A">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001A9">
              <w:rPr>
                <w:rFonts w:ascii="Arial" w:eastAsia="Times New Roman" w:hAnsi="Arial" w:cs="Arial"/>
                <w:color w:val="000000"/>
                <w:sz w:val="18"/>
                <w:szCs w:val="18"/>
                <w:lang w:eastAsia="es-MX"/>
              </w:rPr>
              <w:t>Por recomendación de la Unidad de Vigilancias para 2024 se modificó el indicador</w:t>
            </w:r>
          </w:p>
        </w:tc>
      </w:tr>
    </w:tbl>
    <w:p w14:paraId="52EB865E" w14:textId="77777777" w:rsidR="006101AF" w:rsidRDefault="006101AF">
      <w:pPr>
        <w:rPr>
          <w:rFonts w:ascii="Arial" w:hAnsi="Arial" w:cs="Arial"/>
          <w:sz w:val="24"/>
          <w:szCs w:val="24"/>
        </w:rPr>
      </w:pPr>
      <w:r>
        <w:rPr>
          <w:rFonts w:ascii="Arial" w:hAnsi="Arial" w:cs="Arial"/>
          <w:sz w:val="24"/>
          <w:szCs w:val="24"/>
        </w:rPr>
        <w:br w:type="page"/>
      </w:r>
    </w:p>
    <w:p w14:paraId="308EACC0" w14:textId="77777777" w:rsidR="00D4696C" w:rsidRDefault="00D4696C" w:rsidP="00D4696C">
      <w:pPr>
        <w:rPr>
          <w:rFonts w:ascii="Arial" w:hAnsi="Arial" w:cs="Arial"/>
          <w:sz w:val="24"/>
          <w:szCs w:val="24"/>
        </w:rPr>
      </w:pPr>
    </w:p>
    <w:p w14:paraId="6C860B1A" w14:textId="77777777" w:rsidR="00D4696C" w:rsidRDefault="00D4696C" w:rsidP="00D4696C">
      <w:pPr>
        <w:rPr>
          <w:rFonts w:ascii="Arial" w:hAnsi="Arial" w:cs="Arial"/>
          <w:sz w:val="24"/>
          <w:szCs w:val="24"/>
        </w:rPr>
      </w:pPr>
    </w:p>
    <w:p w14:paraId="6D64DDFA" w14:textId="77777777" w:rsidR="00D4696C" w:rsidRDefault="00D4696C" w:rsidP="00D4696C">
      <w:pPr>
        <w:rPr>
          <w:rFonts w:ascii="Arial" w:hAnsi="Arial" w:cs="Arial"/>
          <w:sz w:val="24"/>
          <w:szCs w:val="24"/>
        </w:rPr>
      </w:pPr>
    </w:p>
    <w:p w14:paraId="51A4B1A3" w14:textId="77777777" w:rsidR="00E26C19" w:rsidRDefault="00E26C19" w:rsidP="005D2E5D"/>
    <w:p w14:paraId="363F90C2" w14:textId="77777777" w:rsidR="00F20A38" w:rsidRDefault="00F20A38" w:rsidP="005D2E5D"/>
    <w:p w14:paraId="3FA13473" w14:textId="77777777" w:rsidR="00E26C19" w:rsidRDefault="00E26C19" w:rsidP="005D2E5D"/>
    <w:p w14:paraId="2665EEAE" w14:textId="77777777" w:rsidR="00030260" w:rsidRDefault="00030260" w:rsidP="005D2E5D"/>
    <w:p w14:paraId="2F8246F4" w14:textId="77777777" w:rsidR="00030260" w:rsidRDefault="00030260" w:rsidP="005D2E5D"/>
    <w:p w14:paraId="33E8CBE5" w14:textId="77777777" w:rsidR="00030260" w:rsidRDefault="00030260" w:rsidP="005D2E5D"/>
    <w:p w14:paraId="04E2CE16" w14:textId="77777777" w:rsidR="005D2E5D" w:rsidRPr="005D2E5D" w:rsidRDefault="005D2E5D" w:rsidP="005D2E5D"/>
    <w:p w14:paraId="0C08D6D2" w14:textId="77777777" w:rsidR="00DE53ED" w:rsidRDefault="00FD4225" w:rsidP="00F20A38">
      <w:pPr>
        <w:pStyle w:val="Ttulo1"/>
        <w:spacing w:line="276" w:lineRule="auto"/>
        <w:jc w:val="center"/>
        <w:rPr>
          <w:rFonts w:ascii="Arial" w:eastAsia="Arial" w:hAnsi="Arial" w:cs="Arial"/>
          <w:b/>
          <w:color w:val="auto"/>
          <w:sz w:val="40"/>
          <w:szCs w:val="24"/>
          <w:lang w:val="es-ES" w:eastAsia="es-ES" w:bidi="es-ES"/>
        </w:rPr>
      </w:pPr>
      <w:bookmarkStart w:id="92" w:name="_Toc158567510"/>
      <w:r w:rsidRPr="00030260">
        <w:rPr>
          <w:rFonts w:ascii="Arial" w:eastAsia="Arial" w:hAnsi="Arial" w:cs="Arial"/>
          <w:b/>
          <w:color w:val="auto"/>
          <w:sz w:val="40"/>
          <w:szCs w:val="24"/>
          <w:lang w:val="es-ES" w:eastAsia="es-ES" w:bidi="es-ES"/>
        </w:rPr>
        <w:t>ANEXO 1</w:t>
      </w:r>
      <w:bookmarkEnd w:id="92"/>
      <w:r w:rsidRPr="00030260">
        <w:rPr>
          <w:rFonts w:ascii="Arial" w:eastAsia="Arial" w:hAnsi="Arial" w:cs="Arial"/>
          <w:b/>
          <w:color w:val="auto"/>
          <w:sz w:val="40"/>
          <w:szCs w:val="24"/>
          <w:lang w:val="es-ES" w:eastAsia="es-ES" w:bidi="es-ES"/>
        </w:rPr>
        <w:t xml:space="preserve"> </w:t>
      </w:r>
    </w:p>
    <w:p w14:paraId="4A25EBF0" w14:textId="77777777" w:rsidR="00030260" w:rsidRDefault="00F20A38" w:rsidP="00F20A38">
      <w:pPr>
        <w:pStyle w:val="Ttulo1"/>
        <w:spacing w:line="276" w:lineRule="auto"/>
        <w:jc w:val="center"/>
        <w:rPr>
          <w:rFonts w:ascii="Arial" w:hAnsi="Arial" w:cs="Arial"/>
          <w:color w:val="auto"/>
          <w:sz w:val="24"/>
          <w:szCs w:val="24"/>
        </w:rPr>
      </w:pPr>
      <w:bookmarkStart w:id="93" w:name="_Toc158567511"/>
      <w:r w:rsidRPr="00F20A38">
        <w:rPr>
          <w:rFonts w:ascii="Arial" w:eastAsia="Arial" w:hAnsi="Arial" w:cs="Arial"/>
          <w:b/>
          <w:color w:val="auto"/>
          <w:sz w:val="40"/>
          <w:szCs w:val="24"/>
          <w:lang w:val="es-ES" w:eastAsia="es-ES" w:bidi="es-ES"/>
        </w:rPr>
        <w:t xml:space="preserve">Nota </w:t>
      </w:r>
      <w:r w:rsidR="00DE53ED">
        <w:rPr>
          <w:rFonts w:ascii="Arial" w:eastAsia="Arial" w:hAnsi="Arial" w:cs="Arial"/>
          <w:b/>
          <w:color w:val="auto"/>
          <w:sz w:val="40"/>
          <w:szCs w:val="24"/>
          <w:lang w:val="es-ES" w:eastAsia="es-ES" w:bidi="es-ES"/>
        </w:rPr>
        <w:t>Metodológica del Diseño de la Muestra Objeto de Estudio</w:t>
      </w:r>
      <w:bookmarkEnd w:id="93"/>
    </w:p>
    <w:p w14:paraId="2BD93220" w14:textId="77777777" w:rsidR="006D60B0" w:rsidRDefault="006D60B0" w:rsidP="008E2DB4">
      <w:pPr>
        <w:spacing w:after="0" w:line="276" w:lineRule="auto"/>
        <w:rPr>
          <w:rFonts w:ascii="Arial" w:eastAsia="Arial" w:hAnsi="Arial" w:cs="Arial"/>
          <w:sz w:val="28"/>
          <w:szCs w:val="20"/>
          <w:lang w:val="es-ES" w:eastAsia="es-ES" w:bidi="es-ES"/>
        </w:rPr>
      </w:pPr>
    </w:p>
    <w:p w14:paraId="4664CA98" w14:textId="77777777" w:rsidR="003C2585" w:rsidRDefault="003C2585" w:rsidP="008E2DB4">
      <w:pPr>
        <w:spacing w:after="0" w:line="276" w:lineRule="auto"/>
        <w:rPr>
          <w:rFonts w:ascii="Arial" w:eastAsia="Arial" w:hAnsi="Arial" w:cs="Arial"/>
          <w:sz w:val="28"/>
          <w:szCs w:val="20"/>
          <w:lang w:val="es-ES" w:eastAsia="es-ES" w:bidi="es-ES"/>
        </w:rPr>
      </w:pPr>
    </w:p>
    <w:p w14:paraId="23BD024F" w14:textId="77777777" w:rsidR="003C2585" w:rsidRDefault="003C2585" w:rsidP="008E2DB4">
      <w:pPr>
        <w:spacing w:after="0" w:line="276" w:lineRule="auto"/>
        <w:rPr>
          <w:rFonts w:ascii="Arial" w:eastAsia="Arial" w:hAnsi="Arial" w:cs="Arial"/>
          <w:sz w:val="28"/>
          <w:szCs w:val="20"/>
          <w:lang w:val="es-ES" w:eastAsia="es-ES" w:bidi="es-ES"/>
        </w:rPr>
      </w:pPr>
    </w:p>
    <w:p w14:paraId="250E696B" w14:textId="77777777" w:rsidR="003C2585" w:rsidRDefault="003C2585" w:rsidP="008E2DB4">
      <w:pPr>
        <w:spacing w:after="0" w:line="276" w:lineRule="auto"/>
        <w:rPr>
          <w:rFonts w:ascii="Arial" w:eastAsia="Arial" w:hAnsi="Arial" w:cs="Arial"/>
          <w:sz w:val="28"/>
          <w:szCs w:val="20"/>
          <w:lang w:val="es-ES" w:eastAsia="es-ES" w:bidi="es-ES"/>
        </w:rPr>
      </w:pPr>
    </w:p>
    <w:p w14:paraId="34EEE3BF" w14:textId="77777777" w:rsidR="003C2585" w:rsidRDefault="003C2585" w:rsidP="008E2DB4">
      <w:pPr>
        <w:spacing w:after="0" w:line="276" w:lineRule="auto"/>
        <w:rPr>
          <w:rFonts w:ascii="Arial" w:eastAsia="Arial" w:hAnsi="Arial" w:cs="Arial"/>
          <w:sz w:val="28"/>
          <w:szCs w:val="20"/>
          <w:lang w:val="es-ES" w:eastAsia="es-ES" w:bidi="es-ES"/>
        </w:rPr>
      </w:pPr>
    </w:p>
    <w:p w14:paraId="4BA3E0DD" w14:textId="77777777" w:rsidR="003C2585" w:rsidRDefault="003C2585" w:rsidP="008E2DB4">
      <w:pPr>
        <w:spacing w:after="0" w:line="276" w:lineRule="auto"/>
        <w:rPr>
          <w:rFonts w:ascii="Arial" w:eastAsia="Arial" w:hAnsi="Arial" w:cs="Arial"/>
          <w:sz w:val="28"/>
          <w:szCs w:val="20"/>
          <w:lang w:val="es-ES" w:eastAsia="es-ES" w:bidi="es-ES"/>
        </w:rPr>
      </w:pPr>
    </w:p>
    <w:p w14:paraId="68F66D40" w14:textId="77777777" w:rsidR="003C2585" w:rsidRDefault="003C2585" w:rsidP="008E2DB4">
      <w:pPr>
        <w:spacing w:after="0" w:line="276" w:lineRule="auto"/>
        <w:rPr>
          <w:rFonts w:ascii="Arial" w:eastAsia="Arial" w:hAnsi="Arial" w:cs="Arial"/>
          <w:sz w:val="28"/>
          <w:szCs w:val="20"/>
          <w:lang w:val="es-ES" w:eastAsia="es-ES" w:bidi="es-ES"/>
        </w:rPr>
      </w:pPr>
    </w:p>
    <w:p w14:paraId="50CA30D4" w14:textId="77777777" w:rsidR="003C2585" w:rsidRDefault="003C2585" w:rsidP="008E2DB4">
      <w:pPr>
        <w:spacing w:after="0" w:line="276" w:lineRule="auto"/>
        <w:rPr>
          <w:rFonts w:ascii="Arial" w:eastAsia="Arial" w:hAnsi="Arial" w:cs="Arial"/>
          <w:sz w:val="28"/>
          <w:szCs w:val="20"/>
          <w:lang w:val="es-ES" w:eastAsia="es-ES" w:bidi="es-ES"/>
        </w:rPr>
      </w:pPr>
    </w:p>
    <w:p w14:paraId="77C0032A" w14:textId="77777777" w:rsidR="003C2585" w:rsidRDefault="003C2585" w:rsidP="008E2DB4">
      <w:pPr>
        <w:spacing w:after="0" w:line="276" w:lineRule="auto"/>
        <w:rPr>
          <w:rFonts w:ascii="Arial" w:eastAsia="Arial" w:hAnsi="Arial" w:cs="Arial"/>
          <w:sz w:val="28"/>
          <w:szCs w:val="20"/>
          <w:lang w:val="es-ES" w:eastAsia="es-ES" w:bidi="es-ES"/>
        </w:rPr>
      </w:pPr>
    </w:p>
    <w:p w14:paraId="1C464D68" w14:textId="77777777" w:rsidR="003C2585" w:rsidRDefault="003C2585" w:rsidP="008E2DB4">
      <w:pPr>
        <w:spacing w:after="0" w:line="276" w:lineRule="auto"/>
        <w:rPr>
          <w:rFonts w:ascii="Arial" w:eastAsia="Arial" w:hAnsi="Arial" w:cs="Arial"/>
          <w:sz w:val="28"/>
          <w:szCs w:val="20"/>
          <w:lang w:val="es-ES" w:eastAsia="es-ES" w:bidi="es-ES"/>
        </w:rPr>
      </w:pPr>
    </w:p>
    <w:p w14:paraId="50145F07" w14:textId="77777777" w:rsidR="003C2585" w:rsidRDefault="003C2585" w:rsidP="008E2DB4">
      <w:pPr>
        <w:spacing w:after="0" w:line="276" w:lineRule="auto"/>
        <w:rPr>
          <w:rFonts w:ascii="Arial" w:eastAsia="Arial" w:hAnsi="Arial" w:cs="Arial"/>
          <w:sz w:val="28"/>
          <w:szCs w:val="20"/>
          <w:lang w:val="es-ES" w:eastAsia="es-ES" w:bidi="es-ES"/>
        </w:rPr>
      </w:pPr>
    </w:p>
    <w:p w14:paraId="388E7DFD" w14:textId="77777777" w:rsidR="003C2585" w:rsidRDefault="003C2585" w:rsidP="008E2DB4">
      <w:pPr>
        <w:spacing w:after="0" w:line="276" w:lineRule="auto"/>
        <w:rPr>
          <w:rFonts w:ascii="Arial" w:eastAsia="Arial" w:hAnsi="Arial" w:cs="Arial"/>
          <w:sz w:val="28"/>
          <w:szCs w:val="20"/>
          <w:lang w:val="es-ES" w:eastAsia="es-ES" w:bidi="es-ES"/>
        </w:rPr>
      </w:pPr>
    </w:p>
    <w:p w14:paraId="4D8422B5" w14:textId="77777777" w:rsidR="003C2585" w:rsidRDefault="003C2585" w:rsidP="008E2DB4">
      <w:pPr>
        <w:spacing w:after="0" w:line="276" w:lineRule="auto"/>
        <w:rPr>
          <w:rFonts w:ascii="Arial" w:eastAsia="Arial" w:hAnsi="Arial" w:cs="Arial"/>
          <w:sz w:val="28"/>
          <w:szCs w:val="20"/>
          <w:lang w:val="es-ES" w:eastAsia="es-ES" w:bidi="es-ES"/>
        </w:rPr>
      </w:pPr>
    </w:p>
    <w:p w14:paraId="613464C0" w14:textId="77777777" w:rsidR="003C2585" w:rsidRDefault="003C2585" w:rsidP="008E2DB4">
      <w:pPr>
        <w:spacing w:after="0" w:line="276" w:lineRule="auto"/>
        <w:rPr>
          <w:rFonts w:ascii="Arial" w:eastAsia="Arial" w:hAnsi="Arial" w:cs="Arial"/>
          <w:sz w:val="28"/>
          <w:szCs w:val="20"/>
          <w:lang w:val="es-ES" w:eastAsia="es-ES" w:bidi="es-ES"/>
        </w:rPr>
      </w:pPr>
    </w:p>
    <w:p w14:paraId="320A0247" w14:textId="77777777" w:rsidR="003C2585" w:rsidRDefault="003C2585" w:rsidP="008E2DB4">
      <w:pPr>
        <w:spacing w:after="0" w:line="276" w:lineRule="auto"/>
        <w:rPr>
          <w:rFonts w:ascii="Arial" w:eastAsia="Arial" w:hAnsi="Arial" w:cs="Arial"/>
          <w:sz w:val="28"/>
          <w:szCs w:val="20"/>
          <w:lang w:val="es-ES" w:eastAsia="es-ES" w:bidi="es-ES"/>
        </w:rPr>
      </w:pPr>
    </w:p>
    <w:p w14:paraId="4506202E" w14:textId="77777777" w:rsidR="003C2585" w:rsidRDefault="003C2585" w:rsidP="008E2DB4">
      <w:pPr>
        <w:spacing w:after="0" w:line="276" w:lineRule="auto"/>
        <w:rPr>
          <w:rFonts w:ascii="Arial" w:eastAsia="Arial" w:hAnsi="Arial" w:cs="Arial"/>
          <w:sz w:val="28"/>
          <w:szCs w:val="20"/>
          <w:lang w:val="es-ES" w:eastAsia="es-ES" w:bidi="es-ES"/>
        </w:rPr>
      </w:pPr>
    </w:p>
    <w:p w14:paraId="170D5C01" w14:textId="77777777" w:rsidR="003C2585" w:rsidRDefault="003C2585" w:rsidP="008E2DB4">
      <w:pPr>
        <w:spacing w:after="0" w:line="276" w:lineRule="auto"/>
        <w:rPr>
          <w:rFonts w:ascii="Arial" w:eastAsia="Arial" w:hAnsi="Arial" w:cs="Arial"/>
          <w:sz w:val="28"/>
          <w:szCs w:val="20"/>
          <w:lang w:val="es-ES" w:eastAsia="es-ES" w:bidi="es-ES"/>
        </w:rPr>
      </w:pPr>
    </w:p>
    <w:p w14:paraId="768F5D4A" w14:textId="77777777" w:rsidR="00DE53ED" w:rsidRPr="00DE53ED" w:rsidRDefault="00DE53ED" w:rsidP="003C2585">
      <w:pPr>
        <w:spacing w:after="240" w:line="276" w:lineRule="auto"/>
        <w:jc w:val="both"/>
        <w:rPr>
          <w:rFonts w:ascii="Arial" w:hAnsi="Arial" w:cs="Arial"/>
          <w:b/>
          <w:bCs/>
          <w:sz w:val="24"/>
          <w:szCs w:val="24"/>
        </w:rPr>
      </w:pPr>
      <w:r w:rsidRPr="00DE53ED">
        <w:rPr>
          <w:rFonts w:ascii="Arial" w:hAnsi="Arial" w:cs="Arial"/>
          <w:b/>
          <w:bCs/>
          <w:sz w:val="24"/>
          <w:szCs w:val="24"/>
        </w:rPr>
        <w:lastRenderedPageBreak/>
        <w:t>Nota Técnica Referente a la Muestra de Auditoría</w:t>
      </w:r>
    </w:p>
    <w:p w14:paraId="74FAD24C" w14:textId="77777777" w:rsidR="003C2585" w:rsidRDefault="003C2585" w:rsidP="003C2585">
      <w:pPr>
        <w:spacing w:after="240" w:line="276" w:lineRule="auto"/>
        <w:jc w:val="both"/>
        <w:rPr>
          <w:rFonts w:ascii="Arial" w:hAnsi="Arial" w:cs="Arial"/>
          <w:bCs/>
          <w:sz w:val="24"/>
          <w:szCs w:val="24"/>
        </w:rPr>
      </w:pPr>
      <w:r w:rsidRPr="00C803CF">
        <w:rPr>
          <w:rFonts w:ascii="Arial" w:hAnsi="Arial" w:cs="Arial"/>
          <w:bCs/>
          <w:sz w:val="24"/>
          <w:szCs w:val="24"/>
        </w:rPr>
        <w:t>Durante la fiscalización, se aplican métodos prácticos de investigación y prueba denominados técnicas de auditoría: estudio general, análisis, inspección, investigación, observación y cálculo, que la Auditoría Superior del Estado utiliza para lograr la información, comprobació</w:t>
      </w:r>
      <w:r w:rsidR="005B21BB">
        <w:rPr>
          <w:rFonts w:ascii="Arial" w:hAnsi="Arial" w:cs="Arial"/>
          <w:bCs/>
          <w:sz w:val="24"/>
          <w:szCs w:val="24"/>
        </w:rPr>
        <w:t>n y la evidencia necesaria para</w:t>
      </w:r>
      <w:r>
        <w:rPr>
          <w:rFonts w:ascii="Arial" w:hAnsi="Arial" w:cs="Arial"/>
          <w:bCs/>
          <w:sz w:val="24"/>
          <w:szCs w:val="24"/>
        </w:rPr>
        <w:t xml:space="preserve"> </w:t>
      </w:r>
      <w:r w:rsidRPr="00C803CF">
        <w:rPr>
          <w:rFonts w:ascii="Arial" w:hAnsi="Arial" w:cs="Arial"/>
          <w:bCs/>
          <w:sz w:val="24"/>
          <w:szCs w:val="24"/>
        </w:rPr>
        <w:t>poder emitir una opinión profesional; este conjunto de técnicas aplicadas de for</w:t>
      </w:r>
      <w:r>
        <w:rPr>
          <w:rFonts w:ascii="Arial" w:hAnsi="Arial" w:cs="Arial"/>
          <w:bCs/>
          <w:sz w:val="24"/>
          <w:szCs w:val="24"/>
        </w:rPr>
        <w:t>ma individual o combinada son</w:t>
      </w:r>
      <w:r w:rsidRPr="00C803CF">
        <w:rPr>
          <w:rFonts w:ascii="Arial" w:hAnsi="Arial" w:cs="Arial"/>
          <w:bCs/>
          <w:sz w:val="24"/>
          <w:szCs w:val="24"/>
        </w:rPr>
        <w:t xml:space="preserve"> los procedimientos de auditoría utilizados durante todo el proceso de fiscalización </w:t>
      </w:r>
      <w:r>
        <w:rPr>
          <w:rFonts w:ascii="Arial" w:hAnsi="Arial" w:cs="Arial"/>
          <w:bCs/>
          <w:sz w:val="24"/>
          <w:szCs w:val="24"/>
        </w:rPr>
        <w:t xml:space="preserve">en cualquiera de los tipos de auditoría que se realizan. </w:t>
      </w:r>
    </w:p>
    <w:p w14:paraId="55629589" w14:textId="77777777" w:rsidR="003C2585" w:rsidRPr="00A02122" w:rsidRDefault="003C2585" w:rsidP="003C2585">
      <w:pPr>
        <w:spacing w:after="0" w:line="276" w:lineRule="auto"/>
        <w:jc w:val="both"/>
        <w:rPr>
          <w:rFonts w:ascii="Arial" w:hAnsi="Arial" w:cs="Arial"/>
          <w:bCs/>
          <w:sz w:val="8"/>
          <w:szCs w:val="24"/>
        </w:rPr>
      </w:pPr>
    </w:p>
    <w:p w14:paraId="420F8036" w14:textId="77777777" w:rsidR="003C2585" w:rsidRDefault="003C2585" w:rsidP="003C2585">
      <w:pPr>
        <w:spacing w:after="240" w:line="276" w:lineRule="auto"/>
        <w:jc w:val="both"/>
        <w:rPr>
          <w:rFonts w:ascii="Arial" w:hAnsi="Arial" w:cs="Arial"/>
          <w:bCs/>
          <w:sz w:val="24"/>
          <w:szCs w:val="24"/>
        </w:rPr>
      </w:pPr>
      <w:r w:rsidRPr="00C803CF">
        <w:rPr>
          <w:rFonts w:ascii="Arial" w:hAnsi="Arial" w:cs="Arial"/>
          <w:bCs/>
          <w:sz w:val="24"/>
          <w:szCs w:val="24"/>
        </w:rPr>
        <w:t>Para el proceso de selección y determinación del universo seleccionado y de la determinación de la muestra de la población objetivo, se considera la información competente de los entes</w:t>
      </w:r>
      <w:r>
        <w:rPr>
          <w:rFonts w:ascii="Arial" w:hAnsi="Arial" w:cs="Arial"/>
          <w:bCs/>
          <w:sz w:val="24"/>
          <w:szCs w:val="24"/>
        </w:rPr>
        <w:t xml:space="preserve"> fiscalizables.</w:t>
      </w:r>
    </w:p>
    <w:p w14:paraId="67B6707B" w14:textId="77777777" w:rsidR="003C2585" w:rsidRPr="00A02122" w:rsidRDefault="003C2585" w:rsidP="003C2585">
      <w:pPr>
        <w:spacing w:after="0" w:line="276" w:lineRule="auto"/>
        <w:jc w:val="both"/>
        <w:rPr>
          <w:rFonts w:ascii="Arial" w:hAnsi="Arial" w:cs="Arial"/>
          <w:bCs/>
          <w:sz w:val="8"/>
          <w:szCs w:val="24"/>
        </w:rPr>
      </w:pPr>
    </w:p>
    <w:p w14:paraId="5D0608DB" w14:textId="77777777" w:rsidR="003C2585" w:rsidRDefault="003C2585" w:rsidP="003C2585">
      <w:pPr>
        <w:spacing w:after="240" w:line="276" w:lineRule="auto"/>
        <w:jc w:val="both"/>
        <w:rPr>
          <w:rFonts w:ascii="Arial" w:hAnsi="Arial" w:cs="Arial"/>
          <w:bCs/>
          <w:sz w:val="24"/>
          <w:szCs w:val="24"/>
        </w:rPr>
      </w:pPr>
      <w:r w:rsidRPr="00C803CF">
        <w:rPr>
          <w:rFonts w:ascii="Arial" w:hAnsi="Arial" w:cs="Arial"/>
          <w:bCs/>
          <w:sz w:val="24"/>
          <w:szCs w:val="24"/>
        </w:rPr>
        <w:t>Es import</w:t>
      </w:r>
      <w:r>
        <w:rPr>
          <w:rFonts w:ascii="Arial" w:hAnsi="Arial" w:cs="Arial"/>
          <w:bCs/>
          <w:sz w:val="24"/>
          <w:szCs w:val="24"/>
        </w:rPr>
        <w:t xml:space="preserve">ante tener en consideración </w:t>
      </w:r>
      <w:r w:rsidRPr="00C803CF">
        <w:rPr>
          <w:rFonts w:ascii="Arial" w:hAnsi="Arial" w:cs="Arial"/>
          <w:bCs/>
          <w:sz w:val="24"/>
          <w:szCs w:val="24"/>
        </w:rPr>
        <w:t>que no es posible realizar u</w:t>
      </w:r>
      <w:r>
        <w:rPr>
          <w:rFonts w:ascii="Arial" w:hAnsi="Arial" w:cs="Arial"/>
          <w:bCs/>
          <w:sz w:val="24"/>
          <w:szCs w:val="24"/>
        </w:rPr>
        <w:t>na revisión completa (analizar</w:t>
      </w:r>
      <w:r w:rsidRPr="00C803CF">
        <w:rPr>
          <w:rFonts w:ascii="Arial" w:hAnsi="Arial" w:cs="Arial"/>
          <w:bCs/>
          <w:sz w:val="24"/>
          <w:szCs w:val="24"/>
        </w:rPr>
        <w:t xml:space="preserve"> todos los elementos de una población), </w:t>
      </w:r>
      <w:r>
        <w:rPr>
          <w:rFonts w:ascii="Arial" w:hAnsi="Arial" w:cs="Arial"/>
          <w:bCs/>
          <w:sz w:val="24"/>
          <w:szCs w:val="24"/>
        </w:rPr>
        <w:t xml:space="preserve">por lo que es </w:t>
      </w:r>
      <w:r w:rsidRPr="00C803CF">
        <w:rPr>
          <w:rFonts w:ascii="Arial" w:hAnsi="Arial" w:cs="Arial"/>
          <w:bCs/>
          <w:sz w:val="24"/>
          <w:szCs w:val="24"/>
        </w:rPr>
        <w:t xml:space="preserve">necesario realizar una muestra, entendiendo por tal una parte representativa de la población. </w:t>
      </w:r>
    </w:p>
    <w:p w14:paraId="4B8EA228" w14:textId="77777777" w:rsidR="003C2585" w:rsidRPr="00A02122" w:rsidRDefault="003C2585" w:rsidP="003C2585">
      <w:pPr>
        <w:spacing w:after="0" w:line="276" w:lineRule="auto"/>
        <w:jc w:val="both"/>
        <w:rPr>
          <w:rFonts w:ascii="Arial" w:hAnsi="Arial" w:cs="Arial"/>
          <w:bCs/>
          <w:sz w:val="8"/>
          <w:szCs w:val="24"/>
        </w:rPr>
      </w:pPr>
    </w:p>
    <w:p w14:paraId="39EFC840" w14:textId="77777777" w:rsidR="003C2585" w:rsidRDefault="003C2585" w:rsidP="003C2585">
      <w:pPr>
        <w:spacing w:after="240" w:line="276" w:lineRule="auto"/>
        <w:jc w:val="both"/>
        <w:rPr>
          <w:rFonts w:ascii="Arial" w:hAnsi="Arial" w:cs="Arial"/>
          <w:bCs/>
          <w:sz w:val="24"/>
          <w:szCs w:val="24"/>
        </w:rPr>
      </w:pPr>
      <w:r w:rsidRPr="00C803CF">
        <w:rPr>
          <w:rFonts w:ascii="Arial" w:hAnsi="Arial" w:cs="Arial"/>
          <w:bCs/>
          <w:sz w:val="24"/>
          <w:szCs w:val="24"/>
        </w:rPr>
        <w:t xml:space="preserve">El muestreo es una herramienta de la investigación científica, cuya función básica es determinar que parte de una población debe examinarse, con la finalidad de hacer inferencias sobre </w:t>
      </w:r>
      <w:r w:rsidRPr="00514AEA">
        <w:rPr>
          <w:rFonts w:ascii="Arial" w:hAnsi="Arial" w:cs="Arial"/>
          <w:bCs/>
          <w:sz w:val="24"/>
          <w:szCs w:val="24"/>
        </w:rPr>
        <w:t>dicha población</w:t>
      </w:r>
      <w:r w:rsidRPr="00C803CF">
        <w:rPr>
          <w:rFonts w:ascii="Arial" w:hAnsi="Arial" w:cs="Arial"/>
          <w:bCs/>
          <w:sz w:val="24"/>
          <w:szCs w:val="24"/>
        </w:rPr>
        <w:t>.</w:t>
      </w:r>
    </w:p>
    <w:p w14:paraId="3EE2126C" w14:textId="77777777" w:rsidR="003C2585" w:rsidRPr="00A02122" w:rsidRDefault="003C2585" w:rsidP="003C2585">
      <w:pPr>
        <w:spacing w:after="0" w:line="276" w:lineRule="auto"/>
        <w:jc w:val="both"/>
        <w:rPr>
          <w:rFonts w:ascii="Arial" w:hAnsi="Arial" w:cs="Arial"/>
          <w:bCs/>
          <w:sz w:val="8"/>
          <w:szCs w:val="24"/>
        </w:rPr>
      </w:pPr>
    </w:p>
    <w:p w14:paraId="01E9848B" w14:textId="77777777" w:rsidR="003C2585" w:rsidRPr="00DE53ED" w:rsidRDefault="003C2585" w:rsidP="003C2585">
      <w:pPr>
        <w:spacing w:after="240" w:line="276" w:lineRule="auto"/>
        <w:jc w:val="both"/>
        <w:rPr>
          <w:rFonts w:ascii="Arial" w:hAnsi="Arial" w:cs="Arial"/>
          <w:bCs/>
          <w:sz w:val="24"/>
          <w:szCs w:val="24"/>
        </w:rPr>
      </w:pPr>
      <w:r w:rsidRPr="00C803CF">
        <w:rPr>
          <w:rFonts w:ascii="Arial" w:hAnsi="Arial" w:cs="Arial"/>
          <w:bCs/>
          <w:sz w:val="24"/>
          <w:szCs w:val="24"/>
        </w:rPr>
        <w:t>La muestra debe lograr una representación adecuada</w:t>
      </w:r>
      <w:r>
        <w:rPr>
          <w:rFonts w:ascii="Arial" w:hAnsi="Arial" w:cs="Arial"/>
          <w:bCs/>
          <w:sz w:val="24"/>
          <w:szCs w:val="24"/>
        </w:rPr>
        <w:t>, en</w:t>
      </w:r>
      <w:r w:rsidRPr="00C803CF">
        <w:rPr>
          <w:rFonts w:ascii="Arial" w:hAnsi="Arial" w:cs="Arial"/>
          <w:bCs/>
          <w:sz w:val="24"/>
          <w:szCs w:val="24"/>
        </w:rPr>
        <w:t xml:space="preserve"> la estadística se usa la palabra población para </w:t>
      </w:r>
      <w:r>
        <w:rPr>
          <w:rFonts w:ascii="Arial" w:hAnsi="Arial" w:cs="Arial"/>
          <w:bCs/>
          <w:sz w:val="24"/>
          <w:szCs w:val="24"/>
        </w:rPr>
        <w:t>referirse no sólo a personas si</w:t>
      </w:r>
      <w:r w:rsidRPr="00C803CF">
        <w:rPr>
          <w:rFonts w:ascii="Arial" w:hAnsi="Arial" w:cs="Arial"/>
          <w:bCs/>
          <w:sz w:val="24"/>
          <w:szCs w:val="24"/>
        </w:rPr>
        <w:t>no a todos los elementos que han sido escogidos para su estudio y el término muestra se usa para describir una p</w:t>
      </w:r>
      <w:r>
        <w:rPr>
          <w:rFonts w:ascii="Arial" w:hAnsi="Arial" w:cs="Arial"/>
          <w:bCs/>
          <w:sz w:val="24"/>
          <w:szCs w:val="24"/>
        </w:rPr>
        <w:t xml:space="preserve">orción escogida de la población; para el caso que nos ocupa usaremos un </w:t>
      </w:r>
      <w:r w:rsidRPr="00C803CF">
        <w:rPr>
          <w:rFonts w:ascii="Arial" w:hAnsi="Arial" w:cs="Arial"/>
          <w:bCs/>
          <w:sz w:val="24"/>
          <w:szCs w:val="24"/>
        </w:rPr>
        <w:t xml:space="preserve">muestreo por el Método de </w:t>
      </w:r>
      <w:r>
        <w:rPr>
          <w:rFonts w:ascii="Arial" w:hAnsi="Arial" w:cs="Arial"/>
          <w:bCs/>
          <w:sz w:val="24"/>
          <w:szCs w:val="24"/>
        </w:rPr>
        <w:t>“</w:t>
      </w:r>
      <w:r w:rsidRPr="00514AEA">
        <w:rPr>
          <w:rFonts w:ascii="Arial" w:hAnsi="Arial" w:cs="Arial"/>
          <w:b/>
          <w:bCs/>
          <w:sz w:val="24"/>
          <w:szCs w:val="24"/>
        </w:rPr>
        <w:t>muestreo probabilístico</w:t>
      </w:r>
      <w:r>
        <w:rPr>
          <w:rFonts w:ascii="Arial" w:hAnsi="Arial" w:cs="Arial"/>
          <w:bCs/>
          <w:sz w:val="24"/>
          <w:szCs w:val="24"/>
        </w:rPr>
        <w:t>”</w:t>
      </w:r>
    </w:p>
    <w:p w14:paraId="768E6AA9" w14:textId="77777777" w:rsidR="003C2585" w:rsidRPr="00C803CF" w:rsidRDefault="003C2585" w:rsidP="003C2585">
      <w:pPr>
        <w:spacing w:after="240" w:line="276" w:lineRule="auto"/>
        <w:jc w:val="both"/>
        <w:rPr>
          <w:rFonts w:ascii="Arial" w:hAnsi="Arial" w:cs="Arial"/>
          <w:b/>
          <w:sz w:val="24"/>
          <w:szCs w:val="24"/>
        </w:rPr>
      </w:pPr>
      <w:r w:rsidRPr="00C803CF">
        <w:rPr>
          <w:rFonts w:ascii="Arial" w:hAnsi="Arial" w:cs="Arial"/>
          <w:b/>
          <w:sz w:val="24"/>
          <w:szCs w:val="24"/>
        </w:rPr>
        <w:t>Muestreo probabilístico.</w:t>
      </w:r>
    </w:p>
    <w:p w14:paraId="509ECF01" w14:textId="77777777" w:rsidR="003C2585" w:rsidRDefault="003C2585" w:rsidP="003C2585">
      <w:pPr>
        <w:spacing w:after="240" w:line="276" w:lineRule="auto"/>
        <w:jc w:val="both"/>
        <w:rPr>
          <w:rFonts w:ascii="Arial" w:hAnsi="Arial" w:cs="Arial"/>
          <w:bCs/>
          <w:sz w:val="24"/>
          <w:szCs w:val="24"/>
        </w:rPr>
      </w:pPr>
      <w:r w:rsidRPr="00C803CF">
        <w:rPr>
          <w:rFonts w:ascii="Arial" w:hAnsi="Arial" w:cs="Arial"/>
          <w:bCs/>
          <w:sz w:val="24"/>
          <w:szCs w:val="24"/>
        </w:rPr>
        <w:t>Los métodos de muestreo probabilísticos son aquellos que se basan en el principio de equiprobabilidad. Es decir, aquellos en los que todos los individ</w:t>
      </w:r>
      <w:r>
        <w:rPr>
          <w:rFonts w:ascii="Arial" w:hAnsi="Arial" w:cs="Arial"/>
          <w:bCs/>
          <w:sz w:val="24"/>
          <w:szCs w:val="24"/>
        </w:rPr>
        <w:t>uos tienen la misma probabilidad</w:t>
      </w:r>
      <w:r w:rsidRPr="00C803CF">
        <w:rPr>
          <w:rFonts w:ascii="Arial" w:hAnsi="Arial" w:cs="Arial"/>
          <w:bCs/>
          <w:sz w:val="24"/>
          <w:szCs w:val="24"/>
        </w:rPr>
        <w:t xml:space="preserve"> de ser elegidos para formar parte de una muestra y, consiguientemente, todas las posibles muestras de tamaño </w:t>
      </w:r>
      <w:r w:rsidRPr="00DF019B">
        <w:rPr>
          <w:rFonts w:ascii="Arial" w:hAnsi="Arial" w:cs="Arial"/>
          <w:b/>
          <w:bCs/>
          <w:sz w:val="24"/>
          <w:szCs w:val="24"/>
        </w:rPr>
        <w:t>“</w:t>
      </w:r>
      <w:r w:rsidRPr="00041CE3">
        <w:rPr>
          <w:rFonts w:ascii="Arial" w:hAnsi="Arial" w:cs="Arial"/>
          <w:b/>
          <w:bCs/>
          <w:sz w:val="24"/>
          <w:szCs w:val="24"/>
        </w:rPr>
        <w:t>n</w:t>
      </w:r>
      <w:r>
        <w:rPr>
          <w:rFonts w:ascii="Arial" w:hAnsi="Arial" w:cs="Arial"/>
          <w:b/>
          <w:bCs/>
          <w:sz w:val="24"/>
          <w:szCs w:val="24"/>
        </w:rPr>
        <w:t>”</w:t>
      </w:r>
      <w:r w:rsidRPr="00C803CF">
        <w:rPr>
          <w:rFonts w:ascii="Arial" w:hAnsi="Arial" w:cs="Arial"/>
          <w:bCs/>
          <w:sz w:val="24"/>
          <w:szCs w:val="24"/>
        </w:rPr>
        <w:t xml:space="preserve"> tienen la misma probabilidad de ser seleccionadas. Sólo estos métodos de muestreo probabilísticos nos aseguran la representatividad de la muestra extraída </w:t>
      </w:r>
      <w:r w:rsidRPr="000E6193">
        <w:rPr>
          <w:rFonts w:ascii="Arial" w:hAnsi="Arial" w:cs="Arial"/>
          <w:bCs/>
          <w:sz w:val="24"/>
          <w:szCs w:val="24"/>
        </w:rPr>
        <w:t>y son, por tanto</w:t>
      </w:r>
      <w:r w:rsidRPr="00C803CF">
        <w:rPr>
          <w:rFonts w:ascii="Arial" w:hAnsi="Arial" w:cs="Arial"/>
          <w:bCs/>
          <w:sz w:val="24"/>
          <w:szCs w:val="24"/>
        </w:rPr>
        <w:t>, los más recomendables.</w:t>
      </w:r>
    </w:p>
    <w:p w14:paraId="777842A2" w14:textId="77777777" w:rsidR="00DE53ED" w:rsidRDefault="00DE53ED" w:rsidP="003C2585">
      <w:pPr>
        <w:spacing w:after="240" w:line="276" w:lineRule="auto"/>
        <w:jc w:val="both"/>
        <w:rPr>
          <w:rFonts w:ascii="Arial" w:hAnsi="Arial" w:cs="Arial"/>
          <w:bCs/>
          <w:sz w:val="24"/>
          <w:szCs w:val="24"/>
        </w:rPr>
      </w:pPr>
    </w:p>
    <w:p w14:paraId="5BA148EC" w14:textId="77777777" w:rsidR="003C2585" w:rsidRPr="00A02122" w:rsidRDefault="003C2585" w:rsidP="003C2585">
      <w:pPr>
        <w:spacing w:after="0" w:line="276" w:lineRule="auto"/>
        <w:jc w:val="both"/>
        <w:rPr>
          <w:rFonts w:ascii="Arial" w:hAnsi="Arial" w:cs="Arial"/>
          <w:bCs/>
          <w:sz w:val="8"/>
          <w:szCs w:val="24"/>
        </w:rPr>
      </w:pPr>
    </w:p>
    <w:p w14:paraId="55775A2D" w14:textId="77777777" w:rsidR="003C2585" w:rsidRPr="00C803CF" w:rsidRDefault="003C2585" w:rsidP="003C2585">
      <w:pPr>
        <w:spacing w:after="240" w:line="276" w:lineRule="auto"/>
        <w:jc w:val="both"/>
        <w:rPr>
          <w:rFonts w:ascii="Arial" w:hAnsi="Arial" w:cs="Arial"/>
          <w:bCs/>
          <w:sz w:val="24"/>
          <w:szCs w:val="24"/>
        </w:rPr>
      </w:pPr>
      <w:r w:rsidRPr="00C803CF">
        <w:rPr>
          <w:rFonts w:ascii="Arial" w:hAnsi="Arial" w:cs="Arial"/>
          <w:bCs/>
          <w:sz w:val="24"/>
          <w:szCs w:val="24"/>
        </w:rPr>
        <w:lastRenderedPageBreak/>
        <w:t xml:space="preserve"> Dentro de los métodos de muestreo probabilísticos uno aplicado es:</w:t>
      </w:r>
    </w:p>
    <w:p w14:paraId="5ECB6562" w14:textId="77777777" w:rsidR="003C2585" w:rsidRPr="003C2585" w:rsidRDefault="003C2585" w:rsidP="00683FD0">
      <w:pPr>
        <w:pStyle w:val="Prrafodelista"/>
        <w:numPr>
          <w:ilvl w:val="0"/>
          <w:numId w:val="23"/>
        </w:numPr>
        <w:spacing w:after="240" w:line="276" w:lineRule="auto"/>
        <w:jc w:val="both"/>
        <w:rPr>
          <w:rFonts w:ascii="Arial" w:hAnsi="Arial" w:cs="Arial"/>
          <w:bCs/>
          <w:sz w:val="24"/>
          <w:szCs w:val="24"/>
        </w:rPr>
      </w:pPr>
      <w:r w:rsidRPr="003C2585">
        <w:rPr>
          <w:rFonts w:ascii="Arial" w:hAnsi="Arial" w:cs="Arial"/>
          <w:bCs/>
          <w:sz w:val="24"/>
          <w:szCs w:val="24"/>
        </w:rPr>
        <w:t xml:space="preserve">Muestreo aleatorio estratificado: Consiste en considerar categorías típicas diferentes entre sí (estratos) que poseen gran homogeneidad respecto a alguna característica (se puede estratificar, por ejemplo, según el tipo de acción, movimientos contables, periodo de ejecución, rubro, etc.). Lo que se pretende con este tipo de muestreo es asegurarse que todos los estratos de interés estarán representados adecuadamente en la muestra. Cada estrato funciona independientemente, pudiendo aplicarse dentro de ellos el muestreo aleatorio simple o el estratificado para elegir los elementos concretos que formarán parte de la muestra. </w:t>
      </w:r>
    </w:p>
    <w:p w14:paraId="3BFD562A" w14:textId="77777777" w:rsidR="003C2585" w:rsidRPr="003C2585" w:rsidRDefault="003C2585" w:rsidP="003C2585">
      <w:pPr>
        <w:pStyle w:val="Prrafodelista"/>
        <w:spacing w:after="240" w:line="276" w:lineRule="auto"/>
        <w:jc w:val="both"/>
        <w:rPr>
          <w:rFonts w:ascii="Arial" w:hAnsi="Arial" w:cs="Arial"/>
          <w:bCs/>
          <w:sz w:val="20"/>
          <w:szCs w:val="24"/>
        </w:rPr>
      </w:pPr>
    </w:p>
    <w:p w14:paraId="00DF62E0" w14:textId="77777777" w:rsidR="003C2585" w:rsidRPr="003C2585" w:rsidRDefault="003C2585" w:rsidP="00683FD0">
      <w:pPr>
        <w:pStyle w:val="Prrafodelista"/>
        <w:numPr>
          <w:ilvl w:val="0"/>
          <w:numId w:val="23"/>
        </w:numPr>
        <w:spacing w:after="240" w:line="276" w:lineRule="auto"/>
        <w:jc w:val="both"/>
        <w:rPr>
          <w:rFonts w:ascii="Arial" w:hAnsi="Arial" w:cs="Arial"/>
          <w:bCs/>
          <w:sz w:val="24"/>
          <w:szCs w:val="24"/>
        </w:rPr>
      </w:pPr>
      <w:r w:rsidRPr="003C2585">
        <w:rPr>
          <w:rFonts w:ascii="Arial" w:hAnsi="Arial" w:cs="Arial"/>
          <w:bCs/>
          <w:sz w:val="24"/>
          <w:szCs w:val="24"/>
        </w:rPr>
        <w:t>La distribución de la muestra en función de los diferentes estratos se denomina afijación, y puede ser de diferentes tipos:</w:t>
      </w:r>
    </w:p>
    <w:p w14:paraId="14E0E825" w14:textId="77777777" w:rsidR="003C2585" w:rsidRPr="003C2585" w:rsidRDefault="003C2585" w:rsidP="003C2585">
      <w:pPr>
        <w:pStyle w:val="Prrafodelista"/>
        <w:spacing w:line="276" w:lineRule="auto"/>
        <w:rPr>
          <w:rFonts w:ascii="Arial" w:hAnsi="Arial" w:cs="Arial"/>
          <w:bCs/>
          <w:sz w:val="16"/>
          <w:szCs w:val="24"/>
        </w:rPr>
      </w:pPr>
    </w:p>
    <w:p w14:paraId="133692D6" w14:textId="77777777" w:rsidR="003C2585" w:rsidRPr="003C2585" w:rsidRDefault="003C2585" w:rsidP="003C2585">
      <w:pPr>
        <w:pStyle w:val="Prrafodelista"/>
        <w:spacing w:after="240" w:line="276" w:lineRule="auto"/>
        <w:jc w:val="both"/>
        <w:rPr>
          <w:rFonts w:ascii="Arial" w:hAnsi="Arial" w:cs="Arial"/>
          <w:bCs/>
          <w:sz w:val="16"/>
          <w:szCs w:val="24"/>
        </w:rPr>
      </w:pPr>
    </w:p>
    <w:p w14:paraId="2FABCDFC" w14:textId="77777777" w:rsidR="003C2585" w:rsidRPr="003C2585" w:rsidRDefault="003C2585" w:rsidP="00683FD0">
      <w:pPr>
        <w:pStyle w:val="Prrafodelista"/>
        <w:numPr>
          <w:ilvl w:val="1"/>
          <w:numId w:val="23"/>
        </w:numPr>
        <w:spacing w:after="240" w:line="276" w:lineRule="auto"/>
        <w:jc w:val="both"/>
        <w:rPr>
          <w:rFonts w:ascii="Arial" w:hAnsi="Arial" w:cs="Arial"/>
          <w:bCs/>
          <w:sz w:val="24"/>
          <w:szCs w:val="24"/>
        </w:rPr>
      </w:pPr>
      <w:r w:rsidRPr="003C2585">
        <w:rPr>
          <w:rFonts w:ascii="Arial" w:hAnsi="Arial" w:cs="Arial"/>
          <w:bCs/>
          <w:sz w:val="24"/>
          <w:szCs w:val="24"/>
        </w:rPr>
        <w:t xml:space="preserve">Afijación Simple: A cada estrato le corresponde igual número de elementos muestrales. </w:t>
      </w:r>
    </w:p>
    <w:p w14:paraId="6D09FB26" w14:textId="77777777" w:rsidR="003C2585" w:rsidRPr="003C2585" w:rsidRDefault="003C2585" w:rsidP="003C2585">
      <w:pPr>
        <w:pStyle w:val="Prrafodelista"/>
        <w:spacing w:after="240" w:line="276" w:lineRule="auto"/>
        <w:ind w:left="1440"/>
        <w:jc w:val="both"/>
        <w:rPr>
          <w:rFonts w:ascii="Arial" w:hAnsi="Arial" w:cs="Arial"/>
          <w:bCs/>
          <w:sz w:val="20"/>
          <w:szCs w:val="24"/>
        </w:rPr>
      </w:pPr>
    </w:p>
    <w:p w14:paraId="32F4C4A6" w14:textId="77777777" w:rsidR="003C2585" w:rsidRPr="003C2585" w:rsidRDefault="003C2585" w:rsidP="00683FD0">
      <w:pPr>
        <w:pStyle w:val="Prrafodelista"/>
        <w:numPr>
          <w:ilvl w:val="1"/>
          <w:numId w:val="23"/>
        </w:numPr>
        <w:spacing w:after="240" w:line="276" w:lineRule="auto"/>
        <w:jc w:val="both"/>
        <w:rPr>
          <w:rFonts w:ascii="Arial" w:hAnsi="Arial" w:cs="Arial"/>
          <w:bCs/>
          <w:sz w:val="24"/>
          <w:szCs w:val="24"/>
        </w:rPr>
      </w:pPr>
      <w:r w:rsidRPr="003C2585">
        <w:rPr>
          <w:rFonts w:ascii="Arial" w:hAnsi="Arial" w:cs="Arial"/>
          <w:bCs/>
          <w:sz w:val="24"/>
          <w:szCs w:val="24"/>
        </w:rPr>
        <w:t xml:space="preserve">Afijación Proporcional: La distribución se hace de acuerdo con el peso (tamaño) de la población en cada estrato. </w:t>
      </w:r>
    </w:p>
    <w:p w14:paraId="7328DC75" w14:textId="77777777" w:rsidR="003C2585" w:rsidRPr="003C2585" w:rsidRDefault="003C2585" w:rsidP="003C2585">
      <w:pPr>
        <w:pStyle w:val="Prrafodelista"/>
        <w:spacing w:line="276" w:lineRule="auto"/>
        <w:rPr>
          <w:rFonts w:ascii="Arial" w:hAnsi="Arial" w:cs="Arial"/>
          <w:bCs/>
          <w:sz w:val="20"/>
          <w:szCs w:val="24"/>
        </w:rPr>
      </w:pPr>
    </w:p>
    <w:p w14:paraId="019E71A3" w14:textId="77777777" w:rsidR="003C2585" w:rsidRPr="003C2585" w:rsidRDefault="003C2585" w:rsidP="003C2585">
      <w:pPr>
        <w:pStyle w:val="Prrafodelista"/>
        <w:spacing w:after="240" w:line="276" w:lineRule="auto"/>
        <w:ind w:left="1440"/>
        <w:jc w:val="both"/>
        <w:rPr>
          <w:rFonts w:ascii="Arial" w:hAnsi="Arial" w:cs="Arial"/>
          <w:bCs/>
          <w:sz w:val="8"/>
          <w:szCs w:val="24"/>
        </w:rPr>
      </w:pPr>
    </w:p>
    <w:p w14:paraId="367A3AE1" w14:textId="77777777" w:rsidR="003C2585" w:rsidRPr="003C2585" w:rsidRDefault="003C2585" w:rsidP="00683FD0">
      <w:pPr>
        <w:pStyle w:val="Prrafodelista"/>
        <w:numPr>
          <w:ilvl w:val="1"/>
          <w:numId w:val="23"/>
        </w:numPr>
        <w:spacing w:after="240" w:line="276" w:lineRule="auto"/>
        <w:jc w:val="both"/>
        <w:rPr>
          <w:rFonts w:ascii="Arial" w:hAnsi="Arial" w:cs="Arial"/>
          <w:bCs/>
          <w:sz w:val="24"/>
          <w:szCs w:val="24"/>
        </w:rPr>
      </w:pPr>
      <w:r w:rsidRPr="003C2585">
        <w:rPr>
          <w:rFonts w:ascii="Arial" w:hAnsi="Arial" w:cs="Arial"/>
          <w:bCs/>
          <w:sz w:val="24"/>
          <w:szCs w:val="24"/>
        </w:rPr>
        <w:t>Afijación Óptima: Se tiene en cuenta la previsible dispersión de los resultados, de modo que se considera la proporción y la desviación típica.</w:t>
      </w:r>
    </w:p>
    <w:p w14:paraId="0A319A37" w14:textId="77777777" w:rsidR="003C2585" w:rsidRPr="00C51148" w:rsidRDefault="003C2585" w:rsidP="003C2585">
      <w:pPr>
        <w:spacing w:after="240" w:line="276" w:lineRule="auto"/>
        <w:jc w:val="both"/>
        <w:rPr>
          <w:rFonts w:ascii="Arial" w:hAnsi="Arial" w:cs="Arial"/>
          <w:b/>
          <w:bCs/>
          <w:sz w:val="20"/>
          <w:szCs w:val="24"/>
        </w:rPr>
      </w:pPr>
    </w:p>
    <w:p w14:paraId="2BF5F212" w14:textId="77777777" w:rsidR="003C2585" w:rsidRDefault="003C2585" w:rsidP="003C2585">
      <w:pPr>
        <w:spacing w:after="240" w:line="276" w:lineRule="auto"/>
        <w:jc w:val="both"/>
        <w:rPr>
          <w:rFonts w:ascii="Arial" w:hAnsi="Arial" w:cs="Arial"/>
          <w:b/>
          <w:bCs/>
          <w:sz w:val="24"/>
          <w:szCs w:val="24"/>
        </w:rPr>
      </w:pPr>
      <w:r w:rsidRPr="000E6193">
        <w:rPr>
          <w:rFonts w:ascii="Arial" w:hAnsi="Arial" w:cs="Arial"/>
          <w:b/>
          <w:bCs/>
          <w:sz w:val="24"/>
          <w:szCs w:val="24"/>
        </w:rPr>
        <w:t>Por lo antes expuesto el cálculo del porcentaje de la representatividad de la muestra auditada considera tres factores importantes:</w:t>
      </w:r>
    </w:p>
    <w:p w14:paraId="155457F6" w14:textId="77777777" w:rsidR="003C2585" w:rsidRPr="00C51148" w:rsidRDefault="003C2585" w:rsidP="003C2585">
      <w:pPr>
        <w:spacing w:after="240" w:line="276" w:lineRule="auto"/>
        <w:jc w:val="both"/>
        <w:rPr>
          <w:rFonts w:ascii="Arial" w:hAnsi="Arial" w:cs="Arial"/>
          <w:b/>
          <w:bCs/>
          <w:sz w:val="2"/>
          <w:szCs w:val="24"/>
        </w:rPr>
      </w:pPr>
    </w:p>
    <w:p w14:paraId="5FBF2D6A" w14:textId="77777777" w:rsidR="003C2585" w:rsidRPr="003C2585" w:rsidRDefault="003C2585" w:rsidP="00683FD0">
      <w:pPr>
        <w:pStyle w:val="Prrafodelista"/>
        <w:numPr>
          <w:ilvl w:val="0"/>
          <w:numId w:val="24"/>
        </w:numPr>
        <w:spacing w:after="240" w:line="276" w:lineRule="auto"/>
        <w:jc w:val="both"/>
        <w:rPr>
          <w:rFonts w:ascii="Arial" w:hAnsi="Arial" w:cs="Arial"/>
          <w:bCs/>
          <w:sz w:val="24"/>
          <w:szCs w:val="24"/>
        </w:rPr>
      </w:pPr>
      <w:r w:rsidRPr="003C2585">
        <w:rPr>
          <w:rFonts w:ascii="Arial" w:hAnsi="Arial" w:cs="Arial"/>
          <w:bCs/>
          <w:sz w:val="24"/>
          <w:szCs w:val="24"/>
        </w:rPr>
        <w:t>El universo seleccionado de cada entidad. El cual está determinado con base a los estados financieros presentados por las entidades fiscalizables del ejercicio fiscal en cuestión.</w:t>
      </w:r>
    </w:p>
    <w:p w14:paraId="443E2C6D" w14:textId="77777777" w:rsidR="003C2585" w:rsidRPr="003C2585" w:rsidRDefault="003C2585" w:rsidP="003C2585">
      <w:pPr>
        <w:pStyle w:val="Prrafodelista"/>
        <w:spacing w:after="240" w:line="276" w:lineRule="auto"/>
        <w:jc w:val="both"/>
        <w:rPr>
          <w:rFonts w:ascii="Arial" w:hAnsi="Arial" w:cs="Arial"/>
          <w:bCs/>
          <w:sz w:val="20"/>
          <w:szCs w:val="24"/>
        </w:rPr>
      </w:pPr>
    </w:p>
    <w:p w14:paraId="203B212C" w14:textId="77777777" w:rsidR="003C2585" w:rsidRPr="003C2585" w:rsidRDefault="003C2585" w:rsidP="00683FD0">
      <w:pPr>
        <w:pStyle w:val="Prrafodelista"/>
        <w:numPr>
          <w:ilvl w:val="0"/>
          <w:numId w:val="24"/>
        </w:numPr>
        <w:spacing w:after="0" w:line="276" w:lineRule="auto"/>
        <w:jc w:val="both"/>
        <w:rPr>
          <w:rFonts w:ascii="Arial" w:hAnsi="Arial" w:cs="Arial"/>
          <w:bCs/>
          <w:sz w:val="24"/>
          <w:szCs w:val="24"/>
        </w:rPr>
      </w:pPr>
      <w:r w:rsidRPr="003C2585">
        <w:rPr>
          <w:rFonts w:ascii="Arial" w:hAnsi="Arial" w:cs="Arial"/>
          <w:bCs/>
          <w:sz w:val="24"/>
          <w:szCs w:val="24"/>
        </w:rPr>
        <w:t>Lo elementos de la población (obras, acciones, movimientos contables, etc…), los cuales tienen determinado el valor monetario, el cual no se puede parcializar, se debe considerar con su valor total.</w:t>
      </w:r>
    </w:p>
    <w:p w14:paraId="17746B14" w14:textId="77777777" w:rsidR="003C2585" w:rsidRPr="003C2585" w:rsidRDefault="003C2585" w:rsidP="003C2585">
      <w:pPr>
        <w:pStyle w:val="Prrafodelista"/>
        <w:spacing w:line="276" w:lineRule="auto"/>
        <w:rPr>
          <w:rFonts w:ascii="Arial" w:hAnsi="Arial" w:cs="Arial"/>
          <w:bCs/>
          <w:sz w:val="20"/>
          <w:szCs w:val="24"/>
        </w:rPr>
      </w:pPr>
    </w:p>
    <w:p w14:paraId="683CACCA" w14:textId="77777777" w:rsidR="003C2585" w:rsidRPr="003C2585" w:rsidRDefault="003C2585" w:rsidP="003C2585">
      <w:pPr>
        <w:pStyle w:val="Prrafodelista"/>
        <w:spacing w:line="276" w:lineRule="auto"/>
        <w:jc w:val="both"/>
        <w:rPr>
          <w:rFonts w:ascii="Arial" w:hAnsi="Arial" w:cs="Arial"/>
          <w:bCs/>
          <w:sz w:val="18"/>
          <w:szCs w:val="24"/>
        </w:rPr>
      </w:pPr>
    </w:p>
    <w:p w14:paraId="7ABDA901" w14:textId="77777777" w:rsidR="00F20A38" w:rsidRPr="00DE53ED" w:rsidRDefault="003C2585" w:rsidP="00683FD0">
      <w:pPr>
        <w:pStyle w:val="Prrafodelista"/>
        <w:numPr>
          <w:ilvl w:val="0"/>
          <w:numId w:val="24"/>
        </w:numPr>
        <w:spacing w:after="240" w:line="276" w:lineRule="auto"/>
        <w:jc w:val="both"/>
        <w:rPr>
          <w:rFonts w:ascii="Arial" w:hAnsi="Arial" w:cs="Arial"/>
          <w:sz w:val="24"/>
          <w:szCs w:val="24"/>
        </w:rPr>
      </w:pPr>
      <w:r w:rsidRPr="003C2585">
        <w:rPr>
          <w:rFonts w:ascii="Arial" w:hAnsi="Arial" w:cs="Arial"/>
          <w:bCs/>
          <w:sz w:val="24"/>
          <w:szCs w:val="24"/>
        </w:rPr>
        <w:t xml:space="preserve">La muestra seleccionada, corresponde a la población objetivo de la selección </w:t>
      </w:r>
    </w:p>
    <w:p w14:paraId="59099395" w14:textId="77777777" w:rsidR="003C2585" w:rsidRPr="003C2585" w:rsidRDefault="003C2585" w:rsidP="003C2585">
      <w:pPr>
        <w:pStyle w:val="Prrafodelista"/>
        <w:spacing w:after="240" w:line="276" w:lineRule="auto"/>
        <w:jc w:val="both"/>
        <w:rPr>
          <w:rFonts w:ascii="Arial" w:hAnsi="Arial" w:cs="Arial"/>
          <w:b/>
          <w:sz w:val="24"/>
          <w:szCs w:val="24"/>
        </w:rPr>
      </w:pPr>
      <w:r w:rsidRPr="003C2585">
        <w:rPr>
          <w:rFonts w:ascii="Arial" w:hAnsi="Arial" w:cs="Arial"/>
          <w:b/>
          <w:sz w:val="24"/>
          <w:szCs w:val="24"/>
        </w:rPr>
        <w:lastRenderedPageBreak/>
        <w:t>La fórmula aplicable 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1276"/>
        <w:gridCol w:w="426"/>
        <w:gridCol w:w="1165"/>
      </w:tblGrid>
      <w:tr w:rsidR="003C2585" w:rsidRPr="000E6193" w14:paraId="2FF54FBF" w14:textId="77777777" w:rsidTr="00F20A38">
        <w:trPr>
          <w:jc w:val="center"/>
        </w:trPr>
        <w:tc>
          <w:tcPr>
            <w:tcW w:w="4961" w:type="dxa"/>
            <w:tcBorders>
              <w:bottom w:val="single" w:sz="4" w:space="0" w:color="auto"/>
            </w:tcBorders>
            <w:vAlign w:val="center"/>
          </w:tcPr>
          <w:p w14:paraId="5F6F9DA8" w14:textId="77777777" w:rsidR="003C2585" w:rsidRDefault="003C2585" w:rsidP="00F20A38">
            <w:pPr>
              <w:spacing w:line="276" w:lineRule="auto"/>
              <w:jc w:val="center"/>
              <w:rPr>
                <w:rFonts w:ascii="Arial" w:hAnsi="Arial" w:cs="Arial"/>
                <w:b/>
                <w:sz w:val="24"/>
                <w:szCs w:val="24"/>
              </w:rPr>
            </w:pPr>
          </w:p>
          <w:p w14:paraId="580030C3" w14:textId="77777777" w:rsidR="003C2585" w:rsidRPr="000E6193" w:rsidRDefault="003C2585" w:rsidP="00F20A38">
            <w:pPr>
              <w:spacing w:line="276" w:lineRule="auto"/>
              <w:jc w:val="center"/>
              <w:rPr>
                <w:rFonts w:ascii="Arial" w:hAnsi="Arial" w:cs="Arial"/>
                <w:b/>
                <w:sz w:val="24"/>
                <w:szCs w:val="24"/>
              </w:rPr>
            </w:pPr>
            <w:r w:rsidRPr="000E6193">
              <w:rPr>
                <w:rFonts w:ascii="Arial" w:hAnsi="Arial" w:cs="Arial"/>
                <w:b/>
                <w:sz w:val="24"/>
                <w:szCs w:val="24"/>
              </w:rPr>
              <w:t>La población objetivo de la selección</w:t>
            </w:r>
          </w:p>
        </w:tc>
        <w:tc>
          <w:tcPr>
            <w:tcW w:w="1276" w:type="dxa"/>
            <w:vMerge w:val="restart"/>
            <w:vAlign w:val="center"/>
          </w:tcPr>
          <w:p w14:paraId="1A5B96EA" w14:textId="77777777" w:rsidR="003C2585" w:rsidRPr="000E6193" w:rsidRDefault="003C2585" w:rsidP="00F20A38">
            <w:pPr>
              <w:spacing w:line="276" w:lineRule="auto"/>
              <w:jc w:val="center"/>
              <w:rPr>
                <w:rFonts w:ascii="Arial" w:hAnsi="Arial" w:cs="Arial"/>
                <w:b/>
                <w:sz w:val="24"/>
                <w:szCs w:val="24"/>
              </w:rPr>
            </w:pPr>
            <w:r w:rsidRPr="000E6193">
              <w:rPr>
                <w:rFonts w:ascii="Arial" w:hAnsi="Arial" w:cs="Arial"/>
                <w:b/>
                <w:sz w:val="24"/>
                <w:szCs w:val="24"/>
              </w:rPr>
              <w:t>X 100.00</w:t>
            </w:r>
          </w:p>
        </w:tc>
        <w:tc>
          <w:tcPr>
            <w:tcW w:w="426" w:type="dxa"/>
            <w:vMerge w:val="restart"/>
            <w:vAlign w:val="center"/>
          </w:tcPr>
          <w:p w14:paraId="46B93BF7" w14:textId="77777777" w:rsidR="003C2585" w:rsidRPr="000E6193" w:rsidRDefault="003C2585" w:rsidP="00F20A38">
            <w:pPr>
              <w:spacing w:line="276" w:lineRule="auto"/>
              <w:jc w:val="center"/>
              <w:rPr>
                <w:rFonts w:ascii="Arial" w:hAnsi="Arial" w:cs="Arial"/>
                <w:b/>
                <w:sz w:val="24"/>
                <w:szCs w:val="24"/>
              </w:rPr>
            </w:pPr>
            <w:r w:rsidRPr="000E6193">
              <w:rPr>
                <w:rFonts w:ascii="Arial" w:hAnsi="Arial" w:cs="Arial"/>
                <w:b/>
                <w:sz w:val="24"/>
                <w:szCs w:val="24"/>
              </w:rPr>
              <w:t>=</w:t>
            </w:r>
          </w:p>
        </w:tc>
        <w:tc>
          <w:tcPr>
            <w:tcW w:w="1165" w:type="dxa"/>
            <w:vMerge w:val="restart"/>
            <w:vAlign w:val="center"/>
          </w:tcPr>
          <w:p w14:paraId="4B3E4BF8" w14:textId="77777777" w:rsidR="003C2585" w:rsidRPr="000E6193" w:rsidRDefault="003C2585" w:rsidP="00F20A38">
            <w:pPr>
              <w:spacing w:line="276" w:lineRule="auto"/>
              <w:jc w:val="center"/>
              <w:rPr>
                <w:rFonts w:ascii="Arial" w:hAnsi="Arial" w:cs="Arial"/>
                <w:b/>
                <w:sz w:val="24"/>
                <w:szCs w:val="24"/>
              </w:rPr>
            </w:pPr>
            <w:r w:rsidRPr="000E6193">
              <w:rPr>
                <w:rFonts w:ascii="Arial" w:hAnsi="Arial" w:cs="Arial"/>
                <w:b/>
                <w:sz w:val="24"/>
                <w:szCs w:val="24"/>
              </w:rPr>
              <w:t>% de la muestra</w:t>
            </w:r>
          </w:p>
        </w:tc>
      </w:tr>
      <w:tr w:rsidR="003C2585" w:rsidRPr="000E6193" w14:paraId="6A53216A" w14:textId="77777777" w:rsidTr="00F20A38">
        <w:trPr>
          <w:jc w:val="center"/>
        </w:trPr>
        <w:tc>
          <w:tcPr>
            <w:tcW w:w="4961" w:type="dxa"/>
            <w:tcBorders>
              <w:top w:val="single" w:sz="4" w:space="0" w:color="auto"/>
            </w:tcBorders>
            <w:vAlign w:val="center"/>
          </w:tcPr>
          <w:p w14:paraId="71012661" w14:textId="77777777" w:rsidR="003C2585" w:rsidRPr="000E6193" w:rsidRDefault="003C2585" w:rsidP="00F20A38">
            <w:pPr>
              <w:spacing w:line="276" w:lineRule="auto"/>
              <w:jc w:val="center"/>
              <w:rPr>
                <w:rFonts w:ascii="Arial" w:hAnsi="Arial" w:cs="Arial"/>
                <w:b/>
                <w:sz w:val="24"/>
                <w:szCs w:val="24"/>
              </w:rPr>
            </w:pPr>
            <w:r w:rsidRPr="000E6193">
              <w:rPr>
                <w:rFonts w:ascii="Arial" w:hAnsi="Arial" w:cs="Arial"/>
                <w:b/>
                <w:sz w:val="24"/>
                <w:szCs w:val="24"/>
              </w:rPr>
              <w:t>El universo seleccionado de cada entidad</w:t>
            </w:r>
          </w:p>
        </w:tc>
        <w:tc>
          <w:tcPr>
            <w:tcW w:w="1276" w:type="dxa"/>
            <w:vMerge/>
          </w:tcPr>
          <w:p w14:paraId="542A48D4" w14:textId="77777777" w:rsidR="003C2585" w:rsidRPr="000E6193" w:rsidRDefault="003C2585" w:rsidP="00F20A38">
            <w:pPr>
              <w:spacing w:line="276" w:lineRule="auto"/>
              <w:rPr>
                <w:rFonts w:ascii="Arial" w:hAnsi="Arial" w:cs="Arial"/>
                <w:b/>
                <w:sz w:val="24"/>
                <w:szCs w:val="24"/>
              </w:rPr>
            </w:pPr>
          </w:p>
        </w:tc>
        <w:tc>
          <w:tcPr>
            <w:tcW w:w="426" w:type="dxa"/>
            <w:vMerge/>
          </w:tcPr>
          <w:p w14:paraId="7538D4F0" w14:textId="77777777" w:rsidR="003C2585" w:rsidRPr="000E6193" w:rsidRDefault="003C2585" w:rsidP="00F20A38">
            <w:pPr>
              <w:spacing w:line="276" w:lineRule="auto"/>
              <w:rPr>
                <w:rFonts w:ascii="Arial" w:hAnsi="Arial" w:cs="Arial"/>
                <w:b/>
                <w:sz w:val="24"/>
                <w:szCs w:val="24"/>
              </w:rPr>
            </w:pPr>
          </w:p>
        </w:tc>
        <w:tc>
          <w:tcPr>
            <w:tcW w:w="1165" w:type="dxa"/>
            <w:vMerge/>
          </w:tcPr>
          <w:p w14:paraId="204DF8EB" w14:textId="77777777" w:rsidR="003C2585" w:rsidRPr="000E6193" w:rsidRDefault="003C2585" w:rsidP="00F20A38">
            <w:pPr>
              <w:spacing w:line="276" w:lineRule="auto"/>
              <w:rPr>
                <w:rFonts w:ascii="Arial" w:hAnsi="Arial" w:cs="Arial"/>
                <w:b/>
                <w:sz w:val="24"/>
                <w:szCs w:val="24"/>
              </w:rPr>
            </w:pPr>
          </w:p>
        </w:tc>
      </w:tr>
    </w:tbl>
    <w:p w14:paraId="1235DBBE" w14:textId="77777777" w:rsidR="003C2585" w:rsidRDefault="003C2585" w:rsidP="003C2585">
      <w:pPr>
        <w:spacing w:line="276" w:lineRule="auto"/>
        <w:jc w:val="both"/>
        <w:rPr>
          <w:rFonts w:ascii="Arial" w:hAnsi="Arial" w:cs="Arial"/>
          <w:sz w:val="24"/>
          <w:szCs w:val="24"/>
        </w:rPr>
      </w:pPr>
    </w:p>
    <w:p w14:paraId="373BC1A5" w14:textId="77777777" w:rsidR="003C2585" w:rsidRPr="00C803CF" w:rsidRDefault="003C2585" w:rsidP="003C2585">
      <w:pPr>
        <w:spacing w:line="276" w:lineRule="auto"/>
        <w:jc w:val="both"/>
        <w:rPr>
          <w:rFonts w:ascii="Arial" w:hAnsi="Arial" w:cs="Arial"/>
          <w:sz w:val="24"/>
          <w:szCs w:val="24"/>
        </w:rPr>
      </w:pPr>
      <w:r w:rsidRPr="00C803CF">
        <w:rPr>
          <w:rFonts w:ascii="Arial" w:hAnsi="Arial" w:cs="Arial"/>
          <w:sz w:val="24"/>
          <w:szCs w:val="24"/>
        </w:rPr>
        <w:t>Por norma de expresión, las cantidades son redondeadas y se reflejan con dos decimales</w:t>
      </w:r>
      <w:r>
        <w:rPr>
          <w:rFonts w:ascii="Arial" w:hAnsi="Arial" w:cs="Arial"/>
          <w:sz w:val="24"/>
          <w:szCs w:val="24"/>
        </w:rPr>
        <w:t>,</w:t>
      </w:r>
      <w:r w:rsidRPr="00C803CF">
        <w:rPr>
          <w:rFonts w:ascii="Arial" w:hAnsi="Arial" w:cs="Arial"/>
          <w:sz w:val="24"/>
          <w:szCs w:val="24"/>
        </w:rPr>
        <w:t xml:space="preserve"> los importes de los elementos de la población objetivo ya están determinados y no se pueden modificar, es necesario considerar el valor total de los elementos, y sacar el porcentaje de muestra de forma directa.</w:t>
      </w:r>
    </w:p>
    <w:p w14:paraId="0A80A492" w14:textId="77777777" w:rsidR="003C2585" w:rsidRPr="00A02122" w:rsidRDefault="003C2585" w:rsidP="003C2585">
      <w:pPr>
        <w:spacing w:after="0" w:line="276" w:lineRule="auto"/>
        <w:jc w:val="both"/>
        <w:rPr>
          <w:rFonts w:ascii="Arial" w:hAnsi="Arial" w:cs="Arial"/>
          <w:sz w:val="8"/>
          <w:szCs w:val="24"/>
        </w:rPr>
      </w:pPr>
    </w:p>
    <w:p w14:paraId="04362F6A" w14:textId="77777777" w:rsidR="003C2585" w:rsidRPr="00C803CF" w:rsidRDefault="003C2585" w:rsidP="003C2585">
      <w:pPr>
        <w:spacing w:line="276" w:lineRule="auto"/>
        <w:jc w:val="both"/>
        <w:rPr>
          <w:rFonts w:ascii="Arial" w:hAnsi="Arial" w:cs="Arial"/>
          <w:sz w:val="24"/>
          <w:szCs w:val="24"/>
          <w:lang w:val="es-ES"/>
        </w:rPr>
      </w:pPr>
      <w:r w:rsidRPr="00C803CF">
        <w:rPr>
          <w:rFonts w:ascii="Arial" w:hAnsi="Arial" w:cs="Arial"/>
          <w:sz w:val="24"/>
          <w:szCs w:val="24"/>
        </w:rPr>
        <w:t>Un error común al realizar las operac</w:t>
      </w:r>
      <w:r w:rsidRPr="00C803CF">
        <w:rPr>
          <w:rFonts w:ascii="Arial" w:hAnsi="Arial" w:cs="Arial"/>
          <w:sz w:val="24"/>
          <w:szCs w:val="24"/>
          <w:lang w:val="es-ES"/>
        </w:rPr>
        <w:t>iones de porcentaje, es el orden en el que se d</w:t>
      </w:r>
      <w:r>
        <w:rPr>
          <w:rFonts w:ascii="Arial" w:hAnsi="Arial" w:cs="Arial"/>
          <w:sz w:val="24"/>
          <w:szCs w:val="24"/>
          <w:lang w:val="es-ES"/>
        </w:rPr>
        <w:t>esarrolla la aplicación de la fó</w:t>
      </w:r>
      <w:r w:rsidRPr="00C803CF">
        <w:rPr>
          <w:rFonts w:ascii="Arial" w:hAnsi="Arial" w:cs="Arial"/>
          <w:sz w:val="24"/>
          <w:szCs w:val="24"/>
          <w:lang w:val="es-ES"/>
        </w:rPr>
        <w:t xml:space="preserve">rmula implementada en el cálculo del porcentaje de </w:t>
      </w:r>
      <w:r w:rsidRPr="00F303E8">
        <w:rPr>
          <w:rFonts w:ascii="Arial" w:hAnsi="Arial" w:cs="Arial"/>
          <w:sz w:val="24"/>
          <w:szCs w:val="24"/>
        </w:rPr>
        <w:t>representatividad</w:t>
      </w:r>
      <w:r w:rsidRPr="00C803CF">
        <w:rPr>
          <w:rFonts w:ascii="Arial" w:hAnsi="Arial" w:cs="Arial"/>
          <w:sz w:val="24"/>
          <w:szCs w:val="24"/>
          <w:lang w:val="es-ES"/>
        </w:rPr>
        <w:t xml:space="preserve"> de la muestra, teniendo en cuenta que el Método Científico se basa en el principio de Reproducibilidad.</w:t>
      </w:r>
    </w:p>
    <w:p w14:paraId="2DC595BA" w14:textId="77777777" w:rsidR="003C2585" w:rsidRDefault="003C2585" w:rsidP="00683FD0">
      <w:pPr>
        <w:numPr>
          <w:ilvl w:val="0"/>
          <w:numId w:val="25"/>
        </w:numPr>
        <w:spacing w:before="100" w:beforeAutospacing="1" w:after="100" w:afterAutospacing="1" w:line="276" w:lineRule="auto"/>
        <w:jc w:val="both"/>
        <w:rPr>
          <w:rFonts w:ascii="Arial" w:eastAsia="Times New Roman" w:hAnsi="Arial" w:cs="Arial"/>
          <w:color w:val="000000"/>
          <w:sz w:val="24"/>
          <w:szCs w:val="24"/>
          <w:lang w:eastAsia="es-MX"/>
        </w:rPr>
      </w:pPr>
      <w:r w:rsidRPr="00BB6F00">
        <w:rPr>
          <w:rFonts w:ascii="Arial" w:eastAsia="Times New Roman" w:hAnsi="Arial" w:cs="Arial"/>
          <w:b/>
          <w:bCs/>
          <w:color w:val="000000"/>
          <w:sz w:val="24"/>
          <w:szCs w:val="24"/>
          <w:lang w:eastAsia="es-MX"/>
        </w:rPr>
        <w:t>Reproducibilidad. </w:t>
      </w:r>
      <w:r w:rsidRPr="00BB6F00">
        <w:rPr>
          <w:rFonts w:ascii="Arial" w:eastAsia="Times New Roman" w:hAnsi="Arial" w:cs="Arial"/>
          <w:color w:val="000000"/>
          <w:sz w:val="24"/>
          <w:szCs w:val="24"/>
          <w:lang w:eastAsia="es-MX"/>
        </w:rPr>
        <w:t>Capacidad que posee un determinado conocimiento científico de ser replicado por otra </w:t>
      </w:r>
      <w:r w:rsidRPr="00C803CF">
        <w:rPr>
          <w:rFonts w:ascii="Arial" w:eastAsia="Times New Roman" w:hAnsi="Arial" w:cs="Arial"/>
          <w:color w:val="000000"/>
          <w:sz w:val="24"/>
          <w:szCs w:val="24"/>
          <w:lang w:eastAsia="es-MX"/>
        </w:rPr>
        <w:t>persona</w:t>
      </w:r>
      <w:r w:rsidRPr="00BB6F00">
        <w:rPr>
          <w:rFonts w:ascii="Arial" w:eastAsia="Times New Roman" w:hAnsi="Arial" w:cs="Arial"/>
          <w:color w:val="000000"/>
          <w:sz w:val="24"/>
          <w:szCs w:val="24"/>
          <w:lang w:eastAsia="es-MX"/>
        </w:rPr>
        <w:t> y en otro momento bajo las mismas condiciones obteniendo el mismo resultado.</w:t>
      </w:r>
    </w:p>
    <w:p w14:paraId="100DDE75" w14:textId="77777777" w:rsidR="003C2585" w:rsidRPr="0043041B" w:rsidRDefault="003C2585" w:rsidP="003C2585">
      <w:pPr>
        <w:spacing w:after="0" w:line="276" w:lineRule="auto"/>
        <w:jc w:val="both"/>
        <w:rPr>
          <w:rFonts w:ascii="Arial" w:eastAsia="Times New Roman" w:hAnsi="Arial" w:cs="Arial"/>
          <w:color w:val="000000"/>
          <w:sz w:val="24"/>
          <w:szCs w:val="24"/>
          <w:lang w:eastAsia="es-MX"/>
        </w:rPr>
      </w:pPr>
    </w:p>
    <w:p w14:paraId="7F1BF8D4" w14:textId="77777777" w:rsidR="003C2585" w:rsidRDefault="003C2585" w:rsidP="003C2585">
      <w:pPr>
        <w:spacing w:line="276"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Derivado de lo anterior es importante mencionar que dicho principio se entiende así: </w:t>
      </w:r>
    </w:p>
    <w:p w14:paraId="6F25E469" w14:textId="77777777" w:rsidR="003C2585" w:rsidRDefault="003C2585" w:rsidP="003C2585">
      <w:pPr>
        <w:spacing w:line="276" w:lineRule="auto"/>
        <w:jc w:val="both"/>
        <w:rPr>
          <w:rFonts w:ascii="Arial" w:eastAsia="Times New Roman" w:hAnsi="Arial" w:cs="Arial"/>
          <w:color w:val="000000"/>
          <w:sz w:val="24"/>
          <w:szCs w:val="24"/>
          <w:lang w:eastAsia="es-MX"/>
        </w:rPr>
      </w:pPr>
      <w:r w:rsidRPr="00C803CF">
        <w:rPr>
          <w:rFonts w:ascii="Arial" w:eastAsia="Times New Roman" w:hAnsi="Arial" w:cs="Arial"/>
          <w:color w:val="000000"/>
          <w:sz w:val="24"/>
          <w:szCs w:val="24"/>
          <w:lang w:eastAsia="es-MX"/>
        </w:rPr>
        <w:t xml:space="preserve">Ejemplo: </w:t>
      </w:r>
    </w:p>
    <w:p w14:paraId="1BB872AE" w14:textId="77777777" w:rsidR="003C2585" w:rsidRPr="003C2585" w:rsidRDefault="003C2585" w:rsidP="003C2585">
      <w:pPr>
        <w:spacing w:line="276" w:lineRule="auto"/>
        <w:jc w:val="both"/>
        <w:rPr>
          <w:rFonts w:ascii="Arial" w:eastAsia="Times New Roman" w:hAnsi="Arial" w:cs="Arial"/>
          <w:color w:val="000000"/>
          <w:sz w:val="8"/>
          <w:szCs w:val="24"/>
          <w:lang w:eastAsia="es-MX"/>
        </w:rPr>
      </w:pPr>
    </w:p>
    <w:p w14:paraId="0E142B4C" w14:textId="77777777" w:rsidR="003C2585" w:rsidRDefault="003C2585" w:rsidP="003C2585">
      <w:pPr>
        <w:spacing w:line="276" w:lineRule="auto"/>
        <w:jc w:val="both"/>
        <w:rPr>
          <w:rFonts w:ascii="Arial" w:hAnsi="Arial" w:cs="Arial"/>
          <w:sz w:val="24"/>
          <w:szCs w:val="24"/>
          <w:lang w:val="es-ES"/>
        </w:rPr>
      </w:pPr>
      <w:r w:rsidRPr="00C803CF">
        <w:rPr>
          <w:rFonts w:ascii="Arial" w:hAnsi="Arial" w:cs="Arial"/>
          <w:sz w:val="24"/>
          <w:szCs w:val="24"/>
          <w:lang w:val="es-ES"/>
        </w:rPr>
        <w:t>Al realizar una operación donde se multiplique el porcentaje obtenido por la población objetivo, si no se consideran todas las decimas resultantes (por el redondeo a dos decimales), el porcentaje es menor a la muestra seleccionada.</w:t>
      </w:r>
    </w:p>
    <w:p w14:paraId="36CDAAEC" w14:textId="77777777" w:rsidR="003C2585" w:rsidRPr="003C2585" w:rsidRDefault="003C2585" w:rsidP="003C2585">
      <w:pPr>
        <w:spacing w:after="0" w:line="276" w:lineRule="auto"/>
        <w:jc w:val="both"/>
        <w:rPr>
          <w:rFonts w:ascii="Arial" w:hAnsi="Arial" w:cs="Arial"/>
          <w:sz w:val="12"/>
          <w:szCs w:val="12"/>
          <w:lang w:val="es-ES"/>
        </w:rPr>
      </w:pPr>
    </w:p>
    <w:p w14:paraId="0B22EEF0" w14:textId="77777777" w:rsidR="005D2E5D" w:rsidRDefault="003C2585" w:rsidP="003C2585">
      <w:pPr>
        <w:spacing w:after="0" w:line="276" w:lineRule="auto"/>
      </w:pPr>
      <w:r w:rsidRPr="00C803CF">
        <w:rPr>
          <w:rFonts w:ascii="Arial" w:hAnsi="Arial" w:cs="Arial"/>
          <w:sz w:val="24"/>
          <w:szCs w:val="24"/>
          <w:lang w:val="es-ES"/>
        </w:rPr>
        <w:t>Lo que resulta en una cantidad menor por no ocupar todas las decimales que arroja la operación.</w:t>
      </w:r>
    </w:p>
    <w:p w14:paraId="56352070" w14:textId="77777777" w:rsidR="00030260" w:rsidRDefault="00030260" w:rsidP="005D2E5D"/>
    <w:p w14:paraId="4F2A4BD1" w14:textId="77777777" w:rsidR="005D2E5D" w:rsidRDefault="005D2E5D" w:rsidP="005D2E5D"/>
    <w:p w14:paraId="24AB76AE" w14:textId="77777777" w:rsidR="005D2E5D" w:rsidRDefault="005D2E5D" w:rsidP="005D2E5D"/>
    <w:p w14:paraId="60F4BE4F" w14:textId="77777777" w:rsidR="003C2585" w:rsidRDefault="003C2585" w:rsidP="005D2E5D"/>
    <w:p w14:paraId="2835D962" w14:textId="77777777" w:rsidR="003C2585" w:rsidRDefault="003C2585" w:rsidP="005D2E5D"/>
    <w:p w14:paraId="34E141AB" w14:textId="77777777" w:rsidR="003C2585" w:rsidRDefault="003C2585" w:rsidP="005D2E5D"/>
    <w:p w14:paraId="40A11862" w14:textId="77777777" w:rsidR="003C2585" w:rsidRDefault="003C2585" w:rsidP="005D2E5D"/>
    <w:p w14:paraId="7F314A94" w14:textId="77777777" w:rsidR="003C2585" w:rsidRDefault="003C2585" w:rsidP="005D2E5D"/>
    <w:p w14:paraId="21070DF2" w14:textId="77777777" w:rsidR="003C2585" w:rsidRDefault="003C2585" w:rsidP="005D2E5D"/>
    <w:p w14:paraId="26AED242" w14:textId="77777777" w:rsidR="003C2585" w:rsidRDefault="003C2585" w:rsidP="005D2E5D"/>
    <w:p w14:paraId="1BC5038C" w14:textId="77777777" w:rsidR="003C2585" w:rsidRDefault="003C2585" w:rsidP="005D2E5D"/>
    <w:p w14:paraId="7025D5F7" w14:textId="77777777" w:rsidR="00F20A38" w:rsidRDefault="00F20A38" w:rsidP="005D2E5D"/>
    <w:p w14:paraId="768E6933" w14:textId="77777777" w:rsidR="00F20A38" w:rsidRDefault="00F20A38" w:rsidP="005D2E5D"/>
    <w:p w14:paraId="5066CF20" w14:textId="77777777" w:rsidR="00F20A38" w:rsidRDefault="00F20A38" w:rsidP="005D2E5D"/>
    <w:p w14:paraId="1324D35F" w14:textId="77777777" w:rsidR="003C2585" w:rsidRDefault="003C2585" w:rsidP="005D2E5D"/>
    <w:p w14:paraId="06CDA7B3" w14:textId="77777777" w:rsidR="00DE53ED" w:rsidRDefault="003C2585" w:rsidP="00F20A38">
      <w:pPr>
        <w:pStyle w:val="Ttulo1"/>
        <w:spacing w:line="276" w:lineRule="auto"/>
        <w:jc w:val="center"/>
        <w:rPr>
          <w:rFonts w:ascii="Arial" w:eastAsia="Arial" w:hAnsi="Arial" w:cs="Arial"/>
          <w:b/>
          <w:color w:val="auto"/>
          <w:sz w:val="40"/>
          <w:szCs w:val="24"/>
          <w:lang w:val="es-ES" w:eastAsia="es-ES" w:bidi="es-ES"/>
        </w:rPr>
      </w:pPr>
      <w:bookmarkStart w:id="94" w:name="_Toc158567512"/>
      <w:r>
        <w:rPr>
          <w:rFonts w:ascii="Arial" w:eastAsia="Arial" w:hAnsi="Arial" w:cs="Arial"/>
          <w:b/>
          <w:color w:val="auto"/>
          <w:sz w:val="40"/>
          <w:szCs w:val="24"/>
          <w:lang w:val="es-ES" w:eastAsia="es-ES" w:bidi="es-ES"/>
        </w:rPr>
        <w:t>ANEXO 2</w:t>
      </w:r>
      <w:bookmarkEnd w:id="94"/>
      <w:r w:rsidRPr="00030260">
        <w:rPr>
          <w:rFonts w:ascii="Arial" w:eastAsia="Arial" w:hAnsi="Arial" w:cs="Arial"/>
          <w:b/>
          <w:color w:val="auto"/>
          <w:sz w:val="40"/>
          <w:szCs w:val="24"/>
          <w:lang w:val="es-ES" w:eastAsia="es-ES" w:bidi="es-ES"/>
        </w:rPr>
        <w:t xml:space="preserve"> </w:t>
      </w:r>
    </w:p>
    <w:p w14:paraId="1AA73CBF" w14:textId="77777777" w:rsidR="003C2585" w:rsidRDefault="003C2585" w:rsidP="00F20A38">
      <w:pPr>
        <w:pStyle w:val="Ttulo1"/>
        <w:spacing w:line="276" w:lineRule="auto"/>
        <w:jc w:val="center"/>
        <w:rPr>
          <w:rFonts w:ascii="Arial" w:hAnsi="Arial" w:cs="Arial"/>
          <w:color w:val="auto"/>
          <w:sz w:val="24"/>
          <w:szCs w:val="24"/>
        </w:rPr>
      </w:pPr>
      <w:bookmarkStart w:id="95" w:name="_Toc158567513"/>
      <w:r w:rsidRPr="00030260">
        <w:rPr>
          <w:rFonts w:ascii="Arial" w:eastAsia="Arial" w:hAnsi="Arial" w:cs="Arial"/>
          <w:b/>
          <w:color w:val="auto"/>
          <w:sz w:val="40"/>
          <w:szCs w:val="24"/>
          <w:lang w:val="es-ES" w:eastAsia="es-ES" w:bidi="es-ES"/>
        </w:rPr>
        <w:t>PAAVI</w:t>
      </w:r>
      <w:bookmarkEnd w:id="95"/>
    </w:p>
    <w:p w14:paraId="1CD22024" w14:textId="77777777" w:rsidR="003C2585" w:rsidRDefault="003C2585" w:rsidP="00CC276C">
      <w:pPr>
        <w:spacing w:before="240" w:after="0" w:line="276" w:lineRule="auto"/>
        <w:jc w:val="center"/>
        <w:rPr>
          <w:rFonts w:ascii="Arial" w:eastAsia="Arial" w:hAnsi="Arial" w:cs="Arial"/>
          <w:sz w:val="28"/>
          <w:szCs w:val="20"/>
          <w:lang w:val="es-ES" w:eastAsia="es-ES" w:bidi="es-ES"/>
        </w:rPr>
      </w:pPr>
      <w:r w:rsidRPr="00030260">
        <w:rPr>
          <w:rFonts w:ascii="Arial" w:eastAsia="Arial" w:hAnsi="Arial" w:cs="Arial"/>
          <w:sz w:val="28"/>
          <w:szCs w:val="20"/>
          <w:lang w:val="es-ES" w:eastAsia="es-ES" w:bidi="es-ES"/>
        </w:rPr>
        <w:t>Programa Anual de Audi</w:t>
      </w:r>
      <w:r>
        <w:rPr>
          <w:rFonts w:ascii="Arial" w:eastAsia="Arial" w:hAnsi="Arial" w:cs="Arial"/>
          <w:sz w:val="28"/>
          <w:szCs w:val="20"/>
          <w:lang w:val="es-ES" w:eastAsia="es-ES" w:bidi="es-ES"/>
        </w:rPr>
        <w:t>torías, Visitas e Inspecciones</w:t>
      </w:r>
    </w:p>
    <w:p w14:paraId="4427B3C2" w14:textId="77777777" w:rsidR="003C2585" w:rsidRPr="00030260" w:rsidRDefault="003C2585" w:rsidP="00F20A38">
      <w:pPr>
        <w:spacing w:after="0" w:line="276" w:lineRule="auto"/>
        <w:jc w:val="center"/>
        <w:rPr>
          <w:rFonts w:ascii="Arial" w:eastAsia="Arial" w:hAnsi="Arial" w:cs="Arial"/>
          <w:sz w:val="28"/>
          <w:szCs w:val="20"/>
          <w:lang w:val="es-ES" w:eastAsia="es-ES" w:bidi="es-ES"/>
        </w:rPr>
      </w:pPr>
      <w:r w:rsidRPr="00030260">
        <w:rPr>
          <w:rFonts w:ascii="Arial" w:eastAsia="Arial" w:hAnsi="Arial" w:cs="Arial"/>
          <w:sz w:val="28"/>
          <w:szCs w:val="20"/>
          <w:lang w:val="es-ES" w:eastAsia="es-ES" w:bidi="es-ES"/>
        </w:rPr>
        <w:t>Cuen</w:t>
      </w:r>
      <w:r>
        <w:rPr>
          <w:rFonts w:ascii="Arial" w:eastAsia="Arial" w:hAnsi="Arial" w:cs="Arial"/>
          <w:sz w:val="28"/>
          <w:szCs w:val="20"/>
          <w:lang w:val="es-ES" w:eastAsia="es-ES" w:bidi="es-ES"/>
        </w:rPr>
        <w:t>ta Pública 2022</w:t>
      </w:r>
    </w:p>
    <w:p w14:paraId="4227F989" w14:textId="77777777" w:rsidR="003C2585" w:rsidRDefault="003C2585" w:rsidP="005D2E5D"/>
    <w:p w14:paraId="129CD15E" w14:textId="77777777" w:rsidR="003C2585" w:rsidRDefault="003C2585" w:rsidP="005D2E5D"/>
    <w:p w14:paraId="2518B966" w14:textId="77777777" w:rsidR="003C2585" w:rsidRDefault="003C2585" w:rsidP="005D2E5D"/>
    <w:p w14:paraId="408D4503" w14:textId="77777777" w:rsidR="003C2585" w:rsidRDefault="003C2585" w:rsidP="005D2E5D"/>
    <w:p w14:paraId="069D5E75" w14:textId="77777777" w:rsidR="003C2585" w:rsidRDefault="003C2585" w:rsidP="005D2E5D"/>
    <w:p w14:paraId="5E3D643A" w14:textId="77777777" w:rsidR="003C2585" w:rsidRDefault="003C2585" w:rsidP="005D2E5D"/>
    <w:p w14:paraId="743AE7F9" w14:textId="77777777" w:rsidR="003C2585" w:rsidRDefault="003C2585" w:rsidP="005D2E5D"/>
    <w:p w14:paraId="12E232AC" w14:textId="77777777" w:rsidR="00F20A38" w:rsidRDefault="00F20A38" w:rsidP="005D2E5D"/>
    <w:p w14:paraId="0ABEA3AA" w14:textId="77777777" w:rsidR="00CC276C" w:rsidRDefault="00CC276C" w:rsidP="005D2E5D"/>
    <w:p w14:paraId="4E99668E" w14:textId="77777777" w:rsidR="00CC276C" w:rsidRDefault="00CC276C" w:rsidP="005D2E5D"/>
    <w:p w14:paraId="6E003F75" w14:textId="77777777" w:rsidR="003C2585" w:rsidRDefault="003C2585" w:rsidP="005D2E5D"/>
    <w:p w14:paraId="1A8F5E99" w14:textId="77777777" w:rsidR="003C2585" w:rsidRDefault="003C2585" w:rsidP="005D2E5D"/>
    <w:p w14:paraId="092CC710" w14:textId="77777777" w:rsidR="003C2585" w:rsidRDefault="003C2585" w:rsidP="005D2E5D"/>
    <w:tbl>
      <w:tblPr>
        <w:tblStyle w:val="Tabladecuadrcula4-nfasis33"/>
        <w:tblW w:w="5058" w:type="pct"/>
        <w:tblLayout w:type="fixed"/>
        <w:tblLook w:val="04A0" w:firstRow="1" w:lastRow="0" w:firstColumn="1" w:lastColumn="0" w:noHBand="0" w:noVBand="1"/>
      </w:tblPr>
      <w:tblGrid>
        <w:gridCol w:w="563"/>
        <w:gridCol w:w="2409"/>
        <w:gridCol w:w="2549"/>
        <w:gridCol w:w="3409"/>
      </w:tblGrid>
      <w:tr w:rsidR="001D4516" w:rsidRPr="00AD13AF" w14:paraId="593141E4" w14:textId="77777777" w:rsidTr="001F49A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5" w:type="pct"/>
            <w:hideMark/>
          </w:tcPr>
          <w:p w14:paraId="15DD5C20" w14:textId="77777777" w:rsidR="001D4516" w:rsidRPr="00AD13AF" w:rsidRDefault="001D4516" w:rsidP="001F49A3">
            <w:pPr>
              <w:jc w:val="center"/>
              <w:rPr>
                <w:rFonts w:ascii="Arial" w:hAnsi="Arial" w:cs="Arial"/>
                <w:color w:val="auto"/>
                <w:sz w:val="20"/>
                <w:szCs w:val="20"/>
              </w:rPr>
            </w:pPr>
            <w:r w:rsidRPr="00AD13AF">
              <w:rPr>
                <w:rFonts w:ascii="Arial" w:hAnsi="Arial" w:cs="Arial"/>
                <w:color w:val="auto"/>
                <w:sz w:val="20"/>
                <w:szCs w:val="20"/>
              </w:rPr>
              <w:lastRenderedPageBreak/>
              <w:t>#</w:t>
            </w:r>
          </w:p>
        </w:tc>
        <w:tc>
          <w:tcPr>
            <w:tcW w:w="1349" w:type="pct"/>
            <w:hideMark/>
          </w:tcPr>
          <w:p w14:paraId="6823EAA6" w14:textId="77777777" w:rsidR="001D4516" w:rsidRPr="00AD13AF" w:rsidRDefault="001D4516" w:rsidP="001F49A3">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D13AF">
              <w:rPr>
                <w:rFonts w:cs="Calibri"/>
                <w:color w:val="auto"/>
                <w:sz w:val="20"/>
                <w:szCs w:val="20"/>
              </w:rPr>
              <w:t>Número de auditoría</w:t>
            </w:r>
          </w:p>
        </w:tc>
        <w:tc>
          <w:tcPr>
            <w:tcW w:w="1427" w:type="pct"/>
            <w:hideMark/>
          </w:tcPr>
          <w:p w14:paraId="44EDD6E5" w14:textId="77777777" w:rsidR="001D4516" w:rsidRPr="00AD13AF" w:rsidRDefault="001D4516" w:rsidP="001F49A3">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D13AF">
              <w:rPr>
                <w:rFonts w:cs="Calibri"/>
                <w:color w:val="auto"/>
                <w:sz w:val="20"/>
                <w:szCs w:val="20"/>
              </w:rPr>
              <w:t>Entidad</w:t>
            </w:r>
          </w:p>
        </w:tc>
        <w:tc>
          <w:tcPr>
            <w:tcW w:w="1909" w:type="pct"/>
            <w:hideMark/>
          </w:tcPr>
          <w:p w14:paraId="7359DAF1" w14:textId="77777777" w:rsidR="001D4516" w:rsidRPr="00AD13AF" w:rsidRDefault="001D4516" w:rsidP="001F49A3">
            <w:pPr>
              <w:jc w:val="center"/>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AD13AF">
              <w:rPr>
                <w:rFonts w:cs="Calibri"/>
                <w:color w:val="auto"/>
                <w:sz w:val="20"/>
                <w:szCs w:val="20"/>
              </w:rPr>
              <w:t>Nombre de la auditoría</w:t>
            </w:r>
          </w:p>
        </w:tc>
      </w:tr>
      <w:tr w:rsidR="001D4516" w:rsidRPr="00AD13AF" w14:paraId="5A8FE260"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1B9A8DC" w14:textId="77777777" w:rsidR="001D4516" w:rsidRPr="00AD13AF" w:rsidRDefault="001D4516" w:rsidP="001F49A3">
            <w:pPr>
              <w:rPr>
                <w:rFonts w:cs="Calibri"/>
                <w:sz w:val="20"/>
                <w:szCs w:val="20"/>
              </w:rPr>
            </w:pPr>
            <w:r w:rsidRPr="00AD13AF">
              <w:rPr>
                <w:rFonts w:cs="Calibri"/>
                <w:sz w:val="20"/>
                <w:szCs w:val="20"/>
              </w:rPr>
              <w:t>PODERES</w:t>
            </w:r>
          </w:p>
        </w:tc>
      </w:tr>
      <w:tr w:rsidR="001D4516" w:rsidRPr="00AD13AF" w14:paraId="75AA0F67"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CEC70A3" w14:textId="77777777" w:rsidR="001D4516" w:rsidRPr="00AD13AF" w:rsidRDefault="001D4516" w:rsidP="001F49A3">
            <w:pPr>
              <w:rPr>
                <w:rFonts w:cs="Calibri"/>
                <w:sz w:val="20"/>
                <w:szCs w:val="20"/>
              </w:rPr>
            </w:pPr>
            <w:r w:rsidRPr="00AD13AF">
              <w:rPr>
                <w:rFonts w:cs="Calibri"/>
                <w:sz w:val="20"/>
                <w:szCs w:val="20"/>
              </w:rPr>
              <w:t>H. PODER JUDICIAL</w:t>
            </w:r>
          </w:p>
        </w:tc>
      </w:tr>
      <w:tr w:rsidR="001D4516" w:rsidRPr="00AD13AF" w14:paraId="03C735C4"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81DDBB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w:t>
            </w:r>
          </w:p>
        </w:tc>
        <w:tc>
          <w:tcPr>
            <w:tcW w:w="1349" w:type="pct"/>
            <w:hideMark/>
          </w:tcPr>
          <w:p w14:paraId="4C834B68"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22-AEMF-B-GOB-001-001</w:t>
            </w:r>
          </w:p>
        </w:tc>
        <w:tc>
          <w:tcPr>
            <w:tcW w:w="1427" w:type="pct"/>
            <w:hideMark/>
          </w:tcPr>
          <w:p w14:paraId="63F0B0A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H. Poder Judicial</w:t>
            </w:r>
          </w:p>
        </w:tc>
        <w:tc>
          <w:tcPr>
            <w:tcW w:w="1909" w:type="pct"/>
            <w:hideMark/>
          </w:tcPr>
          <w:p w14:paraId="23B577F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03B8CE6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C66522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w:t>
            </w:r>
          </w:p>
        </w:tc>
        <w:tc>
          <w:tcPr>
            <w:tcW w:w="1349" w:type="pct"/>
            <w:hideMark/>
          </w:tcPr>
          <w:p w14:paraId="4C6B8E7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22-AEMF-B-GOB-001-002</w:t>
            </w:r>
          </w:p>
        </w:tc>
        <w:tc>
          <w:tcPr>
            <w:tcW w:w="1427" w:type="pct"/>
            <w:hideMark/>
          </w:tcPr>
          <w:p w14:paraId="554570A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H. Poder Judicial</w:t>
            </w:r>
          </w:p>
        </w:tc>
        <w:tc>
          <w:tcPr>
            <w:tcW w:w="1909" w:type="pct"/>
            <w:hideMark/>
          </w:tcPr>
          <w:p w14:paraId="640089F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49928721"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3D1FAF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3</w:t>
            </w:r>
          </w:p>
        </w:tc>
        <w:tc>
          <w:tcPr>
            <w:tcW w:w="1349" w:type="pct"/>
            <w:hideMark/>
          </w:tcPr>
          <w:p w14:paraId="0995912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22-AEMOP-A-GOB-001-003</w:t>
            </w:r>
          </w:p>
        </w:tc>
        <w:tc>
          <w:tcPr>
            <w:tcW w:w="1427" w:type="pct"/>
            <w:hideMark/>
          </w:tcPr>
          <w:p w14:paraId="49EE3A38"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H. Poder Judicial</w:t>
            </w:r>
          </w:p>
        </w:tc>
        <w:tc>
          <w:tcPr>
            <w:tcW w:w="1909" w:type="pct"/>
            <w:hideMark/>
          </w:tcPr>
          <w:p w14:paraId="533C40E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Auditoría de Cumplimiento de Inversiones Físicas realizadas con Recurso Propio (Fondo para el Mejoramiento de la Administración de Justicia) </w:t>
            </w:r>
          </w:p>
        </w:tc>
      </w:tr>
      <w:tr w:rsidR="001D4516" w:rsidRPr="00AD13AF" w14:paraId="3EEC9B27"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1556D315" w14:textId="77777777" w:rsidR="001D4516" w:rsidRPr="00AD13AF" w:rsidRDefault="001D4516" w:rsidP="001F49A3">
            <w:pPr>
              <w:rPr>
                <w:rFonts w:cs="Calibri"/>
                <w:sz w:val="20"/>
                <w:szCs w:val="20"/>
              </w:rPr>
            </w:pPr>
            <w:r w:rsidRPr="00AD13AF">
              <w:rPr>
                <w:rFonts w:cs="Calibri"/>
                <w:sz w:val="20"/>
                <w:szCs w:val="20"/>
              </w:rPr>
              <w:t>H. PODER LEGISLATIVO</w:t>
            </w:r>
          </w:p>
        </w:tc>
      </w:tr>
      <w:tr w:rsidR="001D4516" w:rsidRPr="00AD13AF" w14:paraId="51F39B19"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6090EC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w:t>
            </w:r>
          </w:p>
        </w:tc>
        <w:tc>
          <w:tcPr>
            <w:tcW w:w="1349" w:type="pct"/>
            <w:hideMark/>
          </w:tcPr>
          <w:p w14:paraId="7489639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22-AEMF-B-GOB-002-004</w:t>
            </w:r>
          </w:p>
        </w:tc>
        <w:tc>
          <w:tcPr>
            <w:tcW w:w="1427" w:type="pct"/>
            <w:hideMark/>
          </w:tcPr>
          <w:p w14:paraId="55BEED5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H. Poder Legislativo</w:t>
            </w:r>
          </w:p>
        </w:tc>
        <w:tc>
          <w:tcPr>
            <w:tcW w:w="1909" w:type="pct"/>
            <w:hideMark/>
          </w:tcPr>
          <w:p w14:paraId="18A3760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48C2BA48"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991DC8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5</w:t>
            </w:r>
          </w:p>
        </w:tc>
        <w:tc>
          <w:tcPr>
            <w:tcW w:w="1349" w:type="pct"/>
            <w:hideMark/>
          </w:tcPr>
          <w:p w14:paraId="3BC62E10"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22-AEMF-B-GOB-002-005</w:t>
            </w:r>
          </w:p>
        </w:tc>
        <w:tc>
          <w:tcPr>
            <w:tcW w:w="1427" w:type="pct"/>
            <w:hideMark/>
          </w:tcPr>
          <w:p w14:paraId="3CE201C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H. Poder Legislativo</w:t>
            </w:r>
          </w:p>
        </w:tc>
        <w:tc>
          <w:tcPr>
            <w:tcW w:w="1909" w:type="pct"/>
            <w:hideMark/>
          </w:tcPr>
          <w:p w14:paraId="456B846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20CC56D1"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717140B5" w14:textId="77777777" w:rsidR="001D4516" w:rsidRPr="00AD13AF" w:rsidRDefault="001D4516" w:rsidP="001F49A3">
            <w:pPr>
              <w:rPr>
                <w:rFonts w:cs="Calibri"/>
                <w:sz w:val="20"/>
                <w:szCs w:val="20"/>
              </w:rPr>
            </w:pPr>
            <w:r w:rsidRPr="00AD13AF">
              <w:rPr>
                <w:rFonts w:cs="Calibri"/>
                <w:sz w:val="20"/>
                <w:szCs w:val="20"/>
              </w:rPr>
              <w:t>H. PODER EJECUTIVO</w:t>
            </w:r>
          </w:p>
        </w:tc>
      </w:tr>
      <w:tr w:rsidR="001D4516" w:rsidRPr="00AD13AF" w14:paraId="4473AB9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A2B5B8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w:t>
            </w:r>
          </w:p>
        </w:tc>
        <w:tc>
          <w:tcPr>
            <w:tcW w:w="1349" w:type="pct"/>
            <w:hideMark/>
          </w:tcPr>
          <w:p w14:paraId="4C632E7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22-AEMF-B-GOB-003-006</w:t>
            </w:r>
          </w:p>
        </w:tc>
        <w:tc>
          <w:tcPr>
            <w:tcW w:w="1427" w:type="pct"/>
            <w:hideMark/>
          </w:tcPr>
          <w:p w14:paraId="13F9B48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Finanzas y Planeación</w:t>
            </w:r>
          </w:p>
        </w:tc>
        <w:tc>
          <w:tcPr>
            <w:tcW w:w="1909" w:type="pct"/>
            <w:hideMark/>
          </w:tcPr>
          <w:p w14:paraId="6D8FE5E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68086E6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48B275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7</w:t>
            </w:r>
          </w:p>
        </w:tc>
        <w:tc>
          <w:tcPr>
            <w:tcW w:w="1349" w:type="pct"/>
            <w:hideMark/>
          </w:tcPr>
          <w:p w14:paraId="096FDEE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22-AEMF-B-GOB-003-007</w:t>
            </w:r>
          </w:p>
        </w:tc>
        <w:tc>
          <w:tcPr>
            <w:tcW w:w="1427" w:type="pct"/>
            <w:hideMark/>
          </w:tcPr>
          <w:p w14:paraId="23C768F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Finanzas y Planeación</w:t>
            </w:r>
          </w:p>
        </w:tc>
        <w:tc>
          <w:tcPr>
            <w:tcW w:w="1909" w:type="pct"/>
            <w:hideMark/>
          </w:tcPr>
          <w:p w14:paraId="34136B4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0FEEAB1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680EBF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w:t>
            </w:r>
          </w:p>
        </w:tc>
        <w:tc>
          <w:tcPr>
            <w:tcW w:w="1349" w:type="pct"/>
            <w:hideMark/>
          </w:tcPr>
          <w:p w14:paraId="3AE94E8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22-AEMF-B-GOB-003-008</w:t>
            </w:r>
          </w:p>
        </w:tc>
        <w:tc>
          <w:tcPr>
            <w:tcW w:w="1427" w:type="pct"/>
            <w:hideMark/>
          </w:tcPr>
          <w:p w14:paraId="23775FA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Finanzas y Planeación</w:t>
            </w:r>
          </w:p>
        </w:tc>
        <w:tc>
          <w:tcPr>
            <w:tcW w:w="1909" w:type="pct"/>
            <w:hideMark/>
          </w:tcPr>
          <w:p w14:paraId="359E2B4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Financiamientos, Otras Obligaciones y Empréstitos</w:t>
            </w:r>
          </w:p>
        </w:tc>
      </w:tr>
      <w:tr w:rsidR="001D4516" w:rsidRPr="00AD13AF" w14:paraId="4CDEF9B7"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2276874" w14:textId="77777777" w:rsidR="001D4516" w:rsidRPr="00AD13AF" w:rsidRDefault="001D4516" w:rsidP="001F49A3">
            <w:pPr>
              <w:rPr>
                <w:rFonts w:cs="Calibri"/>
                <w:sz w:val="20"/>
                <w:szCs w:val="20"/>
              </w:rPr>
            </w:pPr>
            <w:r w:rsidRPr="00AD13AF">
              <w:rPr>
                <w:rFonts w:cs="Calibri"/>
                <w:sz w:val="20"/>
                <w:szCs w:val="20"/>
              </w:rPr>
              <w:t>ADMINISTRACIÓN PÚBLICA CENTRALIZADA</w:t>
            </w:r>
          </w:p>
        </w:tc>
      </w:tr>
      <w:tr w:rsidR="001D4516" w:rsidRPr="00AD13AF" w14:paraId="7F9F2A31"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11EB79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w:t>
            </w:r>
          </w:p>
        </w:tc>
        <w:tc>
          <w:tcPr>
            <w:tcW w:w="1349" w:type="pct"/>
            <w:hideMark/>
          </w:tcPr>
          <w:p w14:paraId="327550E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22-AEMF-B-GOB-004-009</w:t>
            </w:r>
          </w:p>
        </w:tc>
        <w:tc>
          <w:tcPr>
            <w:tcW w:w="1427" w:type="pct"/>
            <w:hideMark/>
          </w:tcPr>
          <w:p w14:paraId="59AE7BB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Consejería Jurídica del Poder Ejecutivo del Estado</w:t>
            </w:r>
          </w:p>
        </w:tc>
        <w:tc>
          <w:tcPr>
            <w:tcW w:w="1909" w:type="pct"/>
            <w:hideMark/>
          </w:tcPr>
          <w:p w14:paraId="15CD4A1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64764BAF"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822869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w:t>
            </w:r>
          </w:p>
        </w:tc>
        <w:tc>
          <w:tcPr>
            <w:tcW w:w="1349" w:type="pct"/>
            <w:hideMark/>
          </w:tcPr>
          <w:p w14:paraId="7F926B8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22-AEMD-C-GOB-004-010</w:t>
            </w:r>
          </w:p>
        </w:tc>
        <w:tc>
          <w:tcPr>
            <w:tcW w:w="1427" w:type="pct"/>
            <w:hideMark/>
          </w:tcPr>
          <w:p w14:paraId="2F3412F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Consejería Jurídica del Poder Ejecutivo del Estado</w:t>
            </w:r>
          </w:p>
        </w:tc>
        <w:tc>
          <w:tcPr>
            <w:tcW w:w="1909" w:type="pct"/>
            <w:hideMark/>
          </w:tcPr>
          <w:p w14:paraId="7BC8E14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funciones sustantivas.</w:t>
            </w:r>
          </w:p>
        </w:tc>
      </w:tr>
      <w:tr w:rsidR="001D4516" w:rsidRPr="00AD13AF" w14:paraId="164D4EF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942671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11</w:t>
            </w:r>
          </w:p>
        </w:tc>
        <w:tc>
          <w:tcPr>
            <w:tcW w:w="1349" w:type="pct"/>
            <w:hideMark/>
          </w:tcPr>
          <w:p w14:paraId="7379DA7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22-AEMF-B-GOB-006-011</w:t>
            </w:r>
          </w:p>
        </w:tc>
        <w:tc>
          <w:tcPr>
            <w:tcW w:w="1427" w:type="pct"/>
            <w:hideMark/>
          </w:tcPr>
          <w:p w14:paraId="24BFADE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Desarrollo Agropecuario, Rural y Pesca</w:t>
            </w:r>
          </w:p>
        </w:tc>
        <w:tc>
          <w:tcPr>
            <w:tcW w:w="1909" w:type="pct"/>
            <w:hideMark/>
          </w:tcPr>
          <w:p w14:paraId="68801FB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4C8AB5CD"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EDAA53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w:t>
            </w:r>
          </w:p>
        </w:tc>
        <w:tc>
          <w:tcPr>
            <w:tcW w:w="1349" w:type="pct"/>
            <w:hideMark/>
          </w:tcPr>
          <w:p w14:paraId="1500AF6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22-AEMD-A-GOB-006-012</w:t>
            </w:r>
          </w:p>
        </w:tc>
        <w:tc>
          <w:tcPr>
            <w:tcW w:w="1427" w:type="pct"/>
            <w:hideMark/>
          </w:tcPr>
          <w:p w14:paraId="5656EC3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Desarrollo Agropecuario, Rural y Pesca</w:t>
            </w:r>
          </w:p>
        </w:tc>
        <w:tc>
          <w:tcPr>
            <w:tcW w:w="1909" w:type="pct"/>
            <w:hideMark/>
          </w:tcPr>
          <w:p w14:paraId="5FB20C3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"Programa de Apoyo a la Producción de Autoconsumo Cosechando Juntos 2022".</w:t>
            </w:r>
          </w:p>
        </w:tc>
      </w:tr>
      <w:tr w:rsidR="001D4516" w:rsidRPr="00AD13AF" w14:paraId="7AF447C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06D58E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13</w:t>
            </w:r>
          </w:p>
        </w:tc>
        <w:tc>
          <w:tcPr>
            <w:tcW w:w="1349" w:type="pct"/>
            <w:hideMark/>
          </w:tcPr>
          <w:p w14:paraId="7DF98C0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22-AEMD-A-GOB-006-013</w:t>
            </w:r>
          </w:p>
        </w:tc>
        <w:tc>
          <w:tcPr>
            <w:tcW w:w="1427" w:type="pct"/>
            <w:hideMark/>
          </w:tcPr>
          <w:p w14:paraId="697E0C7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Desarrollo Agropecuario, Rural y Pesca</w:t>
            </w:r>
          </w:p>
        </w:tc>
        <w:tc>
          <w:tcPr>
            <w:tcW w:w="1909" w:type="pct"/>
            <w:hideMark/>
          </w:tcPr>
          <w:p w14:paraId="23B1E6E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objetivos y metas de programas presupuestarios.</w:t>
            </w:r>
          </w:p>
        </w:tc>
      </w:tr>
      <w:tr w:rsidR="001D4516" w:rsidRPr="00AD13AF" w14:paraId="3C945262"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872233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w:t>
            </w:r>
          </w:p>
        </w:tc>
        <w:tc>
          <w:tcPr>
            <w:tcW w:w="1349" w:type="pct"/>
            <w:hideMark/>
          </w:tcPr>
          <w:p w14:paraId="1DBDB5F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22-AEMF-B-GOB-007-014</w:t>
            </w:r>
          </w:p>
        </w:tc>
        <w:tc>
          <w:tcPr>
            <w:tcW w:w="1427" w:type="pct"/>
            <w:hideMark/>
          </w:tcPr>
          <w:p w14:paraId="11F9CAE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Desarrollo Económico</w:t>
            </w:r>
          </w:p>
        </w:tc>
        <w:tc>
          <w:tcPr>
            <w:tcW w:w="1909" w:type="pct"/>
            <w:hideMark/>
          </w:tcPr>
          <w:p w14:paraId="36E9A60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0573019F"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12957A4"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15</w:t>
            </w:r>
          </w:p>
        </w:tc>
        <w:tc>
          <w:tcPr>
            <w:tcW w:w="1349" w:type="pct"/>
            <w:hideMark/>
          </w:tcPr>
          <w:p w14:paraId="4A13E07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22-AEMD-C-GOB-007-015</w:t>
            </w:r>
          </w:p>
        </w:tc>
        <w:tc>
          <w:tcPr>
            <w:tcW w:w="1427" w:type="pct"/>
            <w:hideMark/>
          </w:tcPr>
          <w:p w14:paraId="7797A77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Desarrollo Económico</w:t>
            </w:r>
          </w:p>
        </w:tc>
        <w:tc>
          <w:tcPr>
            <w:tcW w:w="1909" w:type="pct"/>
            <w:hideMark/>
          </w:tcPr>
          <w:p w14:paraId="1000B02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funciones sustantivas</w:t>
            </w:r>
          </w:p>
        </w:tc>
      </w:tr>
      <w:tr w:rsidR="001D4516" w:rsidRPr="00AD13AF" w14:paraId="1486E57A"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811D36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w:t>
            </w:r>
          </w:p>
        </w:tc>
        <w:tc>
          <w:tcPr>
            <w:tcW w:w="1349" w:type="pct"/>
            <w:hideMark/>
          </w:tcPr>
          <w:p w14:paraId="4EE706E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22-AEMD-C-GOB-007-016</w:t>
            </w:r>
          </w:p>
        </w:tc>
        <w:tc>
          <w:tcPr>
            <w:tcW w:w="1427" w:type="pct"/>
            <w:hideMark/>
          </w:tcPr>
          <w:p w14:paraId="1001B85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Desarrollo Económico</w:t>
            </w:r>
          </w:p>
        </w:tc>
        <w:tc>
          <w:tcPr>
            <w:tcW w:w="1909" w:type="pct"/>
            <w:hideMark/>
          </w:tcPr>
          <w:p w14:paraId="2D0ADB2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las funciones sustantivas del Órgano Administrativo Desconcentrado denominado: Comisión Estatal de Mejora Regulatoria.</w:t>
            </w:r>
          </w:p>
        </w:tc>
      </w:tr>
      <w:tr w:rsidR="001D4516" w:rsidRPr="00AD13AF" w14:paraId="6B8F477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61E3F8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17</w:t>
            </w:r>
          </w:p>
        </w:tc>
        <w:tc>
          <w:tcPr>
            <w:tcW w:w="1349" w:type="pct"/>
            <w:hideMark/>
          </w:tcPr>
          <w:p w14:paraId="2177FF7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22-AEMF-B-GOB-008-017</w:t>
            </w:r>
          </w:p>
        </w:tc>
        <w:tc>
          <w:tcPr>
            <w:tcW w:w="1427" w:type="pct"/>
            <w:hideMark/>
          </w:tcPr>
          <w:p w14:paraId="138FBDB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Desarrollo Social</w:t>
            </w:r>
          </w:p>
        </w:tc>
        <w:tc>
          <w:tcPr>
            <w:tcW w:w="1909" w:type="pct"/>
            <w:hideMark/>
          </w:tcPr>
          <w:p w14:paraId="0C6DCE4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4A236D07"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2B6947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18</w:t>
            </w:r>
          </w:p>
        </w:tc>
        <w:tc>
          <w:tcPr>
            <w:tcW w:w="1349" w:type="pct"/>
            <w:hideMark/>
          </w:tcPr>
          <w:p w14:paraId="616ACEC8"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22-AEMOP-A-GOB-008-018</w:t>
            </w:r>
          </w:p>
        </w:tc>
        <w:tc>
          <w:tcPr>
            <w:tcW w:w="1427" w:type="pct"/>
            <w:hideMark/>
          </w:tcPr>
          <w:p w14:paraId="598BACF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Desarrollo Social</w:t>
            </w:r>
          </w:p>
        </w:tc>
        <w:tc>
          <w:tcPr>
            <w:tcW w:w="1909" w:type="pct"/>
            <w:hideMark/>
          </w:tcPr>
          <w:p w14:paraId="5E785A0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del Fondo de Infraestructura Social para las Entidades (FISE)</w:t>
            </w:r>
          </w:p>
        </w:tc>
      </w:tr>
      <w:tr w:rsidR="001D4516" w:rsidRPr="00AD13AF" w14:paraId="7990B835"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C1A8A3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lastRenderedPageBreak/>
              <w:t>19</w:t>
            </w:r>
          </w:p>
        </w:tc>
        <w:tc>
          <w:tcPr>
            <w:tcW w:w="1349" w:type="pct"/>
            <w:hideMark/>
          </w:tcPr>
          <w:p w14:paraId="3136718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22-AEMF-B-GOB-009-019</w:t>
            </w:r>
          </w:p>
        </w:tc>
        <w:tc>
          <w:tcPr>
            <w:tcW w:w="1427" w:type="pct"/>
            <w:hideMark/>
          </w:tcPr>
          <w:p w14:paraId="10ADE4F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Desarrollo Territorial Urbano Sustentable</w:t>
            </w:r>
          </w:p>
        </w:tc>
        <w:tc>
          <w:tcPr>
            <w:tcW w:w="1909" w:type="pct"/>
            <w:hideMark/>
          </w:tcPr>
          <w:p w14:paraId="7A35B5E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3A31D8AA"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FF7C02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20</w:t>
            </w:r>
          </w:p>
        </w:tc>
        <w:tc>
          <w:tcPr>
            <w:tcW w:w="1349" w:type="pct"/>
            <w:hideMark/>
          </w:tcPr>
          <w:p w14:paraId="1E93EF4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22-AEMD-C-GOB-009-020</w:t>
            </w:r>
          </w:p>
        </w:tc>
        <w:tc>
          <w:tcPr>
            <w:tcW w:w="1427" w:type="pct"/>
            <w:hideMark/>
          </w:tcPr>
          <w:p w14:paraId="2C4FB02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Desarrollo Territorial Urbano Sustentable</w:t>
            </w:r>
          </w:p>
        </w:tc>
        <w:tc>
          <w:tcPr>
            <w:tcW w:w="1909" w:type="pct"/>
            <w:hideMark/>
          </w:tcPr>
          <w:p w14:paraId="082623A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sus funciones sustantivas.</w:t>
            </w:r>
          </w:p>
        </w:tc>
      </w:tr>
      <w:tr w:rsidR="001D4516" w:rsidRPr="00AD13AF" w14:paraId="106605A8"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551D14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w:t>
            </w:r>
          </w:p>
        </w:tc>
        <w:tc>
          <w:tcPr>
            <w:tcW w:w="1349" w:type="pct"/>
            <w:hideMark/>
          </w:tcPr>
          <w:p w14:paraId="4ED6F46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22-AEMF-B-GOB-010-021</w:t>
            </w:r>
          </w:p>
        </w:tc>
        <w:tc>
          <w:tcPr>
            <w:tcW w:w="1427" w:type="pct"/>
            <w:hideMark/>
          </w:tcPr>
          <w:p w14:paraId="276BCCB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Ecología y Medio Ambiente</w:t>
            </w:r>
          </w:p>
        </w:tc>
        <w:tc>
          <w:tcPr>
            <w:tcW w:w="1909" w:type="pct"/>
            <w:hideMark/>
          </w:tcPr>
          <w:p w14:paraId="6D988CF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272638E3"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4F3AA9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w:t>
            </w:r>
          </w:p>
        </w:tc>
        <w:tc>
          <w:tcPr>
            <w:tcW w:w="1349" w:type="pct"/>
            <w:hideMark/>
          </w:tcPr>
          <w:p w14:paraId="02E525C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22-AEMD-A-GOB-010-022</w:t>
            </w:r>
          </w:p>
        </w:tc>
        <w:tc>
          <w:tcPr>
            <w:tcW w:w="1427" w:type="pct"/>
            <w:hideMark/>
          </w:tcPr>
          <w:p w14:paraId="2BE7D80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Ecología y Medio Ambiente</w:t>
            </w:r>
          </w:p>
        </w:tc>
        <w:tc>
          <w:tcPr>
            <w:tcW w:w="1909" w:type="pct"/>
            <w:hideMark/>
          </w:tcPr>
          <w:p w14:paraId="7856707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funciones sustantivas.</w:t>
            </w:r>
          </w:p>
        </w:tc>
      </w:tr>
      <w:tr w:rsidR="001D4516" w:rsidRPr="00AD13AF" w14:paraId="6DA58799"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0612F6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w:t>
            </w:r>
          </w:p>
        </w:tc>
        <w:tc>
          <w:tcPr>
            <w:tcW w:w="1349" w:type="pct"/>
            <w:hideMark/>
          </w:tcPr>
          <w:p w14:paraId="2B64ABE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22-AEMF-B-GOB-011-023</w:t>
            </w:r>
          </w:p>
        </w:tc>
        <w:tc>
          <w:tcPr>
            <w:tcW w:w="1427" w:type="pct"/>
            <w:hideMark/>
          </w:tcPr>
          <w:p w14:paraId="5023B82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Educación</w:t>
            </w:r>
          </w:p>
        </w:tc>
        <w:tc>
          <w:tcPr>
            <w:tcW w:w="1909" w:type="pct"/>
            <w:hideMark/>
          </w:tcPr>
          <w:p w14:paraId="055D76D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7A4BE361"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24FE2D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24</w:t>
            </w:r>
          </w:p>
        </w:tc>
        <w:tc>
          <w:tcPr>
            <w:tcW w:w="1349" w:type="pct"/>
            <w:hideMark/>
          </w:tcPr>
          <w:p w14:paraId="4DBDCEB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22-AEMF-B-GOB-012-024</w:t>
            </w:r>
          </w:p>
        </w:tc>
        <w:tc>
          <w:tcPr>
            <w:tcW w:w="1427" w:type="pct"/>
            <w:hideMark/>
          </w:tcPr>
          <w:p w14:paraId="05B0D57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Gobierno</w:t>
            </w:r>
          </w:p>
        </w:tc>
        <w:tc>
          <w:tcPr>
            <w:tcW w:w="1909" w:type="pct"/>
            <w:hideMark/>
          </w:tcPr>
          <w:p w14:paraId="6BFA3EE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1D4341D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C5EFAB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25</w:t>
            </w:r>
          </w:p>
        </w:tc>
        <w:tc>
          <w:tcPr>
            <w:tcW w:w="1349" w:type="pct"/>
            <w:hideMark/>
          </w:tcPr>
          <w:p w14:paraId="72C64AA0"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22-AEMD-A-GOB-012-025</w:t>
            </w:r>
          </w:p>
        </w:tc>
        <w:tc>
          <w:tcPr>
            <w:tcW w:w="1427" w:type="pct"/>
            <w:hideMark/>
          </w:tcPr>
          <w:p w14:paraId="3C29C2C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Gobierno</w:t>
            </w:r>
          </w:p>
        </w:tc>
        <w:tc>
          <w:tcPr>
            <w:tcW w:w="1909" w:type="pct"/>
            <w:hideMark/>
          </w:tcPr>
          <w:p w14:paraId="29222070"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objetivos y metas de programas presupuestarios del Órgano Administrativo Desconcentrado denominado: Registro Público de la Propiedad y del Comercio del Estado de Quintana Roo.</w:t>
            </w:r>
          </w:p>
        </w:tc>
      </w:tr>
      <w:tr w:rsidR="001D4516" w:rsidRPr="00AD13AF" w14:paraId="4CA555D4"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84227E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26</w:t>
            </w:r>
          </w:p>
        </w:tc>
        <w:tc>
          <w:tcPr>
            <w:tcW w:w="1349" w:type="pct"/>
            <w:hideMark/>
          </w:tcPr>
          <w:p w14:paraId="5D00BAD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22-AEMD-C-GOB-012-026</w:t>
            </w:r>
          </w:p>
        </w:tc>
        <w:tc>
          <w:tcPr>
            <w:tcW w:w="1427" w:type="pct"/>
            <w:hideMark/>
          </w:tcPr>
          <w:p w14:paraId="000D2E6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Gobierno</w:t>
            </w:r>
          </w:p>
        </w:tc>
        <w:tc>
          <w:tcPr>
            <w:tcW w:w="1909" w:type="pct"/>
            <w:hideMark/>
          </w:tcPr>
          <w:p w14:paraId="14BA5D98"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las funciones y acciones relacionadas al Acceso de las Mujeres a una Vida Libre de Violencia.</w:t>
            </w:r>
          </w:p>
        </w:tc>
      </w:tr>
      <w:tr w:rsidR="001D4516" w:rsidRPr="00AD13AF" w14:paraId="2CE7D71A"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DDA83B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27</w:t>
            </w:r>
          </w:p>
        </w:tc>
        <w:tc>
          <w:tcPr>
            <w:tcW w:w="1349" w:type="pct"/>
            <w:hideMark/>
          </w:tcPr>
          <w:p w14:paraId="42FB179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22-AEMD-C-GOB-012-027</w:t>
            </w:r>
          </w:p>
        </w:tc>
        <w:tc>
          <w:tcPr>
            <w:tcW w:w="1427" w:type="pct"/>
            <w:hideMark/>
          </w:tcPr>
          <w:p w14:paraId="35C499C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Gobierno</w:t>
            </w:r>
          </w:p>
        </w:tc>
        <w:tc>
          <w:tcPr>
            <w:tcW w:w="1909" w:type="pct"/>
            <w:hideMark/>
          </w:tcPr>
          <w:p w14:paraId="524B46C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objetivos y metas de programas presupuestarios.</w:t>
            </w:r>
          </w:p>
        </w:tc>
      </w:tr>
      <w:tr w:rsidR="001D4516" w:rsidRPr="00AD13AF" w14:paraId="4B0B4086"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533D5D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28</w:t>
            </w:r>
          </w:p>
        </w:tc>
        <w:tc>
          <w:tcPr>
            <w:tcW w:w="1349" w:type="pct"/>
            <w:hideMark/>
          </w:tcPr>
          <w:p w14:paraId="40A05BD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22-AEMF-B-GOB-013-028</w:t>
            </w:r>
          </w:p>
        </w:tc>
        <w:tc>
          <w:tcPr>
            <w:tcW w:w="1427" w:type="pct"/>
            <w:hideMark/>
          </w:tcPr>
          <w:p w14:paraId="62EF6DA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la Contraloría</w:t>
            </w:r>
          </w:p>
        </w:tc>
        <w:tc>
          <w:tcPr>
            <w:tcW w:w="1909" w:type="pct"/>
            <w:hideMark/>
          </w:tcPr>
          <w:p w14:paraId="164E0B1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27462246"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9B73B1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29</w:t>
            </w:r>
          </w:p>
        </w:tc>
        <w:tc>
          <w:tcPr>
            <w:tcW w:w="1349" w:type="pct"/>
            <w:hideMark/>
          </w:tcPr>
          <w:p w14:paraId="5563604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22-AEMF-B-GOB-014-029</w:t>
            </w:r>
          </w:p>
        </w:tc>
        <w:tc>
          <w:tcPr>
            <w:tcW w:w="1427" w:type="pct"/>
            <w:hideMark/>
          </w:tcPr>
          <w:p w14:paraId="6070C1E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Obras Públicas</w:t>
            </w:r>
          </w:p>
        </w:tc>
        <w:tc>
          <w:tcPr>
            <w:tcW w:w="1909" w:type="pct"/>
            <w:hideMark/>
          </w:tcPr>
          <w:p w14:paraId="60CCAE4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38E43390"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89D9A6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30</w:t>
            </w:r>
          </w:p>
        </w:tc>
        <w:tc>
          <w:tcPr>
            <w:tcW w:w="1349" w:type="pct"/>
            <w:hideMark/>
          </w:tcPr>
          <w:p w14:paraId="6139BD2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22-AEMOP-B-GOB-014-030</w:t>
            </w:r>
          </w:p>
        </w:tc>
        <w:tc>
          <w:tcPr>
            <w:tcW w:w="1427" w:type="pct"/>
            <w:hideMark/>
          </w:tcPr>
          <w:p w14:paraId="7F1B846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Obras Públicas</w:t>
            </w:r>
          </w:p>
        </w:tc>
        <w:tc>
          <w:tcPr>
            <w:tcW w:w="1909" w:type="pct"/>
            <w:hideMark/>
          </w:tcPr>
          <w:p w14:paraId="5DB30C1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de Inversión Pública 2022.</w:t>
            </w:r>
          </w:p>
        </w:tc>
      </w:tr>
      <w:tr w:rsidR="001D4516" w:rsidRPr="00AD13AF" w14:paraId="429D8146"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59AE74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31</w:t>
            </w:r>
          </w:p>
        </w:tc>
        <w:tc>
          <w:tcPr>
            <w:tcW w:w="1349" w:type="pct"/>
            <w:hideMark/>
          </w:tcPr>
          <w:p w14:paraId="42A7E2C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22-AEMOP-B-GOB-014-031</w:t>
            </w:r>
          </w:p>
        </w:tc>
        <w:tc>
          <w:tcPr>
            <w:tcW w:w="1427" w:type="pct"/>
            <w:hideMark/>
          </w:tcPr>
          <w:p w14:paraId="3DB34DB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Obras Públicas</w:t>
            </w:r>
          </w:p>
        </w:tc>
        <w:tc>
          <w:tcPr>
            <w:tcW w:w="1909" w:type="pct"/>
            <w:hideMark/>
          </w:tcPr>
          <w:p w14:paraId="22B987D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de Libre Disposición de Origen Estatal.</w:t>
            </w:r>
          </w:p>
        </w:tc>
      </w:tr>
      <w:tr w:rsidR="001D4516" w:rsidRPr="00AD13AF" w14:paraId="376D6CC5"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F75346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32</w:t>
            </w:r>
          </w:p>
        </w:tc>
        <w:tc>
          <w:tcPr>
            <w:tcW w:w="1349" w:type="pct"/>
            <w:hideMark/>
          </w:tcPr>
          <w:p w14:paraId="3E68CC7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22-AEMOP-B-GOB-014-032</w:t>
            </w:r>
          </w:p>
        </w:tc>
        <w:tc>
          <w:tcPr>
            <w:tcW w:w="1427" w:type="pct"/>
            <w:hideMark/>
          </w:tcPr>
          <w:p w14:paraId="55795BD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Obras Públicas</w:t>
            </w:r>
          </w:p>
        </w:tc>
        <w:tc>
          <w:tcPr>
            <w:tcW w:w="1909" w:type="pct"/>
            <w:hideMark/>
          </w:tcPr>
          <w:p w14:paraId="2BC4C95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Relativos al Decreto Núm. 102 publicado en el Periódico Oficial del Estado de Quintana Roo, Núm. 40 extraordinario, del 13 de marzo de 2021.</w:t>
            </w:r>
          </w:p>
        </w:tc>
      </w:tr>
      <w:tr w:rsidR="001D4516" w:rsidRPr="00AD13AF" w14:paraId="7716D535"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BF28AB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33</w:t>
            </w:r>
          </w:p>
        </w:tc>
        <w:tc>
          <w:tcPr>
            <w:tcW w:w="1349" w:type="pct"/>
            <w:hideMark/>
          </w:tcPr>
          <w:p w14:paraId="22BFB34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22-AEMF-B-GOB-015-033</w:t>
            </w:r>
          </w:p>
        </w:tc>
        <w:tc>
          <w:tcPr>
            <w:tcW w:w="1427" w:type="pct"/>
            <w:hideMark/>
          </w:tcPr>
          <w:p w14:paraId="2F4E1BF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Salud</w:t>
            </w:r>
          </w:p>
        </w:tc>
        <w:tc>
          <w:tcPr>
            <w:tcW w:w="1909" w:type="pct"/>
            <w:hideMark/>
          </w:tcPr>
          <w:p w14:paraId="6294874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31EA855D"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1FE3C5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34</w:t>
            </w:r>
          </w:p>
        </w:tc>
        <w:tc>
          <w:tcPr>
            <w:tcW w:w="1349" w:type="pct"/>
            <w:hideMark/>
          </w:tcPr>
          <w:p w14:paraId="515E2A5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22-AEMF-B-GOB-016-034</w:t>
            </w:r>
          </w:p>
        </w:tc>
        <w:tc>
          <w:tcPr>
            <w:tcW w:w="1427" w:type="pct"/>
            <w:hideMark/>
          </w:tcPr>
          <w:p w14:paraId="248AA5F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Seguridad Pública</w:t>
            </w:r>
          </w:p>
        </w:tc>
        <w:tc>
          <w:tcPr>
            <w:tcW w:w="1909" w:type="pct"/>
            <w:hideMark/>
          </w:tcPr>
          <w:p w14:paraId="760ED41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05C34F6F"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D0B1DE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35</w:t>
            </w:r>
          </w:p>
        </w:tc>
        <w:tc>
          <w:tcPr>
            <w:tcW w:w="1349" w:type="pct"/>
            <w:hideMark/>
          </w:tcPr>
          <w:p w14:paraId="7E87B81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22-AEMD-A-GOB-016-035</w:t>
            </w:r>
          </w:p>
        </w:tc>
        <w:tc>
          <w:tcPr>
            <w:tcW w:w="1427" w:type="pct"/>
            <w:hideMark/>
          </w:tcPr>
          <w:p w14:paraId="37AEC7B0"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Seguridad Pública</w:t>
            </w:r>
          </w:p>
        </w:tc>
        <w:tc>
          <w:tcPr>
            <w:tcW w:w="1909" w:type="pct"/>
            <w:hideMark/>
          </w:tcPr>
          <w:p w14:paraId="472F89B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trámite de expedición de licencia de conducir.</w:t>
            </w:r>
          </w:p>
        </w:tc>
      </w:tr>
      <w:tr w:rsidR="001D4516" w:rsidRPr="00AD13AF" w14:paraId="061819BF"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0CB04E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36</w:t>
            </w:r>
          </w:p>
        </w:tc>
        <w:tc>
          <w:tcPr>
            <w:tcW w:w="1349" w:type="pct"/>
            <w:hideMark/>
          </w:tcPr>
          <w:p w14:paraId="7787F8D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22-AEMF-B-GOB-017-036</w:t>
            </w:r>
          </w:p>
        </w:tc>
        <w:tc>
          <w:tcPr>
            <w:tcW w:w="1427" w:type="pct"/>
            <w:hideMark/>
          </w:tcPr>
          <w:p w14:paraId="36634C8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Trabajo y Previsión Social</w:t>
            </w:r>
          </w:p>
        </w:tc>
        <w:tc>
          <w:tcPr>
            <w:tcW w:w="1909" w:type="pct"/>
            <w:hideMark/>
          </w:tcPr>
          <w:p w14:paraId="1A7B452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6079903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5A0798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37</w:t>
            </w:r>
          </w:p>
        </w:tc>
        <w:tc>
          <w:tcPr>
            <w:tcW w:w="1349" w:type="pct"/>
            <w:hideMark/>
          </w:tcPr>
          <w:p w14:paraId="5863BC6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22-AEMF-B-GOB-018-037</w:t>
            </w:r>
          </w:p>
        </w:tc>
        <w:tc>
          <w:tcPr>
            <w:tcW w:w="1427" w:type="pct"/>
            <w:hideMark/>
          </w:tcPr>
          <w:p w14:paraId="0540E09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Turismo</w:t>
            </w:r>
          </w:p>
        </w:tc>
        <w:tc>
          <w:tcPr>
            <w:tcW w:w="1909" w:type="pct"/>
            <w:hideMark/>
          </w:tcPr>
          <w:p w14:paraId="24F4DAC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2AFBC3C9"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29E168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38</w:t>
            </w:r>
          </w:p>
        </w:tc>
        <w:tc>
          <w:tcPr>
            <w:tcW w:w="1349" w:type="pct"/>
            <w:hideMark/>
          </w:tcPr>
          <w:p w14:paraId="75D2E14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22-AEMD-A-GOB-018-038</w:t>
            </w:r>
          </w:p>
        </w:tc>
        <w:tc>
          <w:tcPr>
            <w:tcW w:w="1427" w:type="pct"/>
            <w:hideMark/>
          </w:tcPr>
          <w:p w14:paraId="36194F6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de Turismo</w:t>
            </w:r>
          </w:p>
        </w:tc>
        <w:tc>
          <w:tcPr>
            <w:tcW w:w="1909" w:type="pct"/>
            <w:hideMark/>
          </w:tcPr>
          <w:p w14:paraId="040766B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Desarrollo Turístico.</w:t>
            </w:r>
          </w:p>
        </w:tc>
      </w:tr>
      <w:tr w:rsidR="001D4516" w:rsidRPr="00AD13AF" w14:paraId="0E12F645"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792B8E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lastRenderedPageBreak/>
              <w:t>39</w:t>
            </w:r>
          </w:p>
        </w:tc>
        <w:tc>
          <w:tcPr>
            <w:tcW w:w="1349" w:type="pct"/>
            <w:hideMark/>
          </w:tcPr>
          <w:p w14:paraId="72CD642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22-AEMF-B-GOB-019-039</w:t>
            </w:r>
          </w:p>
        </w:tc>
        <w:tc>
          <w:tcPr>
            <w:tcW w:w="1427" w:type="pct"/>
            <w:hideMark/>
          </w:tcPr>
          <w:p w14:paraId="4C889A1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Coordinación General de Comunicación del Gobierno del Estado de Quintana Roo.</w:t>
            </w:r>
          </w:p>
        </w:tc>
        <w:tc>
          <w:tcPr>
            <w:tcW w:w="1909" w:type="pct"/>
            <w:hideMark/>
          </w:tcPr>
          <w:p w14:paraId="2F8B4CE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4A09A9A6"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87E643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40</w:t>
            </w:r>
          </w:p>
        </w:tc>
        <w:tc>
          <w:tcPr>
            <w:tcW w:w="1349" w:type="pct"/>
            <w:hideMark/>
          </w:tcPr>
          <w:p w14:paraId="73D6B5A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22-AEMF-B-GOB-020-040</w:t>
            </w:r>
          </w:p>
        </w:tc>
        <w:tc>
          <w:tcPr>
            <w:tcW w:w="1427" w:type="pct"/>
            <w:hideMark/>
          </w:tcPr>
          <w:p w14:paraId="0F04435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Despacho del Gobernador del Estado</w:t>
            </w:r>
          </w:p>
        </w:tc>
        <w:tc>
          <w:tcPr>
            <w:tcW w:w="1909" w:type="pct"/>
            <w:hideMark/>
          </w:tcPr>
          <w:p w14:paraId="3198B2A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69EBF51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FBE1301" w14:textId="77777777" w:rsidR="001D4516" w:rsidRPr="00AD13AF" w:rsidRDefault="001D4516" w:rsidP="001F49A3">
            <w:pPr>
              <w:rPr>
                <w:rFonts w:cs="Calibri"/>
                <w:sz w:val="20"/>
                <w:szCs w:val="20"/>
              </w:rPr>
            </w:pPr>
            <w:r w:rsidRPr="00AD13AF">
              <w:rPr>
                <w:rFonts w:cs="Calibri"/>
                <w:sz w:val="20"/>
                <w:szCs w:val="20"/>
              </w:rPr>
              <w:t>ADMINISTRACIÓN PÚBLICA PARAESTATAL</w:t>
            </w:r>
          </w:p>
        </w:tc>
      </w:tr>
      <w:tr w:rsidR="001D4516" w:rsidRPr="00AD13AF" w14:paraId="55C989D6"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C254FA4"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41</w:t>
            </w:r>
          </w:p>
        </w:tc>
        <w:tc>
          <w:tcPr>
            <w:tcW w:w="1349" w:type="pct"/>
            <w:hideMark/>
          </w:tcPr>
          <w:p w14:paraId="5E6CFE7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22-AEMF-C-GOB-021-041</w:t>
            </w:r>
          </w:p>
        </w:tc>
        <w:tc>
          <w:tcPr>
            <w:tcW w:w="1427" w:type="pct"/>
            <w:hideMark/>
          </w:tcPr>
          <w:p w14:paraId="166B552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Administración Portuaria Integral de Quintana Roo S.A. de C.V. </w:t>
            </w:r>
          </w:p>
        </w:tc>
        <w:tc>
          <w:tcPr>
            <w:tcW w:w="1909" w:type="pct"/>
            <w:hideMark/>
          </w:tcPr>
          <w:p w14:paraId="2EAD9F6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01D6E44F"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FB9B8E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42</w:t>
            </w:r>
          </w:p>
        </w:tc>
        <w:tc>
          <w:tcPr>
            <w:tcW w:w="1349" w:type="pct"/>
            <w:hideMark/>
          </w:tcPr>
          <w:p w14:paraId="02F7277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22-AEMF-C-GOB-021-042</w:t>
            </w:r>
          </w:p>
        </w:tc>
        <w:tc>
          <w:tcPr>
            <w:tcW w:w="1427" w:type="pct"/>
            <w:hideMark/>
          </w:tcPr>
          <w:p w14:paraId="5EB11CB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Administración Portuaria Integral de Quintana Roo S.A. de C.V. </w:t>
            </w:r>
          </w:p>
        </w:tc>
        <w:tc>
          <w:tcPr>
            <w:tcW w:w="1909" w:type="pct"/>
            <w:hideMark/>
          </w:tcPr>
          <w:p w14:paraId="4BA7DD0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0D29E6EA"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C0155D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43</w:t>
            </w:r>
          </w:p>
        </w:tc>
        <w:tc>
          <w:tcPr>
            <w:tcW w:w="1349" w:type="pct"/>
            <w:hideMark/>
          </w:tcPr>
          <w:p w14:paraId="4A47A46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22-AEMOP-B-GOB-021-043</w:t>
            </w:r>
          </w:p>
        </w:tc>
        <w:tc>
          <w:tcPr>
            <w:tcW w:w="1427" w:type="pct"/>
            <w:hideMark/>
          </w:tcPr>
          <w:p w14:paraId="3979E45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Administración Portuaria Integral de Quintana Roo S.A. de C.V. </w:t>
            </w:r>
          </w:p>
        </w:tc>
        <w:tc>
          <w:tcPr>
            <w:tcW w:w="1909" w:type="pct"/>
            <w:hideMark/>
          </w:tcPr>
          <w:p w14:paraId="1439EC4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Ingresos Propios</w:t>
            </w:r>
          </w:p>
        </w:tc>
      </w:tr>
      <w:tr w:rsidR="001D4516" w:rsidRPr="00AD13AF" w14:paraId="24E1BF59"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B8C5C4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44</w:t>
            </w:r>
          </w:p>
        </w:tc>
        <w:tc>
          <w:tcPr>
            <w:tcW w:w="1349" w:type="pct"/>
            <w:hideMark/>
          </w:tcPr>
          <w:p w14:paraId="72BDBFC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22-AEMF-E-GOB-022-044</w:t>
            </w:r>
          </w:p>
        </w:tc>
        <w:tc>
          <w:tcPr>
            <w:tcW w:w="1427" w:type="pct"/>
            <w:hideMark/>
          </w:tcPr>
          <w:p w14:paraId="74730BE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Agencia de Proyectos Estratégicos del Estado de Quintana Roo </w:t>
            </w:r>
          </w:p>
        </w:tc>
        <w:tc>
          <w:tcPr>
            <w:tcW w:w="1909" w:type="pct"/>
            <w:hideMark/>
          </w:tcPr>
          <w:p w14:paraId="7C9CC29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1F73D7A6"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3767E7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45</w:t>
            </w:r>
          </w:p>
        </w:tc>
        <w:tc>
          <w:tcPr>
            <w:tcW w:w="1349" w:type="pct"/>
            <w:hideMark/>
          </w:tcPr>
          <w:p w14:paraId="73DF745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22-AEMF-E-GOB-022-045</w:t>
            </w:r>
          </w:p>
        </w:tc>
        <w:tc>
          <w:tcPr>
            <w:tcW w:w="1427" w:type="pct"/>
            <w:hideMark/>
          </w:tcPr>
          <w:p w14:paraId="5E7F6C9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Agencia de Proyectos Estratégicos del Estado de Quintana Roo </w:t>
            </w:r>
          </w:p>
        </w:tc>
        <w:tc>
          <w:tcPr>
            <w:tcW w:w="1909" w:type="pct"/>
            <w:hideMark/>
          </w:tcPr>
          <w:p w14:paraId="5976039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18669E1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A24CC74"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46</w:t>
            </w:r>
          </w:p>
        </w:tc>
        <w:tc>
          <w:tcPr>
            <w:tcW w:w="1349" w:type="pct"/>
            <w:hideMark/>
          </w:tcPr>
          <w:p w14:paraId="30C44D1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22-AEMOP-A-GOB-022-046</w:t>
            </w:r>
          </w:p>
        </w:tc>
        <w:tc>
          <w:tcPr>
            <w:tcW w:w="1427" w:type="pct"/>
            <w:hideMark/>
          </w:tcPr>
          <w:p w14:paraId="75CF3C9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Agencia de Proyectos Estratégicos del Estado de Quintana Roo </w:t>
            </w:r>
          </w:p>
        </w:tc>
        <w:tc>
          <w:tcPr>
            <w:tcW w:w="1909" w:type="pct"/>
            <w:hideMark/>
          </w:tcPr>
          <w:p w14:paraId="2A54F5C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Ingresos Propios</w:t>
            </w:r>
          </w:p>
        </w:tc>
      </w:tr>
      <w:tr w:rsidR="001D4516" w:rsidRPr="00AD13AF" w14:paraId="7266B8A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3CC231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47</w:t>
            </w:r>
          </w:p>
        </w:tc>
        <w:tc>
          <w:tcPr>
            <w:tcW w:w="1349" w:type="pct"/>
            <w:hideMark/>
          </w:tcPr>
          <w:p w14:paraId="396BD6F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22-AEMF-D-GOB-023-047</w:t>
            </w:r>
          </w:p>
        </w:tc>
        <w:tc>
          <w:tcPr>
            <w:tcW w:w="1427" w:type="pct"/>
            <w:hideMark/>
          </w:tcPr>
          <w:p w14:paraId="7921B95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Centro de Estudios de Bachillerato Técnico “Eva Sámano de López Mateos”</w:t>
            </w:r>
          </w:p>
        </w:tc>
        <w:tc>
          <w:tcPr>
            <w:tcW w:w="1909" w:type="pct"/>
            <w:hideMark/>
          </w:tcPr>
          <w:p w14:paraId="1DD0E82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3FEB9AEC"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9C7612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48</w:t>
            </w:r>
          </w:p>
        </w:tc>
        <w:tc>
          <w:tcPr>
            <w:tcW w:w="1349" w:type="pct"/>
            <w:hideMark/>
          </w:tcPr>
          <w:p w14:paraId="20E7A1F0"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22-AEMF-D-GOB-023-048</w:t>
            </w:r>
          </w:p>
        </w:tc>
        <w:tc>
          <w:tcPr>
            <w:tcW w:w="1427" w:type="pct"/>
            <w:hideMark/>
          </w:tcPr>
          <w:p w14:paraId="713C3C9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Centro de Estudios de Bachillerato Técnico “Eva Sámano de López Mateos”</w:t>
            </w:r>
          </w:p>
        </w:tc>
        <w:tc>
          <w:tcPr>
            <w:tcW w:w="1909" w:type="pct"/>
            <w:hideMark/>
          </w:tcPr>
          <w:p w14:paraId="2EEC725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59989CCD"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CA31A5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49</w:t>
            </w:r>
          </w:p>
        </w:tc>
        <w:tc>
          <w:tcPr>
            <w:tcW w:w="1349" w:type="pct"/>
            <w:hideMark/>
          </w:tcPr>
          <w:p w14:paraId="2837385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22-AEMF-D-GOB-024-049</w:t>
            </w:r>
          </w:p>
        </w:tc>
        <w:tc>
          <w:tcPr>
            <w:tcW w:w="1427" w:type="pct"/>
            <w:hideMark/>
          </w:tcPr>
          <w:p w14:paraId="6978C07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Colegio de Bachilleres del Estado de Quintana Roo </w:t>
            </w:r>
          </w:p>
        </w:tc>
        <w:tc>
          <w:tcPr>
            <w:tcW w:w="1909" w:type="pct"/>
            <w:hideMark/>
          </w:tcPr>
          <w:p w14:paraId="587D4A4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3DBEC4F2"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EC4581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50</w:t>
            </w:r>
          </w:p>
        </w:tc>
        <w:tc>
          <w:tcPr>
            <w:tcW w:w="1349" w:type="pct"/>
            <w:hideMark/>
          </w:tcPr>
          <w:p w14:paraId="5D74283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22-AEMF-D-GOB-024-050</w:t>
            </w:r>
          </w:p>
        </w:tc>
        <w:tc>
          <w:tcPr>
            <w:tcW w:w="1427" w:type="pct"/>
            <w:hideMark/>
          </w:tcPr>
          <w:p w14:paraId="4C38D41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Colegio de Bachilleres del Estado de Quintana Roo </w:t>
            </w:r>
          </w:p>
        </w:tc>
        <w:tc>
          <w:tcPr>
            <w:tcW w:w="1909" w:type="pct"/>
            <w:hideMark/>
          </w:tcPr>
          <w:p w14:paraId="3B2CB8E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11BB0548"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A964CE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51</w:t>
            </w:r>
          </w:p>
        </w:tc>
        <w:tc>
          <w:tcPr>
            <w:tcW w:w="1349" w:type="pct"/>
            <w:hideMark/>
          </w:tcPr>
          <w:p w14:paraId="5310533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22-AEMF-D-GOB-025-051</w:t>
            </w:r>
          </w:p>
        </w:tc>
        <w:tc>
          <w:tcPr>
            <w:tcW w:w="1427" w:type="pct"/>
            <w:hideMark/>
          </w:tcPr>
          <w:p w14:paraId="3454578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Colegio de Educación Profesional Técnica del Estado de Quintana Roo </w:t>
            </w:r>
          </w:p>
        </w:tc>
        <w:tc>
          <w:tcPr>
            <w:tcW w:w="1909" w:type="pct"/>
            <w:hideMark/>
          </w:tcPr>
          <w:p w14:paraId="22AE3F3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5C4AED03"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EC663C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52</w:t>
            </w:r>
          </w:p>
        </w:tc>
        <w:tc>
          <w:tcPr>
            <w:tcW w:w="1349" w:type="pct"/>
            <w:hideMark/>
          </w:tcPr>
          <w:p w14:paraId="2BEE0A0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22-AEMF-D-GOB-025-052</w:t>
            </w:r>
          </w:p>
        </w:tc>
        <w:tc>
          <w:tcPr>
            <w:tcW w:w="1427" w:type="pct"/>
            <w:hideMark/>
          </w:tcPr>
          <w:p w14:paraId="6604893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Colegio de Educación Profesional Técnica del Estado de Quintana Roo </w:t>
            </w:r>
          </w:p>
        </w:tc>
        <w:tc>
          <w:tcPr>
            <w:tcW w:w="1909" w:type="pct"/>
            <w:hideMark/>
          </w:tcPr>
          <w:p w14:paraId="5711ADF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503827E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1736C9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53</w:t>
            </w:r>
          </w:p>
        </w:tc>
        <w:tc>
          <w:tcPr>
            <w:tcW w:w="1349" w:type="pct"/>
            <w:hideMark/>
          </w:tcPr>
          <w:p w14:paraId="041A01A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22-AEMF-E-GOB-026-053</w:t>
            </w:r>
          </w:p>
        </w:tc>
        <w:tc>
          <w:tcPr>
            <w:tcW w:w="1427" w:type="pct"/>
            <w:hideMark/>
          </w:tcPr>
          <w:p w14:paraId="74BD1B0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Colegio de Estudios Científicos y Tecnológicos del Estado de Quintana Roo </w:t>
            </w:r>
          </w:p>
        </w:tc>
        <w:tc>
          <w:tcPr>
            <w:tcW w:w="1909" w:type="pct"/>
            <w:hideMark/>
          </w:tcPr>
          <w:p w14:paraId="15C20B4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3986C31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5603CE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54</w:t>
            </w:r>
          </w:p>
        </w:tc>
        <w:tc>
          <w:tcPr>
            <w:tcW w:w="1349" w:type="pct"/>
            <w:hideMark/>
          </w:tcPr>
          <w:p w14:paraId="280C9420"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22-AEMF-E-GOB-026-054</w:t>
            </w:r>
          </w:p>
        </w:tc>
        <w:tc>
          <w:tcPr>
            <w:tcW w:w="1427" w:type="pct"/>
            <w:hideMark/>
          </w:tcPr>
          <w:p w14:paraId="059B6A4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Colegio de Estudios Científicos y Tecnológicos del Estado de Quintana Roo </w:t>
            </w:r>
          </w:p>
        </w:tc>
        <w:tc>
          <w:tcPr>
            <w:tcW w:w="1909" w:type="pct"/>
            <w:hideMark/>
          </w:tcPr>
          <w:p w14:paraId="36496A7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4CDA739E"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1F7B52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55</w:t>
            </w:r>
          </w:p>
        </w:tc>
        <w:tc>
          <w:tcPr>
            <w:tcW w:w="1349" w:type="pct"/>
            <w:hideMark/>
          </w:tcPr>
          <w:p w14:paraId="16ED8AE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22-AEMF-C-GOB-027-055</w:t>
            </w:r>
          </w:p>
        </w:tc>
        <w:tc>
          <w:tcPr>
            <w:tcW w:w="1427" w:type="pct"/>
            <w:hideMark/>
          </w:tcPr>
          <w:p w14:paraId="31F6DC2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Comisión de Agua Potable y Alcantarillado</w:t>
            </w:r>
          </w:p>
        </w:tc>
        <w:tc>
          <w:tcPr>
            <w:tcW w:w="1909" w:type="pct"/>
            <w:hideMark/>
          </w:tcPr>
          <w:p w14:paraId="66685D9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61C0919C"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3925C7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56</w:t>
            </w:r>
          </w:p>
        </w:tc>
        <w:tc>
          <w:tcPr>
            <w:tcW w:w="1349" w:type="pct"/>
            <w:hideMark/>
          </w:tcPr>
          <w:p w14:paraId="50F2734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22-AEMF-C-GOB-027-056</w:t>
            </w:r>
          </w:p>
        </w:tc>
        <w:tc>
          <w:tcPr>
            <w:tcW w:w="1427" w:type="pct"/>
            <w:hideMark/>
          </w:tcPr>
          <w:p w14:paraId="003C9B00"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Comisión de Agua Potable y Alcantarillado</w:t>
            </w:r>
          </w:p>
        </w:tc>
        <w:tc>
          <w:tcPr>
            <w:tcW w:w="1909" w:type="pct"/>
            <w:hideMark/>
          </w:tcPr>
          <w:p w14:paraId="3012F15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302AC961"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39EE61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lastRenderedPageBreak/>
              <w:t>57</w:t>
            </w:r>
          </w:p>
        </w:tc>
        <w:tc>
          <w:tcPr>
            <w:tcW w:w="1349" w:type="pct"/>
            <w:hideMark/>
          </w:tcPr>
          <w:p w14:paraId="71EDC0B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22-AEMF-C-GOB-027-057</w:t>
            </w:r>
          </w:p>
        </w:tc>
        <w:tc>
          <w:tcPr>
            <w:tcW w:w="1427" w:type="pct"/>
            <w:hideMark/>
          </w:tcPr>
          <w:p w14:paraId="49072DC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Comisión de Agua Potable y Alcantarillado</w:t>
            </w:r>
          </w:p>
        </w:tc>
        <w:tc>
          <w:tcPr>
            <w:tcW w:w="1909" w:type="pct"/>
            <w:hideMark/>
          </w:tcPr>
          <w:p w14:paraId="3375257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Financiamientos, Otras Obligaciones y Empréstitos</w:t>
            </w:r>
          </w:p>
        </w:tc>
      </w:tr>
      <w:tr w:rsidR="001D4516" w:rsidRPr="00AD13AF" w14:paraId="48E57AE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47C59D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58</w:t>
            </w:r>
          </w:p>
        </w:tc>
        <w:tc>
          <w:tcPr>
            <w:tcW w:w="1349" w:type="pct"/>
            <w:hideMark/>
          </w:tcPr>
          <w:p w14:paraId="618F718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22-AEMOP-B-GOB-027-058</w:t>
            </w:r>
          </w:p>
        </w:tc>
        <w:tc>
          <w:tcPr>
            <w:tcW w:w="1427" w:type="pct"/>
            <w:hideMark/>
          </w:tcPr>
          <w:p w14:paraId="5702715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Comisión de Agua Potable y Alcantarillado</w:t>
            </w:r>
          </w:p>
        </w:tc>
        <w:tc>
          <w:tcPr>
            <w:tcW w:w="1909" w:type="pct"/>
            <w:hideMark/>
          </w:tcPr>
          <w:p w14:paraId="13C35D7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Ingresos Propios (I.P.P.)</w:t>
            </w:r>
          </w:p>
        </w:tc>
      </w:tr>
      <w:tr w:rsidR="001D4516" w:rsidRPr="00AD13AF" w14:paraId="4B63441D"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6A9574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59</w:t>
            </w:r>
          </w:p>
        </w:tc>
        <w:tc>
          <w:tcPr>
            <w:tcW w:w="1349" w:type="pct"/>
            <w:hideMark/>
          </w:tcPr>
          <w:p w14:paraId="4986D4D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22-AEMF-D-GOB-028-059</w:t>
            </w:r>
          </w:p>
        </w:tc>
        <w:tc>
          <w:tcPr>
            <w:tcW w:w="1427" w:type="pct"/>
            <w:hideMark/>
          </w:tcPr>
          <w:p w14:paraId="54A08BA8"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Comisión Ejecutiva de Atención a Víctimas del Estado de Quintana Roo</w:t>
            </w:r>
          </w:p>
        </w:tc>
        <w:tc>
          <w:tcPr>
            <w:tcW w:w="1909" w:type="pct"/>
            <w:hideMark/>
          </w:tcPr>
          <w:p w14:paraId="2E1A8B6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0E09D675"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A38E7E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60</w:t>
            </w:r>
          </w:p>
        </w:tc>
        <w:tc>
          <w:tcPr>
            <w:tcW w:w="1349" w:type="pct"/>
            <w:hideMark/>
          </w:tcPr>
          <w:p w14:paraId="34243FF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22-AEMD-A-GOB-028-060</w:t>
            </w:r>
          </w:p>
        </w:tc>
        <w:tc>
          <w:tcPr>
            <w:tcW w:w="1427" w:type="pct"/>
            <w:hideMark/>
          </w:tcPr>
          <w:p w14:paraId="6DB6940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Comisión Ejecutiva de Atención a Víctimas del Estado de Quintana Roo</w:t>
            </w:r>
          </w:p>
        </w:tc>
        <w:tc>
          <w:tcPr>
            <w:tcW w:w="1909" w:type="pct"/>
            <w:hideMark/>
          </w:tcPr>
          <w:p w14:paraId="105AFF89" w14:textId="77777777" w:rsidR="001D4516" w:rsidRPr="004D356B" w:rsidRDefault="001D4516" w:rsidP="001F49A3">
            <w:pPr>
              <w:spacing w:after="24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Atención a Víctimas.</w:t>
            </w:r>
          </w:p>
        </w:tc>
      </w:tr>
      <w:tr w:rsidR="001D4516" w:rsidRPr="00AD13AF" w14:paraId="3FFBCB0F"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A74F60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61</w:t>
            </w:r>
          </w:p>
        </w:tc>
        <w:tc>
          <w:tcPr>
            <w:tcW w:w="1349" w:type="pct"/>
            <w:hideMark/>
          </w:tcPr>
          <w:p w14:paraId="640E8AB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22-AEMF-E-GOB-029-061</w:t>
            </w:r>
          </w:p>
        </w:tc>
        <w:tc>
          <w:tcPr>
            <w:tcW w:w="1427" w:type="pct"/>
            <w:hideMark/>
          </w:tcPr>
          <w:p w14:paraId="1CEC35B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Comisión para la Juventud y el Deporte de Quintana Roo </w:t>
            </w:r>
          </w:p>
        </w:tc>
        <w:tc>
          <w:tcPr>
            <w:tcW w:w="1909" w:type="pct"/>
            <w:hideMark/>
          </w:tcPr>
          <w:p w14:paraId="2CD69AC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0E31170A"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9A9DC5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62</w:t>
            </w:r>
          </w:p>
        </w:tc>
        <w:tc>
          <w:tcPr>
            <w:tcW w:w="1349" w:type="pct"/>
            <w:hideMark/>
          </w:tcPr>
          <w:p w14:paraId="4476999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22-AEMF-E-GOB-029-062</w:t>
            </w:r>
          </w:p>
        </w:tc>
        <w:tc>
          <w:tcPr>
            <w:tcW w:w="1427" w:type="pct"/>
            <w:hideMark/>
          </w:tcPr>
          <w:p w14:paraId="14EE571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Comisión para la Juventud y el Deporte de Quintana Roo </w:t>
            </w:r>
          </w:p>
        </w:tc>
        <w:tc>
          <w:tcPr>
            <w:tcW w:w="1909" w:type="pct"/>
            <w:hideMark/>
          </w:tcPr>
          <w:p w14:paraId="168F2FF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3B84027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C4DA67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63</w:t>
            </w:r>
          </w:p>
        </w:tc>
        <w:tc>
          <w:tcPr>
            <w:tcW w:w="1349" w:type="pct"/>
            <w:hideMark/>
          </w:tcPr>
          <w:p w14:paraId="19F7CFD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22-AEMD-A-GOB-029-063</w:t>
            </w:r>
          </w:p>
        </w:tc>
        <w:tc>
          <w:tcPr>
            <w:tcW w:w="1427" w:type="pct"/>
            <w:hideMark/>
          </w:tcPr>
          <w:p w14:paraId="52EC3B5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Comisión para la Juventud y el Deporte de Quintana Roo </w:t>
            </w:r>
          </w:p>
        </w:tc>
        <w:tc>
          <w:tcPr>
            <w:tcW w:w="1909" w:type="pct"/>
            <w:hideMark/>
          </w:tcPr>
          <w:p w14:paraId="4BACB40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funciones sustantivas.</w:t>
            </w:r>
          </w:p>
        </w:tc>
      </w:tr>
      <w:tr w:rsidR="001D4516" w:rsidRPr="00AD13AF" w14:paraId="2E9BEEDC"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260058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64</w:t>
            </w:r>
          </w:p>
        </w:tc>
        <w:tc>
          <w:tcPr>
            <w:tcW w:w="1349" w:type="pct"/>
            <w:hideMark/>
          </w:tcPr>
          <w:p w14:paraId="48C09B2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22-AEMOP-B-GOB-029-064</w:t>
            </w:r>
          </w:p>
        </w:tc>
        <w:tc>
          <w:tcPr>
            <w:tcW w:w="1427" w:type="pct"/>
            <w:hideMark/>
          </w:tcPr>
          <w:p w14:paraId="200E01B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Comisión para la Juventud y el Deporte de Quintana Roo </w:t>
            </w:r>
          </w:p>
        </w:tc>
        <w:tc>
          <w:tcPr>
            <w:tcW w:w="1909" w:type="pct"/>
            <w:hideMark/>
          </w:tcPr>
          <w:p w14:paraId="5464805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de Libre Disposición de Origen Estatal.</w:t>
            </w:r>
          </w:p>
        </w:tc>
      </w:tr>
      <w:tr w:rsidR="001D4516" w:rsidRPr="00AD13AF" w14:paraId="5919131F"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F27275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65</w:t>
            </w:r>
          </w:p>
        </w:tc>
        <w:tc>
          <w:tcPr>
            <w:tcW w:w="1349" w:type="pct"/>
            <w:hideMark/>
          </w:tcPr>
          <w:p w14:paraId="0C1C2D8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22-AEMF-C-GOB-030-065</w:t>
            </w:r>
          </w:p>
        </w:tc>
        <w:tc>
          <w:tcPr>
            <w:tcW w:w="1427" w:type="pct"/>
            <w:hideMark/>
          </w:tcPr>
          <w:p w14:paraId="300AC15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Consejo de Promoción Turística de Quintana Roo</w:t>
            </w:r>
          </w:p>
        </w:tc>
        <w:tc>
          <w:tcPr>
            <w:tcW w:w="1909" w:type="pct"/>
            <w:hideMark/>
          </w:tcPr>
          <w:p w14:paraId="27A7529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32C44D3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1FF6E0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66</w:t>
            </w:r>
          </w:p>
        </w:tc>
        <w:tc>
          <w:tcPr>
            <w:tcW w:w="1349" w:type="pct"/>
            <w:hideMark/>
          </w:tcPr>
          <w:p w14:paraId="2F2D776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22-AEMF-D-GOB-031-066</w:t>
            </w:r>
          </w:p>
        </w:tc>
        <w:tc>
          <w:tcPr>
            <w:tcW w:w="1427" w:type="pct"/>
            <w:hideMark/>
          </w:tcPr>
          <w:p w14:paraId="7E4AC1B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Consejo Quintanarroense de Ciencia y Tecnología </w:t>
            </w:r>
          </w:p>
        </w:tc>
        <w:tc>
          <w:tcPr>
            <w:tcW w:w="1909" w:type="pct"/>
            <w:hideMark/>
          </w:tcPr>
          <w:p w14:paraId="14F5BF9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66DFCF93"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FD206E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67</w:t>
            </w:r>
          </w:p>
        </w:tc>
        <w:tc>
          <w:tcPr>
            <w:tcW w:w="1349" w:type="pct"/>
            <w:hideMark/>
          </w:tcPr>
          <w:p w14:paraId="275F84F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22-AEMF-D-GOB-032-067</w:t>
            </w:r>
          </w:p>
        </w:tc>
        <w:tc>
          <w:tcPr>
            <w:tcW w:w="1427" w:type="pct"/>
            <w:hideMark/>
          </w:tcPr>
          <w:p w14:paraId="167BCDC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Fundación de Parques y Museos de Cozumel</w:t>
            </w:r>
          </w:p>
        </w:tc>
        <w:tc>
          <w:tcPr>
            <w:tcW w:w="1909" w:type="pct"/>
            <w:hideMark/>
          </w:tcPr>
          <w:p w14:paraId="2692C01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548E87F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32B347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68</w:t>
            </w:r>
          </w:p>
        </w:tc>
        <w:tc>
          <w:tcPr>
            <w:tcW w:w="1349" w:type="pct"/>
            <w:hideMark/>
          </w:tcPr>
          <w:p w14:paraId="1B88689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22-AEMF-D-GOB-032-068</w:t>
            </w:r>
          </w:p>
        </w:tc>
        <w:tc>
          <w:tcPr>
            <w:tcW w:w="1427" w:type="pct"/>
            <w:hideMark/>
          </w:tcPr>
          <w:p w14:paraId="5B21148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Fundación de Parques y Museos de Cozumel</w:t>
            </w:r>
          </w:p>
        </w:tc>
        <w:tc>
          <w:tcPr>
            <w:tcW w:w="1909" w:type="pct"/>
            <w:hideMark/>
          </w:tcPr>
          <w:p w14:paraId="1F1DC80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42CDE56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B039C2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69</w:t>
            </w:r>
          </w:p>
        </w:tc>
        <w:tc>
          <w:tcPr>
            <w:tcW w:w="1349" w:type="pct"/>
            <w:hideMark/>
          </w:tcPr>
          <w:p w14:paraId="548B24B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22-AEMF-C-GOB-033-069</w:t>
            </w:r>
          </w:p>
        </w:tc>
        <w:tc>
          <w:tcPr>
            <w:tcW w:w="1427" w:type="pct"/>
            <w:hideMark/>
          </w:tcPr>
          <w:p w14:paraId="790C6D7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de Capacitación para el Trabajo del Estado de Quintana Roo</w:t>
            </w:r>
          </w:p>
        </w:tc>
        <w:tc>
          <w:tcPr>
            <w:tcW w:w="1909" w:type="pct"/>
            <w:hideMark/>
          </w:tcPr>
          <w:p w14:paraId="6CD1AC5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667A0168"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FE702E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70</w:t>
            </w:r>
          </w:p>
        </w:tc>
        <w:tc>
          <w:tcPr>
            <w:tcW w:w="1349" w:type="pct"/>
            <w:hideMark/>
          </w:tcPr>
          <w:p w14:paraId="0C681BC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22-AEMF-C-GOB-033-070</w:t>
            </w:r>
          </w:p>
        </w:tc>
        <w:tc>
          <w:tcPr>
            <w:tcW w:w="1427" w:type="pct"/>
            <w:hideMark/>
          </w:tcPr>
          <w:p w14:paraId="10FDBD6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de Capacitación para el Trabajo del Estado de Quintana Roo</w:t>
            </w:r>
          </w:p>
        </w:tc>
        <w:tc>
          <w:tcPr>
            <w:tcW w:w="1909" w:type="pct"/>
            <w:hideMark/>
          </w:tcPr>
          <w:p w14:paraId="7158607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69692B22"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194F1E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71</w:t>
            </w:r>
          </w:p>
        </w:tc>
        <w:tc>
          <w:tcPr>
            <w:tcW w:w="1349" w:type="pct"/>
            <w:hideMark/>
          </w:tcPr>
          <w:p w14:paraId="7A12410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22-AEMF-C-GOB-034-071</w:t>
            </w:r>
          </w:p>
        </w:tc>
        <w:tc>
          <w:tcPr>
            <w:tcW w:w="1427" w:type="pct"/>
            <w:hideMark/>
          </w:tcPr>
          <w:p w14:paraId="2955964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Instituto de Infraestructura Física Educativa del Estado de Quintana Roo </w:t>
            </w:r>
          </w:p>
        </w:tc>
        <w:tc>
          <w:tcPr>
            <w:tcW w:w="1909" w:type="pct"/>
            <w:hideMark/>
          </w:tcPr>
          <w:p w14:paraId="537277C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6674A38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2A8B98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72</w:t>
            </w:r>
          </w:p>
        </w:tc>
        <w:tc>
          <w:tcPr>
            <w:tcW w:w="1349" w:type="pct"/>
            <w:hideMark/>
          </w:tcPr>
          <w:p w14:paraId="1DE150E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22-AEMF-C-GOB-035-072</w:t>
            </w:r>
          </w:p>
        </w:tc>
        <w:tc>
          <w:tcPr>
            <w:tcW w:w="1427" w:type="pct"/>
            <w:hideMark/>
          </w:tcPr>
          <w:p w14:paraId="67E9428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Instituto de la Cultura y las Artes de Quintana Roo </w:t>
            </w:r>
          </w:p>
        </w:tc>
        <w:tc>
          <w:tcPr>
            <w:tcW w:w="1909" w:type="pct"/>
            <w:hideMark/>
          </w:tcPr>
          <w:p w14:paraId="7AA9FDA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114E58AA"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3B1F37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73</w:t>
            </w:r>
          </w:p>
        </w:tc>
        <w:tc>
          <w:tcPr>
            <w:tcW w:w="1349" w:type="pct"/>
            <w:hideMark/>
          </w:tcPr>
          <w:p w14:paraId="7CD6076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22-AEMF-C-GOB-035-073</w:t>
            </w:r>
          </w:p>
        </w:tc>
        <w:tc>
          <w:tcPr>
            <w:tcW w:w="1427" w:type="pct"/>
            <w:hideMark/>
          </w:tcPr>
          <w:p w14:paraId="39E5E45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Instituto de la Cultura y las Artes de Quintana Roo </w:t>
            </w:r>
          </w:p>
        </w:tc>
        <w:tc>
          <w:tcPr>
            <w:tcW w:w="1909" w:type="pct"/>
            <w:hideMark/>
          </w:tcPr>
          <w:p w14:paraId="437597D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2963D133"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5AC318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74</w:t>
            </w:r>
          </w:p>
        </w:tc>
        <w:tc>
          <w:tcPr>
            <w:tcW w:w="1349" w:type="pct"/>
            <w:hideMark/>
          </w:tcPr>
          <w:p w14:paraId="39F4AB4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22-AEMF-E-GOB-036-074</w:t>
            </w:r>
          </w:p>
        </w:tc>
        <w:tc>
          <w:tcPr>
            <w:tcW w:w="1427" w:type="pct"/>
            <w:hideMark/>
          </w:tcPr>
          <w:p w14:paraId="7A5AEB0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de Movilidad del Estado de</w:t>
            </w:r>
            <w:r w:rsidR="001376C7">
              <w:rPr>
                <w:rFonts w:ascii="Arial Narrow" w:eastAsia="Times New Roman" w:hAnsi="Arial Narrow" w:cs="Calibri"/>
                <w:color w:val="000000"/>
                <w:sz w:val="20"/>
                <w:szCs w:val="20"/>
                <w:lang w:eastAsia="es-MX"/>
              </w:rPr>
              <w:t xml:space="preserve"> </w:t>
            </w:r>
            <w:r w:rsidRPr="004D356B">
              <w:rPr>
                <w:rFonts w:ascii="Arial Narrow" w:eastAsia="Times New Roman" w:hAnsi="Arial Narrow" w:cs="Calibri"/>
                <w:color w:val="000000"/>
                <w:sz w:val="20"/>
                <w:szCs w:val="20"/>
                <w:lang w:eastAsia="es-MX"/>
              </w:rPr>
              <w:t xml:space="preserve">Quintana Roo </w:t>
            </w:r>
          </w:p>
        </w:tc>
        <w:tc>
          <w:tcPr>
            <w:tcW w:w="1909" w:type="pct"/>
            <w:hideMark/>
          </w:tcPr>
          <w:p w14:paraId="0CF8370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72F18AD4"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55D5A34"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75</w:t>
            </w:r>
          </w:p>
        </w:tc>
        <w:tc>
          <w:tcPr>
            <w:tcW w:w="1349" w:type="pct"/>
            <w:hideMark/>
          </w:tcPr>
          <w:p w14:paraId="195A847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22-AEMF-E-GOB-036-075</w:t>
            </w:r>
          </w:p>
        </w:tc>
        <w:tc>
          <w:tcPr>
            <w:tcW w:w="1427" w:type="pct"/>
            <w:hideMark/>
          </w:tcPr>
          <w:p w14:paraId="409786C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de Movilidad del Estado de</w:t>
            </w:r>
            <w:r w:rsidR="001376C7">
              <w:rPr>
                <w:rFonts w:ascii="Arial Narrow" w:eastAsia="Times New Roman" w:hAnsi="Arial Narrow" w:cs="Calibri"/>
                <w:color w:val="000000"/>
                <w:sz w:val="20"/>
                <w:szCs w:val="20"/>
                <w:lang w:eastAsia="es-MX"/>
              </w:rPr>
              <w:t xml:space="preserve"> </w:t>
            </w:r>
            <w:r w:rsidRPr="004D356B">
              <w:rPr>
                <w:rFonts w:ascii="Arial Narrow" w:eastAsia="Times New Roman" w:hAnsi="Arial Narrow" w:cs="Calibri"/>
                <w:color w:val="000000"/>
                <w:sz w:val="20"/>
                <w:szCs w:val="20"/>
                <w:lang w:eastAsia="es-MX"/>
              </w:rPr>
              <w:t xml:space="preserve">Quintana Roo </w:t>
            </w:r>
          </w:p>
        </w:tc>
        <w:tc>
          <w:tcPr>
            <w:tcW w:w="1909" w:type="pct"/>
            <w:hideMark/>
          </w:tcPr>
          <w:p w14:paraId="101AE5E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440FF609"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767D9A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76</w:t>
            </w:r>
          </w:p>
        </w:tc>
        <w:tc>
          <w:tcPr>
            <w:tcW w:w="1349" w:type="pct"/>
            <w:hideMark/>
          </w:tcPr>
          <w:p w14:paraId="2615D89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22-AEMF-D-GOB-037-076</w:t>
            </w:r>
          </w:p>
        </w:tc>
        <w:tc>
          <w:tcPr>
            <w:tcW w:w="1427" w:type="pct"/>
            <w:hideMark/>
          </w:tcPr>
          <w:p w14:paraId="2F225160"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Estatal para la Educación de Jóvenes y Adultos</w:t>
            </w:r>
          </w:p>
        </w:tc>
        <w:tc>
          <w:tcPr>
            <w:tcW w:w="1909" w:type="pct"/>
            <w:hideMark/>
          </w:tcPr>
          <w:p w14:paraId="52989EC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14DDB492"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35E848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77</w:t>
            </w:r>
          </w:p>
        </w:tc>
        <w:tc>
          <w:tcPr>
            <w:tcW w:w="1349" w:type="pct"/>
            <w:hideMark/>
          </w:tcPr>
          <w:p w14:paraId="4C0EC69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22-AEMF-D-GOB-037-077</w:t>
            </w:r>
          </w:p>
        </w:tc>
        <w:tc>
          <w:tcPr>
            <w:tcW w:w="1427" w:type="pct"/>
            <w:hideMark/>
          </w:tcPr>
          <w:p w14:paraId="6DE4AA3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Estatal para la Educación de Jóvenes y Adultos</w:t>
            </w:r>
          </w:p>
        </w:tc>
        <w:tc>
          <w:tcPr>
            <w:tcW w:w="1909" w:type="pct"/>
            <w:hideMark/>
          </w:tcPr>
          <w:p w14:paraId="78634F1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350D56C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864F3B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lastRenderedPageBreak/>
              <w:t>78</w:t>
            </w:r>
          </w:p>
        </w:tc>
        <w:tc>
          <w:tcPr>
            <w:tcW w:w="1349" w:type="pct"/>
            <w:hideMark/>
          </w:tcPr>
          <w:p w14:paraId="73E6B9E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22-AEMF-E-GOB-038-078</w:t>
            </w:r>
          </w:p>
        </w:tc>
        <w:tc>
          <w:tcPr>
            <w:tcW w:w="1427" w:type="pct"/>
            <w:hideMark/>
          </w:tcPr>
          <w:p w14:paraId="7576A78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para el Desarrollo del Pueblo Maya y las Comunidades Indígenas del Estado de Quintana Roo</w:t>
            </w:r>
          </w:p>
        </w:tc>
        <w:tc>
          <w:tcPr>
            <w:tcW w:w="1909" w:type="pct"/>
            <w:hideMark/>
          </w:tcPr>
          <w:p w14:paraId="6405294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4C2DF1C3"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BC786F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79</w:t>
            </w:r>
          </w:p>
        </w:tc>
        <w:tc>
          <w:tcPr>
            <w:tcW w:w="1349" w:type="pct"/>
            <w:hideMark/>
          </w:tcPr>
          <w:p w14:paraId="10913D5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22-AEMF-E-GOB-038-079</w:t>
            </w:r>
          </w:p>
        </w:tc>
        <w:tc>
          <w:tcPr>
            <w:tcW w:w="1427" w:type="pct"/>
            <w:hideMark/>
          </w:tcPr>
          <w:p w14:paraId="2EEB38B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para el Desarrollo del Pueblo Maya y las Comunidades Indígenas del Estado de Quintana Roo</w:t>
            </w:r>
          </w:p>
        </w:tc>
        <w:tc>
          <w:tcPr>
            <w:tcW w:w="1909" w:type="pct"/>
            <w:hideMark/>
          </w:tcPr>
          <w:p w14:paraId="10EC16A8"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003F9651"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9A0B1A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80</w:t>
            </w:r>
          </w:p>
        </w:tc>
        <w:tc>
          <w:tcPr>
            <w:tcW w:w="1349" w:type="pct"/>
            <w:hideMark/>
          </w:tcPr>
          <w:p w14:paraId="44CC88D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22-AEMF-C-GOB-039-080</w:t>
            </w:r>
          </w:p>
        </w:tc>
        <w:tc>
          <w:tcPr>
            <w:tcW w:w="1427" w:type="pct"/>
            <w:hideMark/>
          </w:tcPr>
          <w:p w14:paraId="75AAA83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para el Desarrollo y Financiamiento del Estado de Quintana Roo</w:t>
            </w:r>
          </w:p>
        </w:tc>
        <w:tc>
          <w:tcPr>
            <w:tcW w:w="1909" w:type="pct"/>
            <w:hideMark/>
          </w:tcPr>
          <w:p w14:paraId="2F057AA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4034B9BE"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2764AA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81</w:t>
            </w:r>
          </w:p>
        </w:tc>
        <w:tc>
          <w:tcPr>
            <w:tcW w:w="1349" w:type="pct"/>
            <w:hideMark/>
          </w:tcPr>
          <w:p w14:paraId="2F1A254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22-AEMF-D-GOB-040-081</w:t>
            </w:r>
          </w:p>
        </w:tc>
        <w:tc>
          <w:tcPr>
            <w:tcW w:w="1427" w:type="pct"/>
            <w:hideMark/>
          </w:tcPr>
          <w:p w14:paraId="1916249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Quintanarroense de la Juventud</w:t>
            </w:r>
          </w:p>
        </w:tc>
        <w:tc>
          <w:tcPr>
            <w:tcW w:w="1909" w:type="pct"/>
            <w:hideMark/>
          </w:tcPr>
          <w:p w14:paraId="0187578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1A392499"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1C68B9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82</w:t>
            </w:r>
          </w:p>
        </w:tc>
        <w:tc>
          <w:tcPr>
            <w:tcW w:w="1349" w:type="pct"/>
            <w:hideMark/>
          </w:tcPr>
          <w:p w14:paraId="78E6BFF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22-AEMF-D-GOB-040-082</w:t>
            </w:r>
          </w:p>
        </w:tc>
        <w:tc>
          <w:tcPr>
            <w:tcW w:w="1427" w:type="pct"/>
            <w:hideMark/>
          </w:tcPr>
          <w:p w14:paraId="475EDD2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Quintanarroense de la Juventud</w:t>
            </w:r>
          </w:p>
        </w:tc>
        <w:tc>
          <w:tcPr>
            <w:tcW w:w="1909" w:type="pct"/>
            <w:hideMark/>
          </w:tcPr>
          <w:p w14:paraId="1D567E5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2E6C2A6D"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D3DD16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83</w:t>
            </w:r>
          </w:p>
        </w:tc>
        <w:tc>
          <w:tcPr>
            <w:tcW w:w="1349" w:type="pct"/>
            <w:hideMark/>
          </w:tcPr>
          <w:p w14:paraId="6796613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22-AEMF-C-GOB-041-083</w:t>
            </w:r>
          </w:p>
        </w:tc>
        <w:tc>
          <w:tcPr>
            <w:tcW w:w="1427" w:type="pct"/>
            <w:hideMark/>
          </w:tcPr>
          <w:p w14:paraId="0F1D235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Instituto Quintanarroense de la Mujer </w:t>
            </w:r>
          </w:p>
        </w:tc>
        <w:tc>
          <w:tcPr>
            <w:tcW w:w="1909" w:type="pct"/>
            <w:hideMark/>
          </w:tcPr>
          <w:p w14:paraId="6BE0E98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7BD5480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6A4629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84</w:t>
            </w:r>
          </w:p>
        </w:tc>
        <w:tc>
          <w:tcPr>
            <w:tcW w:w="1349" w:type="pct"/>
            <w:hideMark/>
          </w:tcPr>
          <w:p w14:paraId="6B6780F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22-AEMD-C-GOB-041-084</w:t>
            </w:r>
          </w:p>
        </w:tc>
        <w:tc>
          <w:tcPr>
            <w:tcW w:w="1427" w:type="pct"/>
            <w:hideMark/>
          </w:tcPr>
          <w:p w14:paraId="7CCB677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Instituto Quintanarroense de la Mujer </w:t>
            </w:r>
          </w:p>
        </w:tc>
        <w:tc>
          <w:tcPr>
            <w:tcW w:w="1909" w:type="pct"/>
            <w:hideMark/>
          </w:tcPr>
          <w:p w14:paraId="224CEAB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las funciones y acciones relacionadas al Acceso de las Mujeres a una Vida Libre de Violencia.</w:t>
            </w:r>
          </w:p>
        </w:tc>
      </w:tr>
      <w:tr w:rsidR="001D4516" w:rsidRPr="00AD13AF" w14:paraId="01A7B5B4"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038C3F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85</w:t>
            </w:r>
          </w:p>
        </w:tc>
        <w:tc>
          <w:tcPr>
            <w:tcW w:w="1349" w:type="pct"/>
            <w:hideMark/>
          </w:tcPr>
          <w:p w14:paraId="5CC337D8"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22-AEMF-E-GOB-042-085</w:t>
            </w:r>
          </w:p>
        </w:tc>
        <w:tc>
          <w:tcPr>
            <w:tcW w:w="1427" w:type="pct"/>
            <w:hideMark/>
          </w:tcPr>
          <w:p w14:paraId="4842342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Tecnológico Superior de Felipe Carrillo Puerto</w:t>
            </w:r>
          </w:p>
        </w:tc>
        <w:tc>
          <w:tcPr>
            <w:tcW w:w="1909" w:type="pct"/>
            <w:hideMark/>
          </w:tcPr>
          <w:p w14:paraId="2ED6CDF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5C98C75F"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9F2666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86</w:t>
            </w:r>
          </w:p>
        </w:tc>
        <w:tc>
          <w:tcPr>
            <w:tcW w:w="1349" w:type="pct"/>
            <w:hideMark/>
          </w:tcPr>
          <w:p w14:paraId="034E3C4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22-AEMF-E-GOB-042-086</w:t>
            </w:r>
          </w:p>
        </w:tc>
        <w:tc>
          <w:tcPr>
            <w:tcW w:w="1427" w:type="pct"/>
            <w:hideMark/>
          </w:tcPr>
          <w:p w14:paraId="6B6A649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Tecnológico Superior de Felipe Carrillo Puerto</w:t>
            </w:r>
          </w:p>
        </w:tc>
        <w:tc>
          <w:tcPr>
            <w:tcW w:w="1909" w:type="pct"/>
            <w:hideMark/>
          </w:tcPr>
          <w:p w14:paraId="6BA2B8C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5DAD721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C25702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87</w:t>
            </w:r>
          </w:p>
        </w:tc>
        <w:tc>
          <w:tcPr>
            <w:tcW w:w="1349" w:type="pct"/>
            <w:hideMark/>
          </w:tcPr>
          <w:p w14:paraId="734DB1C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22-AEMF-D-GOB-043-087</w:t>
            </w:r>
          </w:p>
        </w:tc>
        <w:tc>
          <w:tcPr>
            <w:tcW w:w="1427" w:type="pct"/>
            <w:hideMark/>
          </w:tcPr>
          <w:p w14:paraId="06A954E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Secretaría Ejecutiva del Sistema Anticorrupción del Estado</w:t>
            </w:r>
            <w:r w:rsidR="001376C7">
              <w:rPr>
                <w:rFonts w:ascii="Arial Narrow" w:eastAsia="Times New Roman" w:hAnsi="Arial Narrow" w:cs="Calibri"/>
                <w:color w:val="000000"/>
                <w:sz w:val="20"/>
                <w:szCs w:val="20"/>
                <w:lang w:eastAsia="es-MX"/>
              </w:rPr>
              <w:t xml:space="preserve"> </w:t>
            </w:r>
            <w:r w:rsidRPr="004D356B">
              <w:rPr>
                <w:rFonts w:ascii="Arial Narrow" w:eastAsia="Times New Roman" w:hAnsi="Arial Narrow" w:cs="Calibri"/>
                <w:color w:val="000000"/>
                <w:sz w:val="20"/>
                <w:szCs w:val="20"/>
                <w:lang w:eastAsia="es-MX"/>
              </w:rPr>
              <w:t>de Quintana Roo</w:t>
            </w:r>
          </w:p>
        </w:tc>
        <w:tc>
          <w:tcPr>
            <w:tcW w:w="1909" w:type="pct"/>
            <w:hideMark/>
          </w:tcPr>
          <w:p w14:paraId="292A7A9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219F340F"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1FF56B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88</w:t>
            </w:r>
          </w:p>
        </w:tc>
        <w:tc>
          <w:tcPr>
            <w:tcW w:w="1349" w:type="pct"/>
            <w:hideMark/>
          </w:tcPr>
          <w:p w14:paraId="1BAD98D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22-AEMF-C-GOB-044-088</w:t>
            </w:r>
          </w:p>
        </w:tc>
        <w:tc>
          <w:tcPr>
            <w:tcW w:w="1427" w:type="pct"/>
            <w:hideMark/>
          </w:tcPr>
          <w:p w14:paraId="6DCC85E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Secretariado Ejecutivo del Sistema Estatal de Seguridad Pública</w:t>
            </w:r>
          </w:p>
        </w:tc>
        <w:tc>
          <w:tcPr>
            <w:tcW w:w="1909" w:type="pct"/>
            <w:hideMark/>
          </w:tcPr>
          <w:p w14:paraId="5A3AECE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677CCD1F"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39CEAA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89</w:t>
            </w:r>
          </w:p>
        </w:tc>
        <w:tc>
          <w:tcPr>
            <w:tcW w:w="1349" w:type="pct"/>
            <w:hideMark/>
          </w:tcPr>
          <w:p w14:paraId="65E211C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22-AEMD-C-GOB-044-089</w:t>
            </w:r>
          </w:p>
        </w:tc>
        <w:tc>
          <w:tcPr>
            <w:tcW w:w="1427" w:type="pct"/>
            <w:hideMark/>
          </w:tcPr>
          <w:p w14:paraId="2CD00F4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Secretariado Ejecutivo del Sistema Estatal de Seguridad Pública</w:t>
            </w:r>
          </w:p>
        </w:tc>
        <w:tc>
          <w:tcPr>
            <w:tcW w:w="1909" w:type="pct"/>
            <w:hideMark/>
          </w:tcPr>
          <w:p w14:paraId="44E6DB6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objetivos y metas de programas presupuestarios.</w:t>
            </w:r>
          </w:p>
        </w:tc>
      </w:tr>
      <w:tr w:rsidR="001D4516" w:rsidRPr="00AD13AF" w14:paraId="161DBC5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9D6070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90</w:t>
            </w:r>
          </w:p>
        </w:tc>
        <w:tc>
          <w:tcPr>
            <w:tcW w:w="1349" w:type="pct"/>
            <w:hideMark/>
          </w:tcPr>
          <w:p w14:paraId="62D7D56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22-AEMF-E-GOB-045-090</w:t>
            </w:r>
          </w:p>
        </w:tc>
        <w:tc>
          <w:tcPr>
            <w:tcW w:w="1427" w:type="pct"/>
            <w:hideMark/>
          </w:tcPr>
          <w:p w14:paraId="0D21DB8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Servicios Educativos de Quintana Roo</w:t>
            </w:r>
          </w:p>
        </w:tc>
        <w:tc>
          <w:tcPr>
            <w:tcW w:w="1909" w:type="pct"/>
            <w:hideMark/>
          </w:tcPr>
          <w:p w14:paraId="66EFBC7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5D64BBD9"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DCFBF7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91</w:t>
            </w:r>
          </w:p>
        </w:tc>
        <w:tc>
          <w:tcPr>
            <w:tcW w:w="1349" w:type="pct"/>
            <w:hideMark/>
          </w:tcPr>
          <w:p w14:paraId="75F0C18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22-AEMF-E-GOB-045-091</w:t>
            </w:r>
          </w:p>
        </w:tc>
        <w:tc>
          <w:tcPr>
            <w:tcW w:w="1427" w:type="pct"/>
            <w:hideMark/>
          </w:tcPr>
          <w:p w14:paraId="303CF93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Servicios Educativos de Quintana Roo</w:t>
            </w:r>
          </w:p>
        </w:tc>
        <w:tc>
          <w:tcPr>
            <w:tcW w:w="1909" w:type="pct"/>
            <w:hideMark/>
          </w:tcPr>
          <w:p w14:paraId="2E325E9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2526F92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C87559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92</w:t>
            </w:r>
          </w:p>
        </w:tc>
        <w:tc>
          <w:tcPr>
            <w:tcW w:w="1349" w:type="pct"/>
            <w:hideMark/>
          </w:tcPr>
          <w:p w14:paraId="6EEC437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22-AEMF-C-GOB-046-092</w:t>
            </w:r>
          </w:p>
        </w:tc>
        <w:tc>
          <w:tcPr>
            <w:tcW w:w="1427" w:type="pct"/>
            <w:hideMark/>
          </w:tcPr>
          <w:p w14:paraId="78E45D5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Servicios Estatales de Salud</w:t>
            </w:r>
          </w:p>
        </w:tc>
        <w:tc>
          <w:tcPr>
            <w:tcW w:w="1909" w:type="pct"/>
            <w:hideMark/>
          </w:tcPr>
          <w:p w14:paraId="6BDD558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58CFE67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3322B2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93</w:t>
            </w:r>
          </w:p>
        </w:tc>
        <w:tc>
          <w:tcPr>
            <w:tcW w:w="1349" w:type="pct"/>
            <w:hideMark/>
          </w:tcPr>
          <w:p w14:paraId="16AE886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22-AEMF-C-GOB-046-093</w:t>
            </w:r>
          </w:p>
        </w:tc>
        <w:tc>
          <w:tcPr>
            <w:tcW w:w="1427" w:type="pct"/>
            <w:hideMark/>
          </w:tcPr>
          <w:p w14:paraId="40B2CBD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Servicios Estatales de Salud</w:t>
            </w:r>
          </w:p>
        </w:tc>
        <w:tc>
          <w:tcPr>
            <w:tcW w:w="1909" w:type="pct"/>
            <w:hideMark/>
          </w:tcPr>
          <w:p w14:paraId="26424EA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01E2C35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AC9F50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94</w:t>
            </w:r>
          </w:p>
        </w:tc>
        <w:tc>
          <w:tcPr>
            <w:tcW w:w="1349" w:type="pct"/>
            <w:hideMark/>
          </w:tcPr>
          <w:p w14:paraId="70C98FB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22-AEMD-A-GOB-046-094</w:t>
            </w:r>
          </w:p>
        </w:tc>
        <w:tc>
          <w:tcPr>
            <w:tcW w:w="1427" w:type="pct"/>
            <w:hideMark/>
          </w:tcPr>
          <w:p w14:paraId="7F9B439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Servicios Estatales de Salud</w:t>
            </w:r>
          </w:p>
        </w:tc>
        <w:tc>
          <w:tcPr>
            <w:tcW w:w="1909" w:type="pct"/>
            <w:hideMark/>
          </w:tcPr>
          <w:p w14:paraId="027C9EB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 la Atención de las Enfermedades Transmisibles.</w:t>
            </w:r>
          </w:p>
        </w:tc>
      </w:tr>
      <w:tr w:rsidR="001D4516" w:rsidRPr="00AD13AF" w14:paraId="4B5505A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36D35D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95</w:t>
            </w:r>
          </w:p>
        </w:tc>
        <w:tc>
          <w:tcPr>
            <w:tcW w:w="1349" w:type="pct"/>
            <w:hideMark/>
          </w:tcPr>
          <w:p w14:paraId="3FB7DB1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22-AEMOP-A-GOB-046-095</w:t>
            </w:r>
          </w:p>
        </w:tc>
        <w:tc>
          <w:tcPr>
            <w:tcW w:w="1427" w:type="pct"/>
            <w:hideMark/>
          </w:tcPr>
          <w:p w14:paraId="0B5CA6C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Servicios Estatales de Salud</w:t>
            </w:r>
          </w:p>
        </w:tc>
        <w:tc>
          <w:tcPr>
            <w:tcW w:w="1909" w:type="pct"/>
            <w:hideMark/>
          </w:tcPr>
          <w:p w14:paraId="7C75B95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Programa Estatal de Inversión (PEI 2020)</w:t>
            </w:r>
          </w:p>
        </w:tc>
      </w:tr>
      <w:tr w:rsidR="001D4516" w:rsidRPr="00AD13AF" w14:paraId="52F697B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7C745B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96</w:t>
            </w:r>
          </w:p>
        </w:tc>
        <w:tc>
          <w:tcPr>
            <w:tcW w:w="1349" w:type="pct"/>
            <w:hideMark/>
          </w:tcPr>
          <w:p w14:paraId="52CA5A1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22-AEMOP-A-GOB-046-096</w:t>
            </w:r>
          </w:p>
        </w:tc>
        <w:tc>
          <w:tcPr>
            <w:tcW w:w="1427" w:type="pct"/>
            <w:hideMark/>
          </w:tcPr>
          <w:p w14:paraId="37EF11A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Servicios Estatales de Salud</w:t>
            </w:r>
          </w:p>
        </w:tc>
        <w:tc>
          <w:tcPr>
            <w:tcW w:w="1909" w:type="pct"/>
            <w:hideMark/>
          </w:tcPr>
          <w:p w14:paraId="6985F43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de Libre Disposición de Origen Estatal 2022</w:t>
            </w:r>
          </w:p>
        </w:tc>
      </w:tr>
      <w:tr w:rsidR="001D4516" w:rsidRPr="00AD13AF" w14:paraId="07E81585"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926B74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97</w:t>
            </w:r>
          </w:p>
        </w:tc>
        <w:tc>
          <w:tcPr>
            <w:tcW w:w="1349" w:type="pct"/>
            <w:hideMark/>
          </w:tcPr>
          <w:p w14:paraId="3D52AF7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22-AEMOP-A-GOB-046-097</w:t>
            </w:r>
          </w:p>
        </w:tc>
        <w:tc>
          <w:tcPr>
            <w:tcW w:w="1427" w:type="pct"/>
            <w:hideMark/>
          </w:tcPr>
          <w:p w14:paraId="2821F4F8"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Servicios Estatales de Salud</w:t>
            </w:r>
          </w:p>
        </w:tc>
        <w:tc>
          <w:tcPr>
            <w:tcW w:w="1909" w:type="pct"/>
            <w:hideMark/>
          </w:tcPr>
          <w:p w14:paraId="39BFA34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Auditoría de Cumplimiento de Inversiones Físicas realizadas con Recursos del Fondo </w:t>
            </w:r>
            <w:r w:rsidRPr="004D356B">
              <w:rPr>
                <w:rFonts w:ascii="Arial Narrow" w:eastAsia="Times New Roman" w:hAnsi="Arial Narrow" w:cs="Calibri"/>
                <w:color w:val="000000"/>
                <w:sz w:val="20"/>
                <w:szCs w:val="20"/>
                <w:lang w:eastAsia="es-MX"/>
              </w:rPr>
              <w:lastRenderedPageBreak/>
              <w:t>de Aportaciones para el Fortalecimiento de las Entidades Federativas (FAFEF)</w:t>
            </w:r>
          </w:p>
        </w:tc>
      </w:tr>
      <w:tr w:rsidR="001D4516" w:rsidRPr="00AD13AF" w14:paraId="48ADE8CA"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D8E354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98</w:t>
            </w:r>
          </w:p>
        </w:tc>
        <w:tc>
          <w:tcPr>
            <w:tcW w:w="1349" w:type="pct"/>
            <w:hideMark/>
          </w:tcPr>
          <w:p w14:paraId="039FCEB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22-AEMOP-A-GOB-046-098</w:t>
            </w:r>
          </w:p>
        </w:tc>
        <w:tc>
          <w:tcPr>
            <w:tcW w:w="1427" w:type="pct"/>
            <w:hideMark/>
          </w:tcPr>
          <w:p w14:paraId="24C9691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Servicios Estatales de Salud</w:t>
            </w:r>
          </w:p>
        </w:tc>
        <w:tc>
          <w:tcPr>
            <w:tcW w:w="1909" w:type="pct"/>
            <w:hideMark/>
          </w:tcPr>
          <w:p w14:paraId="5DD17CC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del Fondo de Infraestructura Social para las Entidades (FISE)</w:t>
            </w:r>
          </w:p>
        </w:tc>
      </w:tr>
      <w:tr w:rsidR="001D4516" w:rsidRPr="00AD13AF" w14:paraId="2DCFCDE3"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2C8742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99</w:t>
            </w:r>
          </w:p>
        </w:tc>
        <w:tc>
          <w:tcPr>
            <w:tcW w:w="1349" w:type="pct"/>
            <w:hideMark/>
          </w:tcPr>
          <w:p w14:paraId="6F1E110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22-AEMF-C-GOB-047-099</w:t>
            </w:r>
          </w:p>
        </w:tc>
        <w:tc>
          <w:tcPr>
            <w:tcW w:w="1427" w:type="pct"/>
            <w:hideMark/>
          </w:tcPr>
          <w:p w14:paraId="6F7F3CB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Sistema para el Desarrollo Integral de la Familia del Estado de Quintana Roo</w:t>
            </w:r>
          </w:p>
        </w:tc>
        <w:tc>
          <w:tcPr>
            <w:tcW w:w="1909" w:type="pct"/>
            <w:hideMark/>
          </w:tcPr>
          <w:p w14:paraId="7F48FAF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232F5C57"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81A4B5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100</w:t>
            </w:r>
          </w:p>
        </w:tc>
        <w:tc>
          <w:tcPr>
            <w:tcW w:w="1349" w:type="pct"/>
            <w:hideMark/>
          </w:tcPr>
          <w:p w14:paraId="43C831B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22-AEMF-C-GOB-047-100</w:t>
            </w:r>
          </w:p>
        </w:tc>
        <w:tc>
          <w:tcPr>
            <w:tcW w:w="1427" w:type="pct"/>
            <w:hideMark/>
          </w:tcPr>
          <w:p w14:paraId="7227809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Sistema para el Desarrollo Integral de la Familia del Estado de Quintana Roo</w:t>
            </w:r>
          </w:p>
        </w:tc>
        <w:tc>
          <w:tcPr>
            <w:tcW w:w="1909" w:type="pct"/>
            <w:hideMark/>
          </w:tcPr>
          <w:p w14:paraId="707DBFA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297924D9"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AF63F4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101</w:t>
            </w:r>
          </w:p>
        </w:tc>
        <w:tc>
          <w:tcPr>
            <w:tcW w:w="1349" w:type="pct"/>
            <w:hideMark/>
          </w:tcPr>
          <w:p w14:paraId="03E5B60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22-AEMD-C-GOB-047-101</w:t>
            </w:r>
          </w:p>
        </w:tc>
        <w:tc>
          <w:tcPr>
            <w:tcW w:w="1427" w:type="pct"/>
            <w:hideMark/>
          </w:tcPr>
          <w:p w14:paraId="1E84BF2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Sistema para el Desarrollo Integral de la Familia del Estado de Quintana Roo</w:t>
            </w:r>
          </w:p>
        </w:tc>
        <w:tc>
          <w:tcPr>
            <w:tcW w:w="1909" w:type="pct"/>
            <w:hideMark/>
          </w:tcPr>
          <w:p w14:paraId="65A5ECC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Auditoría de Desempeño al cumplimiento de las funciones y acciones relacionadas al Acceso de las Mujeres a una Vida Libre de Violencia. </w:t>
            </w:r>
          </w:p>
        </w:tc>
      </w:tr>
      <w:tr w:rsidR="001D4516" w:rsidRPr="00AD13AF" w14:paraId="5D9FA27F"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787662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102</w:t>
            </w:r>
          </w:p>
        </w:tc>
        <w:tc>
          <w:tcPr>
            <w:tcW w:w="1349" w:type="pct"/>
            <w:hideMark/>
          </w:tcPr>
          <w:p w14:paraId="1066F7C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22-AEMF-E-GOB-048-102</w:t>
            </w:r>
          </w:p>
        </w:tc>
        <w:tc>
          <w:tcPr>
            <w:tcW w:w="1427" w:type="pct"/>
            <w:hideMark/>
          </w:tcPr>
          <w:p w14:paraId="593B7E2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Sistema Quintanarroense de Comunicación Social</w:t>
            </w:r>
          </w:p>
        </w:tc>
        <w:tc>
          <w:tcPr>
            <w:tcW w:w="1909" w:type="pct"/>
            <w:hideMark/>
          </w:tcPr>
          <w:p w14:paraId="5A64871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3D5BEF23"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029C8D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103</w:t>
            </w:r>
          </w:p>
        </w:tc>
        <w:tc>
          <w:tcPr>
            <w:tcW w:w="1349" w:type="pct"/>
            <w:hideMark/>
          </w:tcPr>
          <w:p w14:paraId="6E0BA13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22-AEMF-E-GOB-048-103</w:t>
            </w:r>
          </w:p>
        </w:tc>
        <w:tc>
          <w:tcPr>
            <w:tcW w:w="1427" w:type="pct"/>
            <w:hideMark/>
          </w:tcPr>
          <w:p w14:paraId="4F35DB5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Sistema Quintanarroense de Comunicación Social</w:t>
            </w:r>
          </w:p>
        </w:tc>
        <w:tc>
          <w:tcPr>
            <w:tcW w:w="1909" w:type="pct"/>
            <w:hideMark/>
          </w:tcPr>
          <w:p w14:paraId="602D1A6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661E8F8A"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AF1F14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104</w:t>
            </w:r>
          </w:p>
        </w:tc>
        <w:tc>
          <w:tcPr>
            <w:tcW w:w="1349" w:type="pct"/>
            <w:hideMark/>
          </w:tcPr>
          <w:p w14:paraId="7EC0EE6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22-AEMF-D-GOB-049-104</w:t>
            </w:r>
          </w:p>
        </w:tc>
        <w:tc>
          <w:tcPr>
            <w:tcW w:w="1427" w:type="pct"/>
            <w:hideMark/>
          </w:tcPr>
          <w:p w14:paraId="4A87C50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Universidad Autónoma de Quintana Roo</w:t>
            </w:r>
          </w:p>
        </w:tc>
        <w:tc>
          <w:tcPr>
            <w:tcW w:w="1909" w:type="pct"/>
            <w:hideMark/>
          </w:tcPr>
          <w:p w14:paraId="559F94D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320A1D4C"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D75963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105</w:t>
            </w:r>
          </w:p>
        </w:tc>
        <w:tc>
          <w:tcPr>
            <w:tcW w:w="1349" w:type="pct"/>
            <w:hideMark/>
          </w:tcPr>
          <w:p w14:paraId="6311C50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22-AEMF-D-GOB-049-105</w:t>
            </w:r>
          </w:p>
        </w:tc>
        <w:tc>
          <w:tcPr>
            <w:tcW w:w="1427" w:type="pct"/>
            <w:hideMark/>
          </w:tcPr>
          <w:p w14:paraId="3BC17F9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Universidad Autónoma de Quintana Roo</w:t>
            </w:r>
          </w:p>
        </w:tc>
        <w:tc>
          <w:tcPr>
            <w:tcW w:w="1909" w:type="pct"/>
            <w:hideMark/>
          </w:tcPr>
          <w:p w14:paraId="0948344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6278F54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912CB7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106</w:t>
            </w:r>
          </w:p>
        </w:tc>
        <w:tc>
          <w:tcPr>
            <w:tcW w:w="1349" w:type="pct"/>
            <w:hideMark/>
          </w:tcPr>
          <w:p w14:paraId="711492C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22-AEMF-D-GOB-050-106</w:t>
            </w:r>
          </w:p>
        </w:tc>
        <w:tc>
          <w:tcPr>
            <w:tcW w:w="1427" w:type="pct"/>
            <w:hideMark/>
          </w:tcPr>
          <w:p w14:paraId="3D4FFAD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Universidad del Caribe </w:t>
            </w:r>
          </w:p>
        </w:tc>
        <w:tc>
          <w:tcPr>
            <w:tcW w:w="1909" w:type="pct"/>
            <w:hideMark/>
          </w:tcPr>
          <w:p w14:paraId="4056F16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5CD506D4"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567A43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107</w:t>
            </w:r>
          </w:p>
        </w:tc>
        <w:tc>
          <w:tcPr>
            <w:tcW w:w="1349" w:type="pct"/>
            <w:hideMark/>
          </w:tcPr>
          <w:p w14:paraId="041323D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22-AEMF-D-GOB-050-107</w:t>
            </w:r>
          </w:p>
        </w:tc>
        <w:tc>
          <w:tcPr>
            <w:tcW w:w="1427" w:type="pct"/>
            <w:hideMark/>
          </w:tcPr>
          <w:p w14:paraId="6D5233A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Universidad del Caribe </w:t>
            </w:r>
          </w:p>
        </w:tc>
        <w:tc>
          <w:tcPr>
            <w:tcW w:w="1909" w:type="pct"/>
            <w:hideMark/>
          </w:tcPr>
          <w:p w14:paraId="0595BF3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05D6B825"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373E42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108</w:t>
            </w:r>
          </w:p>
        </w:tc>
        <w:tc>
          <w:tcPr>
            <w:tcW w:w="1349" w:type="pct"/>
            <w:hideMark/>
          </w:tcPr>
          <w:p w14:paraId="4004B70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22-AEMF-D-GOB-051-108</w:t>
            </w:r>
          </w:p>
        </w:tc>
        <w:tc>
          <w:tcPr>
            <w:tcW w:w="1427" w:type="pct"/>
            <w:hideMark/>
          </w:tcPr>
          <w:p w14:paraId="0FEDB7E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Universidad Intercultural Maya de Quintana Roo </w:t>
            </w:r>
          </w:p>
        </w:tc>
        <w:tc>
          <w:tcPr>
            <w:tcW w:w="1909" w:type="pct"/>
            <w:hideMark/>
          </w:tcPr>
          <w:p w14:paraId="2DB4A2C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5F097862"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96307D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109</w:t>
            </w:r>
          </w:p>
        </w:tc>
        <w:tc>
          <w:tcPr>
            <w:tcW w:w="1349" w:type="pct"/>
            <w:hideMark/>
          </w:tcPr>
          <w:p w14:paraId="0731410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22-AEMF-D-GOB-051-109</w:t>
            </w:r>
          </w:p>
        </w:tc>
        <w:tc>
          <w:tcPr>
            <w:tcW w:w="1427" w:type="pct"/>
            <w:hideMark/>
          </w:tcPr>
          <w:p w14:paraId="0798E65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Universidad Intercultural Maya de Quintana Roo </w:t>
            </w:r>
          </w:p>
        </w:tc>
        <w:tc>
          <w:tcPr>
            <w:tcW w:w="1909" w:type="pct"/>
            <w:hideMark/>
          </w:tcPr>
          <w:p w14:paraId="0FCA4D7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40E181DD"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95C385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110</w:t>
            </w:r>
          </w:p>
        </w:tc>
        <w:tc>
          <w:tcPr>
            <w:tcW w:w="1349" w:type="pct"/>
            <w:hideMark/>
          </w:tcPr>
          <w:p w14:paraId="31EB562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22-AEMF-D-GOB-052-110</w:t>
            </w:r>
          </w:p>
        </w:tc>
        <w:tc>
          <w:tcPr>
            <w:tcW w:w="1427" w:type="pct"/>
            <w:hideMark/>
          </w:tcPr>
          <w:p w14:paraId="2C54CE2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Universidad Politécnica de Bacalar</w:t>
            </w:r>
          </w:p>
        </w:tc>
        <w:tc>
          <w:tcPr>
            <w:tcW w:w="1909" w:type="pct"/>
            <w:hideMark/>
          </w:tcPr>
          <w:p w14:paraId="4C7508D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7E50EA11"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63FDFFE"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111</w:t>
            </w:r>
          </w:p>
        </w:tc>
        <w:tc>
          <w:tcPr>
            <w:tcW w:w="1349" w:type="pct"/>
            <w:hideMark/>
          </w:tcPr>
          <w:p w14:paraId="7B80CB8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22-AEMF-D-GOB-052-111</w:t>
            </w:r>
          </w:p>
        </w:tc>
        <w:tc>
          <w:tcPr>
            <w:tcW w:w="1427" w:type="pct"/>
            <w:hideMark/>
          </w:tcPr>
          <w:p w14:paraId="170D7D2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Universidad Politécnica de Bacalar</w:t>
            </w:r>
          </w:p>
        </w:tc>
        <w:tc>
          <w:tcPr>
            <w:tcW w:w="1909" w:type="pct"/>
            <w:hideMark/>
          </w:tcPr>
          <w:p w14:paraId="7B86D2C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3A2281B3"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1307D0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112</w:t>
            </w:r>
          </w:p>
        </w:tc>
        <w:tc>
          <w:tcPr>
            <w:tcW w:w="1349" w:type="pct"/>
            <w:hideMark/>
          </w:tcPr>
          <w:p w14:paraId="3C380EF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22-AEMD-C-GOB-052-112</w:t>
            </w:r>
          </w:p>
        </w:tc>
        <w:tc>
          <w:tcPr>
            <w:tcW w:w="1427" w:type="pct"/>
            <w:hideMark/>
          </w:tcPr>
          <w:p w14:paraId="4DA3DD4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Universidad Politécnica de Bacalar</w:t>
            </w:r>
          </w:p>
        </w:tc>
        <w:tc>
          <w:tcPr>
            <w:tcW w:w="1909" w:type="pct"/>
            <w:hideMark/>
          </w:tcPr>
          <w:p w14:paraId="226C91C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objetivos y metas de programas presupuestarios.</w:t>
            </w:r>
          </w:p>
        </w:tc>
      </w:tr>
      <w:tr w:rsidR="001D4516" w:rsidRPr="00AD13AF" w14:paraId="3FDAE12D"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8D67F2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113</w:t>
            </w:r>
          </w:p>
        </w:tc>
        <w:tc>
          <w:tcPr>
            <w:tcW w:w="1349" w:type="pct"/>
            <w:hideMark/>
          </w:tcPr>
          <w:p w14:paraId="37D8CDD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22-AEMF-D-GOB-053-113</w:t>
            </w:r>
          </w:p>
        </w:tc>
        <w:tc>
          <w:tcPr>
            <w:tcW w:w="1427" w:type="pct"/>
            <w:hideMark/>
          </w:tcPr>
          <w:p w14:paraId="135C8BD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Universidad Politécnica de Quintana Roo </w:t>
            </w:r>
          </w:p>
        </w:tc>
        <w:tc>
          <w:tcPr>
            <w:tcW w:w="1909" w:type="pct"/>
            <w:hideMark/>
          </w:tcPr>
          <w:p w14:paraId="606C8FF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2A011DF6"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AFD3FE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114</w:t>
            </w:r>
          </w:p>
        </w:tc>
        <w:tc>
          <w:tcPr>
            <w:tcW w:w="1349" w:type="pct"/>
            <w:hideMark/>
          </w:tcPr>
          <w:p w14:paraId="708988D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22-AEMF-D-GOB-053-114</w:t>
            </w:r>
          </w:p>
        </w:tc>
        <w:tc>
          <w:tcPr>
            <w:tcW w:w="1427" w:type="pct"/>
            <w:hideMark/>
          </w:tcPr>
          <w:p w14:paraId="6753669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Universidad Politécnica de Quintana Roo </w:t>
            </w:r>
          </w:p>
        </w:tc>
        <w:tc>
          <w:tcPr>
            <w:tcW w:w="1909" w:type="pct"/>
            <w:hideMark/>
          </w:tcPr>
          <w:p w14:paraId="05946C0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26B35641"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7E742E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115</w:t>
            </w:r>
          </w:p>
        </w:tc>
        <w:tc>
          <w:tcPr>
            <w:tcW w:w="1349" w:type="pct"/>
            <w:hideMark/>
          </w:tcPr>
          <w:p w14:paraId="4DFE7E4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22-AEMD-C-GOB-053-115</w:t>
            </w:r>
          </w:p>
        </w:tc>
        <w:tc>
          <w:tcPr>
            <w:tcW w:w="1427" w:type="pct"/>
            <w:hideMark/>
          </w:tcPr>
          <w:p w14:paraId="373EFB8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Universidad Politécnica de Quintana Roo </w:t>
            </w:r>
          </w:p>
        </w:tc>
        <w:tc>
          <w:tcPr>
            <w:tcW w:w="1909" w:type="pct"/>
            <w:hideMark/>
          </w:tcPr>
          <w:p w14:paraId="06452BF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objetivos y metas de programas presupuestarios.</w:t>
            </w:r>
          </w:p>
        </w:tc>
      </w:tr>
      <w:tr w:rsidR="001D4516" w:rsidRPr="00AD13AF" w14:paraId="1A17E7AD"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900BAB4"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116</w:t>
            </w:r>
          </w:p>
        </w:tc>
        <w:tc>
          <w:tcPr>
            <w:tcW w:w="1349" w:type="pct"/>
            <w:hideMark/>
          </w:tcPr>
          <w:p w14:paraId="3C0762F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22-AEMF-D-GOB-054-116</w:t>
            </w:r>
          </w:p>
        </w:tc>
        <w:tc>
          <w:tcPr>
            <w:tcW w:w="1427" w:type="pct"/>
            <w:hideMark/>
          </w:tcPr>
          <w:p w14:paraId="026D1DF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Universidad Tecnológica de Cancún </w:t>
            </w:r>
          </w:p>
        </w:tc>
        <w:tc>
          <w:tcPr>
            <w:tcW w:w="1909" w:type="pct"/>
            <w:hideMark/>
          </w:tcPr>
          <w:p w14:paraId="2F242E7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5A9D8EF3"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21F8AC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117</w:t>
            </w:r>
          </w:p>
        </w:tc>
        <w:tc>
          <w:tcPr>
            <w:tcW w:w="1349" w:type="pct"/>
            <w:hideMark/>
          </w:tcPr>
          <w:p w14:paraId="2F1CA1B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22-AEMF-D-GOB-054-117</w:t>
            </w:r>
          </w:p>
        </w:tc>
        <w:tc>
          <w:tcPr>
            <w:tcW w:w="1427" w:type="pct"/>
            <w:hideMark/>
          </w:tcPr>
          <w:p w14:paraId="787552C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Universidad Tecnológica de Cancún </w:t>
            </w:r>
          </w:p>
        </w:tc>
        <w:tc>
          <w:tcPr>
            <w:tcW w:w="1909" w:type="pct"/>
            <w:hideMark/>
          </w:tcPr>
          <w:p w14:paraId="47F69AC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55734FC8"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981F05E"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118</w:t>
            </w:r>
          </w:p>
        </w:tc>
        <w:tc>
          <w:tcPr>
            <w:tcW w:w="1349" w:type="pct"/>
            <w:hideMark/>
          </w:tcPr>
          <w:p w14:paraId="38EF3C2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22-AEMD-C-GOB-054-118</w:t>
            </w:r>
          </w:p>
        </w:tc>
        <w:tc>
          <w:tcPr>
            <w:tcW w:w="1427" w:type="pct"/>
            <w:hideMark/>
          </w:tcPr>
          <w:p w14:paraId="4CE3CDF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Universidad Tecnológica de Cancún </w:t>
            </w:r>
          </w:p>
        </w:tc>
        <w:tc>
          <w:tcPr>
            <w:tcW w:w="1909" w:type="pct"/>
            <w:hideMark/>
          </w:tcPr>
          <w:p w14:paraId="5A60FA6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objetivos y metas de programas presupuestarios.</w:t>
            </w:r>
          </w:p>
        </w:tc>
      </w:tr>
      <w:tr w:rsidR="001D4516" w:rsidRPr="00AD13AF" w14:paraId="09D4BE65"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3C889FE"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lastRenderedPageBreak/>
              <w:t>119</w:t>
            </w:r>
          </w:p>
        </w:tc>
        <w:tc>
          <w:tcPr>
            <w:tcW w:w="1349" w:type="pct"/>
            <w:hideMark/>
          </w:tcPr>
          <w:p w14:paraId="7F62A30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22-AEMF-D-GOB-055-119</w:t>
            </w:r>
          </w:p>
        </w:tc>
        <w:tc>
          <w:tcPr>
            <w:tcW w:w="1427" w:type="pct"/>
            <w:hideMark/>
          </w:tcPr>
          <w:p w14:paraId="0615F208"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Universidad Tecnológica de Chetumal</w:t>
            </w:r>
          </w:p>
        </w:tc>
        <w:tc>
          <w:tcPr>
            <w:tcW w:w="1909" w:type="pct"/>
            <w:hideMark/>
          </w:tcPr>
          <w:p w14:paraId="12F2DB5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5B98985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198E7D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120</w:t>
            </w:r>
          </w:p>
        </w:tc>
        <w:tc>
          <w:tcPr>
            <w:tcW w:w="1349" w:type="pct"/>
            <w:hideMark/>
          </w:tcPr>
          <w:p w14:paraId="22039B1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22-AEMF-D-GOB-055-120</w:t>
            </w:r>
          </w:p>
        </w:tc>
        <w:tc>
          <w:tcPr>
            <w:tcW w:w="1427" w:type="pct"/>
            <w:hideMark/>
          </w:tcPr>
          <w:p w14:paraId="7F62B09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Universidad Tecnológica de Chetumal</w:t>
            </w:r>
          </w:p>
        </w:tc>
        <w:tc>
          <w:tcPr>
            <w:tcW w:w="1909" w:type="pct"/>
            <w:hideMark/>
          </w:tcPr>
          <w:p w14:paraId="081D001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7B84F7D5"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81A223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121</w:t>
            </w:r>
          </w:p>
        </w:tc>
        <w:tc>
          <w:tcPr>
            <w:tcW w:w="1349" w:type="pct"/>
            <w:hideMark/>
          </w:tcPr>
          <w:p w14:paraId="6D9F908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22-AEMF-D-GOB-056-121</w:t>
            </w:r>
          </w:p>
        </w:tc>
        <w:tc>
          <w:tcPr>
            <w:tcW w:w="1427" w:type="pct"/>
            <w:hideMark/>
          </w:tcPr>
          <w:p w14:paraId="1D78E1F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Universidad Tecnológica de la Riviera Maya</w:t>
            </w:r>
          </w:p>
        </w:tc>
        <w:tc>
          <w:tcPr>
            <w:tcW w:w="1909" w:type="pct"/>
            <w:hideMark/>
          </w:tcPr>
          <w:p w14:paraId="41808BE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6F70E2C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724A66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122</w:t>
            </w:r>
          </w:p>
        </w:tc>
        <w:tc>
          <w:tcPr>
            <w:tcW w:w="1349" w:type="pct"/>
            <w:hideMark/>
          </w:tcPr>
          <w:p w14:paraId="1411B42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22-AEMF-D-GOB-056-122</w:t>
            </w:r>
          </w:p>
        </w:tc>
        <w:tc>
          <w:tcPr>
            <w:tcW w:w="1427" w:type="pct"/>
            <w:hideMark/>
          </w:tcPr>
          <w:p w14:paraId="063864F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Universidad Tecnológica de la Riviera Maya</w:t>
            </w:r>
          </w:p>
        </w:tc>
        <w:tc>
          <w:tcPr>
            <w:tcW w:w="1909" w:type="pct"/>
            <w:hideMark/>
          </w:tcPr>
          <w:p w14:paraId="3C85ADF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7704C07A"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8B9EA8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123</w:t>
            </w:r>
          </w:p>
        </w:tc>
        <w:tc>
          <w:tcPr>
            <w:tcW w:w="1349" w:type="pct"/>
            <w:hideMark/>
          </w:tcPr>
          <w:p w14:paraId="6F661F7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22-AEMF-C-GOB-057-123</w:t>
            </w:r>
          </w:p>
        </w:tc>
        <w:tc>
          <w:tcPr>
            <w:tcW w:w="1427" w:type="pct"/>
            <w:hideMark/>
          </w:tcPr>
          <w:p w14:paraId="3BD218C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VIP Servicios Aéreos Ejecutivos S.A. de C.V.</w:t>
            </w:r>
          </w:p>
        </w:tc>
        <w:tc>
          <w:tcPr>
            <w:tcW w:w="1909" w:type="pct"/>
            <w:hideMark/>
          </w:tcPr>
          <w:p w14:paraId="060E8B5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10D12055"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C58FEC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124</w:t>
            </w:r>
          </w:p>
        </w:tc>
        <w:tc>
          <w:tcPr>
            <w:tcW w:w="1349" w:type="pct"/>
            <w:hideMark/>
          </w:tcPr>
          <w:p w14:paraId="4D331F3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22-AEMF-C-GOB-057-124</w:t>
            </w:r>
          </w:p>
        </w:tc>
        <w:tc>
          <w:tcPr>
            <w:tcW w:w="1427" w:type="pct"/>
            <w:hideMark/>
          </w:tcPr>
          <w:p w14:paraId="3D42462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VIP Servicios Aéreos Ejecutivos S.A. de C.V.</w:t>
            </w:r>
          </w:p>
        </w:tc>
        <w:tc>
          <w:tcPr>
            <w:tcW w:w="1909" w:type="pct"/>
            <w:hideMark/>
          </w:tcPr>
          <w:p w14:paraId="328AC5C0"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0DA81E41"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1D21E9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125</w:t>
            </w:r>
          </w:p>
        </w:tc>
        <w:tc>
          <w:tcPr>
            <w:tcW w:w="1349" w:type="pct"/>
            <w:hideMark/>
          </w:tcPr>
          <w:p w14:paraId="34EC6C2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22-AEMF-D-GOB-058-125</w:t>
            </w:r>
          </w:p>
        </w:tc>
        <w:tc>
          <w:tcPr>
            <w:tcW w:w="1427" w:type="pct"/>
            <w:hideMark/>
          </w:tcPr>
          <w:p w14:paraId="6CFE2A8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Fondo de Apoyo al Programa Especial de Financiamiento a la Vivienda para el Magisterio del Estado de Quintana Roo</w:t>
            </w:r>
          </w:p>
        </w:tc>
        <w:tc>
          <w:tcPr>
            <w:tcW w:w="1909" w:type="pct"/>
            <w:hideMark/>
          </w:tcPr>
          <w:p w14:paraId="6DB32BE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7B21589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59D554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126</w:t>
            </w:r>
          </w:p>
        </w:tc>
        <w:tc>
          <w:tcPr>
            <w:tcW w:w="1349" w:type="pct"/>
            <w:hideMark/>
          </w:tcPr>
          <w:p w14:paraId="7FDDE22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22-AEMF-D-GOB-059-126</w:t>
            </w:r>
          </w:p>
        </w:tc>
        <w:tc>
          <w:tcPr>
            <w:tcW w:w="1427" w:type="pct"/>
            <w:hideMark/>
          </w:tcPr>
          <w:p w14:paraId="7E38FB8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Fideicomiso para la Operación del Programa de Tecnologías Educativas</w:t>
            </w:r>
            <w:r w:rsidR="001376C7">
              <w:rPr>
                <w:rFonts w:ascii="Arial Narrow" w:eastAsia="Times New Roman" w:hAnsi="Arial Narrow" w:cs="Calibri"/>
                <w:color w:val="000000"/>
                <w:sz w:val="20"/>
                <w:szCs w:val="20"/>
                <w:lang w:eastAsia="es-MX"/>
              </w:rPr>
              <w:t xml:space="preserve"> </w:t>
            </w:r>
            <w:r w:rsidRPr="004D356B">
              <w:rPr>
                <w:rFonts w:ascii="Arial Narrow" w:eastAsia="Times New Roman" w:hAnsi="Arial Narrow" w:cs="Calibri"/>
                <w:color w:val="000000"/>
                <w:sz w:val="20"/>
                <w:szCs w:val="20"/>
                <w:lang w:eastAsia="es-MX"/>
              </w:rPr>
              <w:t>y de la Información para el Magisterio de Educación Básica del Estado de Quintana Roo</w:t>
            </w:r>
          </w:p>
        </w:tc>
        <w:tc>
          <w:tcPr>
            <w:tcW w:w="1909" w:type="pct"/>
            <w:hideMark/>
          </w:tcPr>
          <w:p w14:paraId="6B17624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76B18220"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94F7D6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127</w:t>
            </w:r>
          </w:p>
        </w:tc>
        <w:tc>
          <w:tcPr>
            <w:tcW w:w="1349" w:type="pct"/>
            <w:hideMark/>
          </w:tcPr>
          <w:p w14:paraId="0989CFD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22-AEMF-C-GOB-060-127</w:t>
            </w:r>
          </w:p>
        </w:tc>
        <w:tc>
          <w:tcPr>
            <w:tcW w:w="1427" w:type="pct"/>
            <w:hideMark/>
          </w:tcPr>
          <w:p w14:paraId="06F6A67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Fondo de Fomento Agropecuario del Estado de Quintana Roo</w:t>
            </w:r>
          </w:p>
        </w:tc>
        <w:tc>
          <w:tcPr>
            <w:tcW w:w="1909" w:type="pct"/>
            <w:hideMark/>
          </w:tcPr>
          <w:p w14:paraId="3F5D3B1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564A2F18"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2DA077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128</w:t>
            </w:r>
          </w:p>
        </w:tc>
        <w:tc>
          <w:tcPr>
            <w:tcW w:w="1349" w:type="pct"/>
            <w:hideMark/>
          </w:tcPr>
          <w:p w14:paraId="515DA4E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22-AEMF-C-GOB-061-128</w:t>
            </w:r>
          </w:p>
        </w:tc>
        <w:tc>
          <w:tcPr>
            <w:tcW w:w="1427" w:type="pct"/>
            <w:hideMark/>
          </w:tcPr>
          <w:p w14:paraId="108C9DC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Fondo de Fomento para el Desarrollo Rural del Estado de Quintana Roo</w:t>
            </w:r>
          </w:p>
        </w:tc>
        <w:tc>
          <w:tcPr>
            <w:tcW w:w="1909" w:type="pct"/>
            <w:hideMark/>
          </w:tcPr>
          <w:p w14:paraId="7D8E471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4036E7D7"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6FDA1B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129</w:t>
            </w:r>
          </w:p>
        </w:tc>
        <w:tc>
          <w:tcPr>
            <w:tcW w:w="1349" w:type="pct"/>
            <w:hideMark/>
          </w:tcPr>
          <w:p w14:paraId="7B325FF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22-AEMF-C-GOB-062-129</w:t>
            </w:r>
          </w:p>
        </w:tc>
        <w:tc>
          <w:tcPr>
            <w:tcW w:w="1427" w:type="pct"/>
            <w:hideMark/>
          </w:tcPr>
          <w:p w14:paraId="5699843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Fondo de Garantía Líquida o Fuente Alterna de Pago del Estado de Quintana Roo</w:t>
            </w:r>
          </w:p>
        </w:tc>
        <w:tc>
          <w:tcPr>
            <w:tcW w:w="1909" w:type="pct"/>
            <w:hideMark/>
          </w:tcPr>
          <w:p w14:paraId="5A711B7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4AA5C02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568ED8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130</w:t>
            </w:r>
          </w:p>
        </w:tc>
        <w:tc>
          <w:tcPr>
            <w:tcW w:w="1349" w:type="pct"/>
            <w:hideMark/>
          </w:tcPr>
          <w:p w14:paraId="756C7C3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22-AEMF-D-GOB-101-130</w:t>
            </w:r>
          </w:p>
        </w:tc>
        <w:tc>
          <w:tcPr>
            <w:tcW w:w="1427" w:type="pct"/>
            <w:hideMark/>
          </w:tcPr>
          <w:p w14:paraId="5DE69B6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Fondo Mixto CONACYT-Gobierno del Estado de Quintana Roo</w:t>
            </w:r>
          </w:p>
        </w:tc>
        <w:tc>
          <w:tcPr>
            <w:tcW w:w="1909" w:type="pct"/>
            <w:hideMark/>
          </w:tcPr>
          <w:p w14:paraId="72E4B2A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1BEF6BCD"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3C86C5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131</w:t>
            </w:r>
          </w:p>
        </w:tc>
        <w:tc>
          <w:tcPr>
            <w:tcW w:w="1349" w:type="pct"/>
            <w:hideMark/>
          </w:tcPr>
          <w:p w14:paraId="4AF1CC0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22-AEMF-E-GOB-102-131</w:t>
            </w:r>
          </w:p>
        </w:tc>
        <w:tc>
          <w:tcPr>
            <w:tcW w:w="1427" w:type="pct"/>
            <w:hideMark/>
          </w:tcPr>
          <w:p w14:paraId="392C204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Centro de Conciliación Laboral del Estado de Quintana Roo</w:t>
            </w:r>
          </w:p>
        </w:tc>
        <w:tc>
          <w:tcPr>
            <w:tcW w:w="1909" w:type="pct"/>
            <w:hideMark/>
          </w:tcPr>
          <w:p w14:paraId="6CDE019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7134BAC2"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B0753A4"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132</w:t>
            </w:r>
          </w:p>
        </w:tc>
        <w:tc>
          <w:tcPr>
            <w:tcW w:w="1349" w:type="pct"/>
            <w:hideMark/>
          </w:tcPr>
          <w:p w14:paraId="73208EF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22-AEMF-E-GOB-102-132</w:t>
            </w:r>
          </w:p>
        </w:tc>
        <w:tc>
          <w:tcPr>
            <w:tcW w:w="1427" w:type="pct"/>
            <w:hideMark/>
          </w:tcPr>
          <w:p w14:paraId="4318C7F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Centro de Conciliación Laboral del Estado de Quintana Roo</w:t>
            </w:r>
          </w:p>
        </w:tc>
        <w:tc>
          <w:tcPr>
            <w:tcW w:w="1909" w:type="pct"/>
            <w:hideMark/>
          </w:tcPr>
          <w:p w14:paraId="28BCE1F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6CD8ECD5"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EED870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133</w:t>
            </w:r>
          </w:p>
        </w:tc>
        <w:tc>
          <w:tcPr>
            <w:tcW w:w="1349" w:type="pct"/>
            <w:hideMark/>
          </w:tcPr>
          <w:p w14:paraId="49612C2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22-AEMD-A-GOB-102-133</w:t>
            </w:r>
          </w:p>
        </w:tc>
        <w:tc>
          <w:tcPr>
            <w:tcW w:w="1427" w:type="pct"/>
            <w:hideMark/>
          </w:tcPr>
          <w:p w14:paraId="2FE862A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Centro de Conciliación Laboral del Estado de Quintana Roo</w:t>
            </w:r>
          </w:p>
        </w:tc>
        <w:tc>
          <w:tcPr>
            <w:tcW w:w="1909" w:type="pct"/>
            <w:hideMark/>
          </w:tcPr>
          <w:p w14:paraId="011DBC9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w:t>
            </w:r>
            <w:r w:rsidR="001376C7">
              <w:rPr>
                <w:rFonts w:ascii="Arial Narrow" w:eastAsia="Times New Roman" w:hAnsi="Arial Narrow" w:cs="Calibri"/>
                <w:color w:val="000000"/>
                <w:sz w:val="20"/>
                <w:szCs w:val="20"/>
                <w:lang w:eastAsia="es-MX"/>
              </w:rPr>
              <w:t xml:space="preserve"> </w:t>
            </w:r>
            <w:r w:rsidRPr="004D356B">
              <w:rPr>
                <w:rFonts w:ascii="Arial Narrow" w:eastAsia="Times New Roman" w:hAnsi="Arial Narrow" w:cs="Calibri"/>
                <w:color w:val="000000"/>
                <w:sz w:val="20"/>
                <w:szCs w:val="20"/>
                <w:lang w:eastAsia="es-MX"/>
              </w:rPr>
              <w:t>funciones sustantivas.</w:t>
            </w:r>
          </w:p>
        </w:tc>
      </w:tr>
      <w:tr w:rsidR="001D4516" w:rsidRPr="00AD13AF" w14:paraId="057A36A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9028A8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134</w:t>
            </w:r>
          </w:p>
        </w:tc>
        <w:tc>
          <w:tcPr>
            <w:tcW w:w="1349" w:type="pct"/>
            <w:hideMark/>
          </w:tcPr>
          <w:p w14:paraId="51888E9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22-AEMD-A-GOB-102-134</w:t>
            </w:r>
          </w:p>
        </w:tc>
        <w:tc>
          <w:tcPr>
            <w:tcW w:w="1427" w:type="pct"/>
            <w:hideMark/>
          </w:tcPr>
          <w:p w14:paraId="7ED3303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Centro de Conciliación Laboral del Estado de Quintana Roo</w:t>
            </w:r>
          </w:p>
        </w:tc>
        <w:tc>
          <w:tcPr>
            <w:tcW w:w="1909" w:type="pct"/>
            <w:hideMark/>
          </w:tcPr>
          <w:p w14:paraId="06EE77E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del cumplimiento de objetivos y metas de programas presupuestarios.</w:t>
            </w:r>
          </w:p>
        </w:tc>
      </w:tr>
      <w:tr w:rsidR="001D4516" w:rsidRPr="00AD13AF" w14:paraId="0A652642"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C906450" w14:textId="77777777" w:rsidR="001D4516" w:rsidRPr="00AD13AF" w:rsidRDefault="001D4516" w:rsidP="001F49A3">
            <w:pPr>
              <w:rPr>
                <w:rFonts w:cs="Calibri"/>
                <w:sz w:val="20"/>
                <w:szCs w:val="20"/>
              </w:rPr>
            </w:pPr>
            <w:r w:rsidRPr="00AD13AF">
              <w:rPr>
                <w:rFonts w:cs="Calibri"/>
                <w:sz w:val="20"/>
                <w:szCs w:val="20"/>
              </w:rPr>
              <w:t>ÓRGANOS AUTÓNOMOS</w:t>
            </w:r>
          </w:p>
        </w:tc>
      </w:tr>
      <w:tr w:rsidR="001D4516" w:rsidRPr="00AD13AF" w14:paraId="0FC42B2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579799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135</w:t>
            </w:r>
          </w:p>
        </w:tc>
        <w:tc>
          <w:tcPr>
            <w:tcW w:w="1349" w:type="pct"/>
            <w:hideMark/>
          </w:tcPr>
          <w:p w14:paraId="003B220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22-AEMF-E-GOB-063-135</w:t>
            </w:r>
          </w:p>
        </w:tc>
        <w:tc>
          <w:tcPr>
            <w:tcW w:w="1427" w:type="pct"/>
            <w:hideMark/>
          </w:tcPr>
          <w:p w14:paraId="77951D8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Comisión de los Derechos Humanos del Estado de Quintana Roo</w:t>
            </w:r>
          </w:p>
        </w:tc>
        <w:tc>
          <w:tcPr>
            <w:tcW w:w="1909" w:type="pct"/>
            <w:hideMark/>
          </w:tcPr>
          <w:p w14:paraId="2E9B1D6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46F27509"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3B72644"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136</w:t>
            </w:r>
          </w:p>
        </w:tc>
        <w:tc>
          <w:tcPr>
            <w:tcW w:w="1349" w:type="pct"/>
            <w:hideMark/>
          </w:tcPr>
          <w:p w14:paraId="5443EF0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22-AEMF-E-GOB-063-136</w:t>
            </w:r>
          </w:p>
        </w:tc>
        <w:tc>
          <w:tcPr>
            <w:tcW w:w="1427" w:type="pct"/>
            <w:hideMark/>
          </w:tcPr>
          <w:p w14:paraId="4D35777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Comisión de los Derechos Humanos del Estado de Quintana Roo</w:t>
            </w:r>
          </w:p>
        </w:tc>
        <w:tc>
          <w:tcPr>
            <w:tcW w:w="1909" w:type="pct"/>
            <w:hideMark/>
          </w:tcPr>
          <w:p w14:paraId="1734281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20AB341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E80B814"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137</w:t>
            </w:r>
          </w:p>
        </w:tc>
        <w:tc>
          <w:tcPr>
            <w:tcW w:w="1349" w:type="pct"/>
            <w:hideMark/>
          </w:tcPr>
          <w:p w14:paraId="0B22C0F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22-AEMF-E-GOB-064-137</w:t>
            </w:r>
          </w:p>
        </w:tc>
        <w:tc>
          <w:tcPr>
            <w:tcW w:w="1427" w:type="pct"/>
            <w:hideMark/>
          </w:tcPr>
          <w:p w14:paraId="4F528F10"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Fiscalía General del Estado de Quintana Roo</w:t>
            </w:r>
          </w:p>
        </w:tc>
        <w:tc>
          <w:tcPr>
            <w:tcW w:w="1909" w:type="pct"/>
            <w:hideMark/>
          </w:tcPr>
          <w:p w14:paraId="2D473AE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389C3B8C"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2FB1CF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lastRenderedPageBreak/>
              <w:t>138</w:t>
            </w:r>
          </w:p>
        </w:tc>
        <w:tc>
          <w:tcPr>
            <w:tcW w:w="1349" w:type="pct"/>
            <w:hideMark/>
          </w:tcPr>
          <w:p w14:paraId="5693272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22-AEMF-E-GOB-064-138</w:t>
            </w:r>
          </w:p>
        </w:tc>
        <w:tc>
          <w:tcPr>
            <w:tcW w:w="1427" w:type="pct"/>
            <w:hideMark/>
          </w:tcPr>
          <w:p w14:paraId="665264A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Fiscalía General del Estado de Quintana Roo</w:t>
            </w:r>
          </w:p>
        </w:tc>
        <w:tc>
          <w:tcPr>
            <w:tcW w:w="1909" w:type="pct"/>
            <w:hideMark/>
          </w:tcPr>
          <w:p w14:paraId="01EB3D5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7E33B9A2"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CA52BA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139</w:t>
            </w:r>
          </w:p>
        </w:tc>
        <w:tc>
          <w:tcPr>
            <w:tcW w:w="1349" w:type="pct"/>
            <w:hideMark/>
          </w:tcPr>
          <w:p w14:paraId="47885C3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22-AEMD-C-GOB-064-139</w:t>
            </w:r>
          </w:p>
        </w:tc>
        <w:tc>
          <w:tcPr>
            <w:tcW w:w="1427" w:type="pct"/>
            <w:hideMark/>
          </w:tcPr>
          <w:p w14:paraId="55468CC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Fiscalía General del Estado de Quintana Roo</w:t>
            </w:r>
          </w:p>
        </w:tc>
        <w:tc>
          <w:tcPr>
            <w:tcW w:w="1909" w:type="pct"/>
            <w:hideMark/>
          </w:tcPr>
          <w:p w14:paraId="0E94D17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Auditoría de Desempeño al cumplimiento de las funciones y acciones relacionadas al Acceso de las Mujeres a una Vida Libre de Violencia. </w:t>
            </w:r>
          </w:p>
        </w:tc>
      </w:tr>
      <w:tr w:rsidR="001D4516" w:rsidRPr="00AD13AF" w14:paraId="55BFDA7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165770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140</w:t>
            </w:r>
          </w:p>
        </w:tc>
        <w:tc>
          <w:tcPr>
            <w:tcW w:w="1349" w:type="pct"/>
            <w:hideMark/>
          </w:tcPr>
          <w:p w14:paraId="4C945F6C"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22-AEMOP-A-GOB-064-140</w:t>
            </w:r>
          </w:p>
        </w:tc>
        <w:tc>
          <w:tcPr>
            <w:tcW w:w="1427" w:type="pct"/>
            <w:hideMark/>
          </w:tcPr>
          <w:p w14:paraId="731D933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Fiscalía General del Estado de Quintana Roo</w:t>
            </w:r>
          </w:p>
        </w:tc>
        <w:tc>
          <w:tcPr>
            <w:tcW w:w="1909" w:type="pct"/>
            <w:hideMark/>
          </w:tcPr>
          <w:p w14:paraId="50A49A4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de Libre Disposición de Origen Estatal</w:t>
            </w:r>
          </w:p>
        </w:tc>
      </w:tr>
      <w:tr w:rsidR="001D4516" w:rsidRPr="00AD13AF" w14:paraId="214DF691"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C2D731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141</w:t>
            </w:r>
          </w:p>
        </w:tc>
        <w:tc>
          <w:tcPr>
            <w:tcW w:w="1349" w:type="pct"/>
            <w:hideMark/>
          </w:tcPr>
          <w:p w14:paraId="36A5A52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22-AEMOP-A-GOB-064-141</w:t>
            </w:r>
          </w:p>
        </w:tc>
        <w:tc>
          <w:tcPr>
            <w:tcW w:w="1427" w:type="pct"/>
            <w:hideMark/>
          </w:tcPr>
          <w:p w14:paraId="0BBDBAE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Fiscalía General del Estado de Quintana Roo</w:t>
            </w:r>
          </w:p>
        </w:tc>
        <w:tc>
          <w:tcPr>
            <w:tcW w:w="1909" w:type="pct"/>
            <w:hideMark/>
          </w:tcPr>
          <w:p w14:paraId="08B84C2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del Fondo de Aportaciones para el Fortalecimiento de las Entidades Federativas (FAFEF)</w:t>
            </w:r>
          </w:p>
        </w:tc>
      </w:tr>
      <w:tr w:rsidR="001D4516" w:rsidRPr="00AD13AF" w14:paraId="3154A50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6F8EB5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142</w:t>
            </w:r>
          </w:p>
        </w:tc>
        <w:tc>
          <w:tcPr>
            <w:tcW w:w="1349" w:type="pct"/>
            <w:hideMark/>
          </w:tcPr>
          <w:p w14:paraId="5668900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22-AEMF-C-GOB-065-142</w:t>
            </w:r>
          </w:p>
        </w:tc>
        <w:tc>
          <w:tcPr>
            <w:tcW w:w="1427" w:type="pct"/>
            <w:hideMark/>
          </w:tcPr>
          <w:p w14:paraId="046AB50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Instituto de Acceso a la Información y Protección de Datos Personales de Quintana Roo</w:t>
            </w:r>
          </w:p>
        </w:tc>
        <w:tc>
          <w:tcPr>
            <w:tcW w:w="1909" w:type="pct"/>
            <w:hideMark/>
          </w:tcPr>
          <w:p w14:paraId="0CAF04B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65EA717D"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74C523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143</w:t>
            </w:r>
          </w:p>
        </w:tc>
        <w:tc>
          <w:tcPr>
            <w:tcW w:w="1349" w:type="pct"/>
            <w:hideMark/>
          </w:tcPr>
          <w:p w14:paraId="65F9E84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22-AEMF-C-GOB-066-143</w:t>
            </w:r>
          </w:p>
        </w:tc>
        <w:tc>
          <w:tcPr>
            <w:tcW w:w="1427" w:type="pct"/>
            <w:hideMark/>
          </w:tcPr>
          <w:p w14:paraId="3F51F59E"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Instituto Electoral de Quintana Roo </w:t>
            </w:r>
          </w:p>
        </w:tc>
        <w:tc>
          <w:tcPr>
            <w:tcW w:w="1909" w:type="pct"/>
            <w:hideMark/>
          </w:tcPr>
          <w:p w14:paraId="46487CD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46F8CEBA"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E10AE6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144</w:t>
            </w:r>
          </w:p>
        </w:tc>
        <w:tc>
          <w:tcPr>
            <w:tcW w:w="1349" w:type="pct"/>
            <w:hideMark/>
          </w:tcPr>
          <w:p w14:paraId="10FEEDF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22-AEMF-C-GOB-067-144</w:t>
            </w:r>
          </w:p>
        </w:tc>
        <w:tc>
          <w:tcPr>
            <w:tcW w:w="1427" w:type="pct"/>
            <w:hideMark/>
          </w:tcPr>
          <w:p w14:paraId="1EFC336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Tribunal de Justicia Administrativa</w:t>
            </w:r>
            <w:r w:rsidR="001376C7">
              <w:rPr>
                <w:rFonts w:ascii="Arial Narrow" w:eastAsia="Times New Roman" w:hAnsi="Arial Narrow" w:cs="Calibri"/>
                <w:color w:val="000000"/>
                <w:sz w:val="20"/>
                <w:szCs w:val="20"/>
                <w:lang w:eastAsia="es-MX"/>
              </w:rPr>
              <w:t xml:space="preserve"> </w:t>
            </w:r>
            <w:r w:rsidRPr="004D356B">
              <w:rPr>
                <w:rFonts w:ascii="Arial Narrow" w:eastAsia="Times New Roman" w:hAnsi="Arial Narrow" w:cs="Calibri"/>
                <w:color w:val="000000"/>
                <w:sz w:val="20"/>
                <w:szCs w:val="20"/>
                <w:lang w:eastAsia="es-MX"/>
              </w:rPr>
              <w:t>del Estado de Quintana Roo</w:t>
            </w:r>
          </w:p>
        </w:tc>
        <w:tc>
          <w:tcPr>
            <w:tcW w:w="1909" w:type="pct"/>
            <w:hideMark/>
          </w:tcPr>
          <w:p w14:paraId="4C4D27B3"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666AF2F1"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21F811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145</w:t>
            </w:r>
          </w:p>
        </w:tc>
        <w:tc>
          <w:tcPr>
            <w:tcW w:w="1349" w:type="pct"/>
            <w:hideMark/>
          </w:tcPr>
          <w:p w14:paraId="1DA8798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22-AEMD-A-GOB-067-145</w:t>
            </w:r>
          </w:p>
        </w:tc>
        <w:tc>
          <w:tcPr>
            <w:tcW w:w="1427" w:type="pct"/>
            <w:hideMark/>
          </w:tcPr>
          <w:p w14:paraId="634AAA3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Tribunal de Justicia Administrativa</w:t>
            </w:r>
            <w:r w:rsidR="001376C7">
              <w:rPr>
                <w:rFonts w:ascii="Arial Narrow" w:eastAsia="Times New Roman" w:hAnsi="Arial Narrow" w:cs="Calibri"/>
                <w:color w:val="000000"/>
                <w:sz w:val="20"/>
                <w:szCs w:val="20"/>
                <w:lang w:eastAsia="es-MX"/>
              </w:rPr>
              <w:t xml:space="preserve"> </w:t>
            </w:r>
            <w:r w:rsidRPr="004D356B">
              <w:rPr>
                <w:rFonts w:ascii="Arial Narrow" w:eastAsia="Times New Roman" w:hAnsi="Arial Narrow" w:cs="Calibri"/>
                <w:color w:val="000000"/>
                <w:sz w:val="20"/>
                <w:szCs w:val="20"/>
                <w:lang w:eastAsia="es-MX"/>
              </w:rPr>
              <w:t>del Estado de Quintana Roo</w:t>
            </w:r>
          </w:p>
        </w:tc>
        <w:tc>
          <w:tcPr>
            <w:tcW w:w="1909" w:type="pct"/>
            <w:hideMark/>
          </w:tcPr>
          <w:p w14:paraId="427039E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cumplimiento de objetivos y metas de programas presupuestarios.</w:t>
            </w:r>
          </w:p>
        </w:tc>
      </w:tr>
      <w:tr w:rsidR="001D4516" w:rsidRPr="00AD13AF" w14:paraId="5CF32424"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FF6EA1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146</w:t>
            </w:r>
          </w:p>
        </w:tc>
        <w:tc>
          <w:tcPr>
            <w:tcW w:w="1349" w:type="pct"/>
            <w:hideMark/>
          </w:tcPr>
          <w:p w14:paraId="2E7EFC0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22-AEMD-A-GOB-067-146</w:t>
            </w:r>
          </w:p>
        </w:tc>
        <w:tc>
          <w:tcPr>
            <w:tcW w:w="1427" w:type="pct"/>
            <w:hideMark/>
          </w:tcPr>
          <w:p w14:paraId="589653B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Tribunal de Justicia Administrativa</w:t>
            </w:r>
            <w:r w:rsidR="001376C7">
              <w:rPr>
                <w:rFonts w:ascii="Arial Narrow" w:eastAsia="Times New Roman" w:hAnsi="Arial Narrow" w:cs="Calibri"/>
                <w:color w:val="000000"/>
                <w:sz w:val="20"/>
                <w:szCs w:val="20"/>
                <w:lang w:eastAsia="es-MX"/>
              </w:rPr>
              <w:t xml:space="preserve"> </w:t>
            </w:r>
            <w:r w:rsidRPr="004D356B">
              <w:rPr>
                <w:rFonts w:ascii="Arial Narrow" w:eastAsia="Times New Roman" w:hAnsi="Arial Narrow" w:cs="Calibri"/>
                <w:color w:val="000000"/>
                <w:sz w:val="20"/>
                <w:szCs w:val="20"/>
                <w:lang w:eastAsia="es-MX"/>
              </w:rPr>
              <w:t>del Estado de Quintana Roo</w:t>
            </w:r>
          </w:p>
        </w:tc>
        <w:tc>
          <w:tcPr>
            <w:tcW w:w="1909" w:type="pct"/>
            <w:hideMark/>
          </w:tcPr>
          <w:p w14:paraId="1A161A1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Impartición de Justicia Administrativa.</w:t>
            </w:r>
          </w:p>
        </w:tc>
      </w:tr>
      <w:tr w:rsidR="001D4516" w:rsidRPr="00AD13AF" w14:paraId="5BA8DF0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6BE5FB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147</w:t>
            </w:r>
          </w:p>
        </w:tc>
        <w:tc>
          <w:tcPr>
            <w:tcW w:w="1349" w:type="pct"/>
            <w:hideMark/>
          </w:tcPr>
          <w:p w14:paraId="006B5CEF"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22-AEMF-C-GOB-068-147</w:t>
            </w:r>
          </w:p>
        </w:tc>
        <w:tc>
          <w:tcPr>
            <w:tcW w:w="1427" w:type="pct"/>
            <w:hideMark/>
          </w:tcPr>
          <w:p w14:paraId="31D8E1C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Tribunal Electoral de Quintana Roo</w:t>
            </w:r>
          </w:p>
        </w:tc>
        <w:tc>
          <w:tcPr>
            <w:tcW w:w="1909" w:type="pct"/>
            <w:hideMark/>
          </w:tcPr>
          <w:p w14:paraId="6859E4B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1C963121"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788189F3" w14:textId="77777777" w:rsidR="001D4516" w:rsidRPr="00AD13AF" w:rsidRDefault="001D4516" w:rsidP="001F49A3">
            <w:pPr>
              <w:rPr>
                <w:rFonts w:cs="Calibri"/>
                <w:sz w:val="20"/>
                <w:szCs w:val="20"/>
              </w:rPr>
            </w:pPr>
            <w:r w:rsidRPr="00AD13AF">
              <w:rPr>
                <w:rFonts w:cs="Calibri"/>
                <w:sz w:val="20"/>
                <w:szCs w:val="20"/>
              </w:rPr>
              <w:t>AYUNTAMIENTOS</w:t>
            </w:r>
          </w:p>
        </w:tc>
      </w:tr>
      <w:tr w:rsidR="001D4516" w:rsidRPr="00AD13AF" w14:paraId="5F4BB50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8E7909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148</w:t>
            </w:r>
          </w:p>
        </w:tc>
        <w:tc>
          <w:tcPr>
            <w:tcW w:w="1349" w:type="pct"/>
            <w:hideMark/>
          </w:tcPr>
          <w:p w14:paraId="76A29CE9"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22-AEMF-A-GOB-069-148</w:t>
            </w:r>
          </w:p>
        </w:tc>
        <w:tc>
          <w:tcPr>
            <w:tcW w:w="1427" w:type="pct"/>
            <w:hideMark/>
          </w:tcPr>
          <w:p w14:paraId="576A8F5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Ayuntamiento del Municipio de Bacalar</w:t>
            </w:r>
          </w:p>
        </w:tc>
        <w:tc>
          <w:tcPr>
            <w:tcW w:w="1909" w:type="pct"/>
            <w:hideMark/>
          </w:tcPr>
          <w:p w14:paraId="2E0A6183"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40B397FF"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66DCB7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149</w:t>
            </w:r>
          </w:p>
        </w:tc>
        <w:tc>
          <w:tcPr>
            <w:tcW w:w="1349" w:type="pct"/>
            <w:hideMark/>
          </w:tcPr>
          <w:p w14:paraId="6D22F42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22-AEMF-A-GOB-069-149</w:t>
            </w:r>
          </w:p>
        </w:tc>
        <w:tc>
          <w:tcPr>
            <w:tcW w:w="1427" w:type="pct"/>
            <w:hideMark/>
          </w:tcPr>
          <w:p w14:paraId="70FDAC9F"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Ayuntamiento del Municipio de Bacalar</w:t>
            </w:r>
          </w:p>
        </w:tc>
        <w:tc>
          <w:tcPr>
            <w:tcW w:w="1909" w:type="pct"/>
            <w:hideMark/>
          </w:tcPr>
          <w:p w14:paraId="4ED446F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5586B7D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4DAEDC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150</w:t>
            </w:r>
          </w:p>
        </w:tc>
        <w:tc>
          <w:tcPr>
            <w:tcW w:w="1349" w:type="pct"/>
            <w:hideMark/>
          </w:tcPr>
          <w:p w14:paraId="1DE194F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22-AEMD-B-GOB-069-150</w:t>
            </w:r>
          </w:p>
        </w:tc>
        <w:tc>
          <w:tcPr>
            <w:tcW w:w="1427" w:type="pct"/>
            <w:hideMark/>
          </w:tcPr>
          <w:p w14:paraId="721D5445"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Ayuntamiento del Municipio de Bacalar</w:t>
            </w:r>
          </w:p>
        </w:tc>
        <w:tc>
          <w:tcPr>
            <w:tcW w:w="1909" w:type="pct"/>
            <w:hideMark/>
          </w:tcPr>
          <w:p w14:paraId="6A36DB44"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 las acciones de protección civil en materia de mitigación y prevención de riesgos.</w:t>
            </w:r>
          </w:p>
        </w:tc>
      </w:tr>
      <w:tr w:rsidR="001D4516" w:rsidRPr="00AD13AF" w14:paraId="4C95C4F7"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C4686E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151</w:t>
            </w:r>
          </w:p>
        </w:tc>
        <w:tc>
          <w:tcPr>
            <w:tcW w:w="1349" w:type="pct"/>
            <w:hideMark/>
          </w:tcPr>
          <w:p w14:paraId="28B2D5D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22-AEMOP-A-GOB-069-151</w:t>
            </w:r>
          </w:p>
        </w:tc>
        <w:tc>
          <w:tcPr>
            <w:tcW w:w="1427" w:type="pct"/>
            <w:hideMark/>
          </w:tcPr>
          <w:p w14:paraId="6FC2653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Ayuntamiento del Municipio de Bacalar</w:t>
            </w:r>
          </w:p>
        </w:tc>
        <w:tc>
          <w:tcPr>
            <w:tcW w:w="1909" w:type="pct"/>
            <w:hideMark/>
          </w:tcPr>
          <w:p w14:paraId="0FB27741"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Ingresos Propios</w:t>
            </w:r>
          </w:p>
        </w:tc>
      </w:tr>
      <w:tr w:rsidR="001D4516" w:rsidRPr="00AD13AF" w14:paraId="618DEF4F"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8B2151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152</w:t>
            </w:r>
          </w:p>
        </w:tc>
        <w:tc>
          <w:tcPr>
            <w:tcW w:w="1349" w:type="pct"/>
            <w:hideMark/>
          </w:tcPr>
          <w:p w14:paraId="52DFF9A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22-AEMOP-A-GOB-069-152</w:t>
            </w:r>
          </w:p>
        </w:tc>
        <w:tc>
          <w:tcPr>
            <w:tcW w:w="1427" w:type="pct"/>
            <w:hideMark/>
          </w:tcPr>
          <w:p w14:paraId="7578935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Ayuntamiento del Municipio de Bacalar</w:t>
            </w:r>
          </w:p>
        </w:tc>
        <w:tc>
          <w:tcPr>
            <w:tcW w:w="1909" w:type="pct"/>
            <w:hideMark/>
          </w:tcPr>
          <w:p w14:paraId="2DBA5CF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del Fondo de Aportaciones para el Fortalecimiento de los Municipios y de las Demarcaciones Territoriales del Distrito Federal (FORTAMUN-DF)</w:t>
            </w:r>
          </w:p>
        </w:tc>
      </w:tr>
      <w:tr w:rsidR="001D4516" w:rsidRPr="00AD13AF" w14:paraId="16066638"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D2299A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153</w:t>
            </w:r>
          </w:p>
        </w:tc>
        <w:tc>
          <w:tcPr>
            <w:tcW w:w="1349" w:type="pct"/>
            <w:hideMark/>
          </w:tcPr>
          <w:p w14:paraId="536D10A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22-AEMOP-A-GOB-069-153</w:t>
            </w:r>
          </w:p>
        </w:tc>
        <w:tc>
          <w:tcPr>
            <w:tcW w:w="1427" w:type="pct"/>
            <w:hideMark/>
          </w:tcPr>
          <w:p w14:paraId="1A24BBF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Ayuntamiento del Municipio de Bacalar</w:t>
            </w:r>
          </w:p>
        </w:tc>
        <w:tc>
          <w:tcPr>
            <w:tcW w:w="1909" w:type="pct"/>
            <w:hideMark/>
          </w:tcPr>
          <w:p w14:paraId="0E4C091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de Inversiones Físicas realizadas con Recursos del Fondo de Aportaciones para la Infraestructura Social Municipal y de las Demarcaciones Territoriales del Distrito Federal (FISM-DF)</w:t>
            </w:r>
          </w:p>
        </w:tc>
      </w:tr>
      <w:tr w:rsidR="001D4516" w:rsidRPr="00AD13AF" w14:paraId="40C91F4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E8C2D2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154</w:t>
            </w:r>
          </w:p>
        </w:tc>
        <w:tc>
          <w:tcPr>
            <w:tcW w:w="1349" w:type="pct"/>
            <w:hideMark/>
          </w:tcPr>
          <w:p w14:paraId="32AD6E4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22-AEMF-A-GOB-070-154</w:t>
            </w:r>
          </w:p>
        </w:tc>
        <w:tc>
          <w:tcPr>
            <w:tcW w:w="1427" w:type="pct"/>
            <w:hideMark/>
          </w:tcPr>
          <w:p w14:paraId="426CD20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Ayuntamiento del Municipio de Benito Juárez</w:t>
            </w:r>
          </w:p>
        </w:tc>
        <w:tc>
          <w:tcPr>
            <w:tcW w:w="1909" w:type="pct"/>
            <w:hideMark/>
          </w:tcPr>
          <w:p w14:paraId="63C2BC9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66F22CB2"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EC2CD3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lastRenderedPageBreak/>
              <w:t>155</w:t>
            </w:r>
          </w:p>
        </w:tc>
        <w:tc>
          <w:tcPr>
            <w:tcW w:w="1349" w:type="pct"/>
            <w:hideMark/>
          </w:tcPr>
          <w:p w14:paraId="1248E8E5"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22-AEMF-A-GOB-070-155</w:t>
            </w:r>
          </w:p>
        </w:tc>
        <w:tc>
          <w:tcPr>
            <w:tcW w:w="1427" w:type="pct"/>
            <w:hideMark/>
          </w:tcPr>
          <w:p w14:paraId="121B482D"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Ayuntamiento del Municipio de Benito Juárez</w:t>
            </w:r>
          </w:p>
        </w:tc>
        <w:tc>
          <w:tcPr>
            <w:tcW w:w="1909" w:type="pct"/>
            <w:hideMark/>
          </w:tcPr>
          <w:p w14:paraId="3BAC958E"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51F01EF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3A986C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156</w:t>
            </w:r>
          </w:p>
        </w:tc>
        <w:tc>
          <w:tcPr>
            <w:tcW w:w="1349" w:type="pct"/>
            <w:hideMark/>
          </w:tcPr>
          <w:p w14:paraId="49A4392A"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22-AEMF-A-GOB-070-156</w:t>
            </w:r>
          </w:p>
        </w:tc>
        <w:tc>
          <w:tcPr>
            <w:tcW w:w="1427" w:type="pct"/>
            <w:hideMark/>
          </w:tcPr>
          <w:p w14:paraId="3C31D50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Ayuntamiento del Municipio de Benito Juárez</w:t>
            </w:r>
          </w:p>
        </w:tc>
        <w:tc>
          <w:tcPr>
            <w:tcW w:w="1909" w:type="pct"/>
            <w:hideMark/>
          </w:tcPr>
          <w:p w14:paraId="5EC54B8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Financiamientos, Otras Obligaciones y Empréstitos</w:t>
            </w:r>
          </w:p>
        </w:tc>
      </w:tr>
      <w:tr w:rsidR="001D4516" w:rsidRPr="00AD13AF" w14:paraId="49AAD9AF"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3DFB84E"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157</w:t>
            </w:r>
          </w:p>
        </w:tc>
        <w:tc>
          <w:tcPr>
            <w:tcW w:w="1349" w:type="pct"/>
            <w:hideMark/>
          </w:tcPr>
          <w:p w14:paraId="38AE370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22-AEMD-B-GOB-070-157</w:t>
            </w:r>
          </w:p>
        </w:tc>
        <w:tc>
          <w:tcPr>
            <w:tcW w:w="1427" w:type="pct"/>
            <w:hideMark/>
          </w:tcPr>
          <w:p w14:paraId="0E81748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Ayuntamiento del Municipio de Benito Juárez</w:t>
            </w:r>
          </w:p>
        </w:tc>
        <w:tc>
          <w:tcPr>
            <w:tcW w:w="1909" w:type="pct"/>
            <w:hideMark/>
          </w:tcPr>
          <w:p w14:paraId="175F9A30"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Desempeño al sistema institucional de archivos municipal.</w:t>
            </w:r>
          </w:p>
        </w:tc>
      </w:tr>
      <w:tr w:rsidR="001D4516" w:rsidRPr="00AD13AF" w14:paraId="7A2C6F2C"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A6DFBE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158</w:t>
            </w:r>
          </w:p>
        </w:tc>
        <w:tc>
          <w:tcPr>
            <w:tcW w:w="1349" w:type="pct"/>
            <w:hideMark/>
          </w:tcPr>
          <w:p w14:paraId="28655A8F"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22-AEMOP-A-GOB-070-158</w:t>
            </w:r>
          </w:p>
        </w:tc>
        <w:tc>
          <w:tcPr>
            <w:tcW w:w="1427" w:type="pct"/>
            <w:hideMark/>
          </w:tcPr>
          <w:p w14:paraId="534FD5AC"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Benito Juárez</w:t>
            </w:r>
          </w:p>
        </w:tc>
        <w:tc>
          <w:tcPr>
            <w:tcW w:w="1909" w:type="pct"/>
            <w:hideMark/>
          </w:tcPr>
          <w:p w14:paraId="38C50A64"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 Fiscal (Saneamiento Ambiental)</w:t>
            </w:r>
          </w:p>
        </w:tc>
      </w:tr>
      <w:tr w:rsidR="001D4516" w:rsidRPr="00AD13AF" w14:paraId="4FAA0C85"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5B1EAD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159</w:t>
            </w:r>
          </w:p>
        </w:tc>
        <w:tc>
          <w:tcPr>
            <w:tcW w:w="1349" w:type="pct"/>
            <w:hideMark/>
          </w:tcPr>
          <w:p w14:paraId="658A02E7"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22-AEMOP-A-GOB-070-159</w:t>
            </w:r>
          </w:p>
        </w:tc>
        <w:tc>
          <w:tcPr>
            <w:tcW w:w="1427" w:type="pct"/>
            <w:hideMark/>
          </w:tcPr>
          <w:p w14:paraId="7A9E53D9"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Benito Juárez</w:t>
            </w:r>
          </w:p>
        </w:tc>
        <w:tc>
          <w:tcPr>
            <w:tcW w:w="1909" w:type="pct"/>
            <w:hideMark/>
          </w:tcPr>
          <w:p w14:paraId="2703964F"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 Fiscal 2022</w:t>
            </w:r>
          </w:p>
        </w:tc>
      </w:tr>
      <w:tr w:rsidR="001D4516" w:rsidRPr="00AD13AF" w14:paraId="5E87BB3D"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9AF308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160</w:t>
            </w:r>
          </w:p>
        </w:tc>
        <w:tc>
          <w:tcPr>
            <w:tcW w:w="1349" w:type="pct"/>
            <w:hideMark/>
          </w:tcPr>
          <w:p w14:paraId="60E52ED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22-AEMOP-A-GOB-070-160</w:t>
            </w:r>
          </w:p>
        </w:tc>
        <w:tc>
          <w:tcPr>
            <w:tcW w:w="1427" w:type="pct"/>
            <w:hideMark/>
          </w:tcPr>
          <w:p w14:paraId="5343B83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Benito Juárez</w:t>
            </w:r>
          </w:p>
        </w:tc>
        <w:tc>
          <w:tcPr>
            <w:tcW w:w="1909" w:type="pct"/>
            <w:hideMark/>
          </w:tcPr>
          <w:p w14:paraId="67FFE1D6"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el Fortalecimiento de los Municipios y de las Demarcaciones Territoriales del Distrito Federal (FORTAMUN-DF)</w:t>
            </w:r>
          </w:p>
        </w:tc>
      </w:tr>
      <w:tr w:rsidR="001D4516" w:rsidRPr="00AD13AF" w14:paraId="567D86A6"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826ED9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161</w:t>
            </w:r>
          </w:p>
        </w:tc>
        <w:tc>
          <w:tcPr>
            <w:tcW w:w="1349" w:type="pct"/>
            <w:hideMark/>
          </w:tcPr>
          <w:p w14:paraId="2875E9A4"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22-AEMOP-A-GOB-070-161</w:t>
            </w:r>
          </w:p>
        </w:tc>
        <w:tc>
          <w:tcPr>
            <w:tcW w:w="1427" w:type="pct"/>
            <w:hideMark/>
          </w:tcPr>
          <w:p w14:paraId="4E90F100"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Benito Juárez</w:t>
            </w:r>
          </w:p>
        </w:tc>
        <w:tc>
          <w:tcPr>
            <w:tcW w:w="1909" w:type="pct"/>
            <w:hideMark/>
          </w:tcPr>
          <w:p w14:paraId="297A5E39"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la Infraestructura Social Municipal y de las Demarcaciones Territoriales del Distrito Federal (FISM-DF)</w:t>
            </w:r>
          </w:p>
        </w:tc>
      </w:tr>
      <w:tr w:rsidR="001D4516" w:rsidRPr="00AD13AF" w14:paraId="23B6717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8A3754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162</w:t>
            </w:r>
          </w:p>
        </w:tc>
        <w:tc>
          <w:tcPr>
            <w:tcW w:w="1349" w:type="pct"/>
            <w:hideMark/>
          </w:tcPr>
          <w:p w14:paraId="21D62E7C"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22-AEMOP-A-GOB-070-162</w:t>
            </w:r>
          </w:p>
        </w:tc>
        <w:tc>
          <w:tcPr>
            <w:tcW w:w="1427" w:type="pct"/>
            <w:hideMark/>
          </w:tcPr>
          <w:p w14:paraId="30C205CB"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Benito Juárez</w:t>
            </w:r>
          </w:p>
        </w:tc>
        <w:tc>
          <w:tcPr>
            <w:tcW w:w="1909" w:type="pct"/>
            <w:hideMark/>
          </w:tcPr>
          <w:p w14:paraId="1E64FFCF"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Presupuesto Participativo 2022</w:t>
            </w:r>
          </w:p>
        </w:tc>
      </w:tr>
      <w:tr w:rsidR="001D4516" w:rsidRPr="00AD13AF" w14:paraId="6155EE16"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92C47E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163</w:t>
            </w:r>
          </w:p>
        </w:tc>
        <w:tc>
          <w:tcPr>
            <w:tcW w:w="1349" w:type="pct"/>
            <w:hideMark/>
          </w:tcPr>
          <w:p w14:paraId="22CE9EE4"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22-AEMF-A-GOB-071-163</w:t>
            </w:r>
          </w:p>
        </w:tc>
        <w:tc>
          <w:tcPr>
            <w:tcW w:w="1427" w:type="pct"/>
            <w:hideMark/>
          </w:tcPr>
          <w:p w14:paraId="6BB258FB"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Cozumel</w:t>
            </w:r>
          </w:p>
        </w:tc>
        <w:tc>
          <w:tcPr>
            <w:tcW w:w="1909" w:type="pct"/>
            <w:hideMark/>
          </w:tcPr>
          <w:p w14:paraId="340C9251"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5556CE65"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89BB8D4"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164</w:t>
            </w:r>
          </w:p>
        </w:tc>
        <w:tc>
          <w:tcPr>
            <w:tcW w:w="1349" w:type="pct"/>
            <w:hideMark/>
          </w:tcPr>
          <w:p w14:paraId="490E7A00"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22-AEMF-A-GOB-071-164</w:t>
            </w:r>
          </w:p>
        </w:tc>
        <w:tc>
          <w:tcPr>
            <w:tcW w:w="1427" w:type="pct"/>
            <w:hideMark/>
          </w:tcPr>
          <w:p w14:paraId="4B6B3BCC"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Cozumel</w:t>
            </w:r>
          </w:p>
        </w:tc>
        <w:tc>
          <w:tcPr>
            <w:tcW w:w="1909" w:type="pct"/>
            <w:hideMark/>
          </w:tcPr>
          <w:p w14:paraId="6BE1ED3B"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549B822F"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E38CA2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165</w:t>
            </w:r>
          </w:p>
        </w:tc>
        <w:tc>
          <w:tcPr>
            <w:tcW w:w="1349" w:type="pct"/>
            <w:hideMark/>
          </w:tcPr>
          <w:p w14:paraId="63AF8B90"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22-AEMF-A-GOB-071-165</w:t>
            </w:r>
          </w:p>
        </w:tc>
        <w:tc>
          <w:tcPr>
            <w:tcW w:w="1427" w:type="pct"/>
            <w:hideMark/>
          </w:tcPr>
          <w:p w14:paraId="6089EE0D"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Cozumel</w:t>
            </w:r>
          </w:p>
        </w:tc>
        <w:tc>
          <w:tcPr>
            <w:tcW w:w="1909" w:type="pct"/>
            <w:hideMark/>
          </w:tcPr>
          <w:p w14:paraId="267E414A"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Financiamientos, Otras Obligaciones y Empréstitos</w:t>
            </w:r>
          </w:p>
        </w:tc>
      </w:tr>
      <w:tr w:rsidR="001D4516" w:rsidRPr="00AD13AF" w14:paraId="1AF22F93"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CDE17C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166</w:t>
            </w:r>
          </w:p>
        </w:tc>
        <w:tc>
          <w:tcPr>
            <w:tcW w:w="1349" w:type="pct"/>
            <w:hideMark/>
          </w:tcPr>
          <w:p w14:paraId="1F43B4F8"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22-AEMD-B-GOB-071-166</w:t>
            </w:r>
          </w:p>
        </w:tc>
        <w:tc>
          <w:tcPr>
            <w:tcW w:w="1427" w:type="pct"/>
            <w:hideMark/>
          </w:tcPr>
          <w:p w14:paraId="03824911"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Cozumel</w:t>
            </w:r>
          </w:p>
        </w:tc>
        <w:tc>
          <w:tcPr>
            <w:tcW w:w="1909" w:type="pct"/>
            <w:hideMark/>
          </w:tcPr>
          <w:p w14:paraId="3839C2C7"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Desempeño a las acciones de protección civil en materia de mitigación y prevención de riesgos.</w:t>
            </w:r>
          </w:p>
        </w:tc>
      </w:tr>
      <w:tr w:rsidR="001D4516" w:rsidRPr="00AD13AF" w14:paraId="52FB28B1"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817E7B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167</w:t>
            </w:r>
          </w:p>
        </w:tc>
        <w:tc>
          <w:tcPr>
            <w:tcW w:w="1349" w:type="pct"/>
            <w:hideMark/>
          </w:tcPr>
          <w:p w14:paraId="2821B5CB"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22-AEMD-B-GOB-071-167</w:t>
            </w:r>
          </w:p>
        </w:tc>
        <w:tc>
          <w:tcPr>
            <w:tcW w:w="1427" w:type="pct"/>
            <w:hideMark/>
          </w:tcPr>
          <w:p w14:paraId="304803D0"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Cozumel</w:t>
            </w:r>
          </w:p>
        </w:tc>
        <w:tc>
          <w:tcPr>
            <w:tcW w:w="1909" w:type="pct"/>
            <w:hideMark/>
          </w:tcPr>
          <w:p w14:paraId="55C71EF3"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Desempeño a las acciones, programas y políticas en materia de desarrollo urbano municipal.</w:t>
            </w:r>
          </w:p>
        </w:tc>
      </w:tr>
      <w:tr w:rsidR="001D4516" w:rsidRPr="00AD13AF" w14:paraId="019D038F"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854F50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168</w:t>
            </w:r>
          </w:p>
        </w:tc>
        <w:tc>
          <w:tcPr>
            <w:tcW w:w="1349" w:type="pct"/>
            <w:hideMark/>
          </w:tcPr>
          <w:p w14:paraId="3E48E882"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22-AEMOP-B-GOB-071-168</w:t>
            </w:r>
          </w:p>
        </w:tc>
        <w:tc>
          <w:tcPr>
            <w:tcW w:w="1427" w:type="pct"/>
            <w:hideMark/>
          </w:tcPr>
          <w:p w14:paraId="0E0C8A56"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Cozumel</w:t>
            </w:r>
          </w:p>
        </w:tc>
        <w:tc>
          <w:tcPr>
            <w:tcW w:w="1909" w:type="pct"/>
            <w:hideMark/>
          </w:tcPr>
          <w:p w14:paraId="1223C72F"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el Fortalecimiento de los Municipios y de las Demarcaciones Territoriales del Distrito Federal (FORTAMUN-DF).</w:t>
            </w:r>
          </w:p>
        </w:tc>
      </w:tr>
      <w:tr w:rsidR="001D4516" w:rsidRPr="00AD13AF" w14:paraId="1E476CF4"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F9E423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169</w:t>
            </w:r>
          </w:p>
        </w:tc>
        <w:tc>
          <w:tcPr>
            <w:tcW w:w="1349" w:type="pct"/>
            <w:hideMark/>
          </w:tcPr>
          <w:p w14:paraId="75600E53"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22-AEMOP-B-GOB-071-169</w:t>
            </w:r>
          </w:p>
        </w:tc>
        <w:tc>
          <w:tcPr>
            <w:tcW w:w="1427" w:type="pct"/>
            <w:hideMark/>
          </w:tcPr>
          <w:p w14:paraId="01128EC0"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Cozumel</w:t>
            </w:r>
          </w:p>
        </w:tc>
        <w:tc>
          <w:tcPr>
            <w:tcW w:w="1909" w:type="pct"/>
            <w:hideMark/>
          </w:tcPr>
          <w:p w14:paraId="3FFB1452"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la Infraestructura Social Municipal y de las Demarcaciones Territoriales del Distrito Federal (FISM-DF).</w:t>
            </w:r>
          </w:p>
        </w:tc>
      </w:tr>
      <w:tr w:rsidR="001D4516" w:rsidRPr="00AD13AF" w14:paraId="307C66F2"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52B7F7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170</w:t>
            </w:r>
          </w:p>
        </w:tc>
        <w:tc>
          <w:tcPr>
            <w:tcW w:w="1349" w:type="pct"/>
            <w:hideMark/>
          </w:tcPr>
          <w:p w14:paraId="60C4F1BC"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22-AEMOP-B-GOB-071-170</w:t>
            </w:r>
          </w:p>
        </w:tc>
        <w:tc>
          <w:tcPr>
            <w:tcW w:w="1427" w:type="pct"/>
            <w:hideMark/>
          </w:tcPr>
          <w:p w14:paraId="7E7A9169"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Cozumel</w:t>
            </w:r>
          </w:p>
        </w:tc>
        <w:tc>
          <w:tcPr>
            <w:tcW w:w="1909" w:type="pct"/>
            <w:hideMark/>
          </w:tcPr>
          <w:p w14:paraId="3F295A5D"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de Inversiones Físicas realizadas con Recursos Propios (Saneamiento Ambiental).</w:t>
            </w:r>
          </w:p>
        </w:tc>
      </w:tr>
      <w:tr w:rsidR="001D4516" w:rsidRPr="00AD13AF" w14:paraId="43E3C5F4"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F861E7E"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lastRenderedPageBreak/>
              <w:t>171</w:t>
            </w:r>
          </w:p>
        </w:tc>
        <w:tc>
          <w:tcPr>
            <w:tcW w:w="1349" w:type="pct"/>
            <w:hideMark/>
          </w:tcPr>
          <w:p w14:paraId="474C93AD"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22-AEMOP-B-GOB-071-171</w:t>
            </w:r>
          </w:p>
        </w:tc>
        <w:tc>
          <w:tcPr>
            <w:tcW w:w="1427" w:type="pct"/>
            <w:hideMark/>
          </w:tcPr>
          <w:p w14:paraId="5FCA2DC3"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Cozumel</w:t>
            </w:r>
          </w:p>
        </w:tc>
        <w:tc>
          <w:tcPr>
            <w:tcW w:w="1909" w:type="pct"/>
            <w:hideMark/>
          </w:tcPr>
          <w:p w14:paraId="6A4A6A7A"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de Inversiones Físicas realizadas con Recursos Propios.</w:t>
            </w:r>
          </w:p>
        </w:tc>
      </w:tr>
      <w:tr w:rsidR="001D4516" w:rsidRPr="00AD13AF" w14:paraId="6CAEE9C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42DF03E"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172</w:t>
            </w:r>
          </w:p>
        </w:tc>
        <w:tc>
          <w:tcPr>
            <w:tcW w:w="1349" w:type="pct"/>
            <w:hideMark/>
          </w:tcPr>
          <w:p w14:paraId="416642C1"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22-AEMF-A-GOB-072-172</w:t>
            </w:r>
          </w:p>
        </w:tc>
        <w:tc>
          <w:tcPr>
            <w:tcW w:w="1427" w:type="pct"/>
            <w:hideMark/>
          </w:tcPr>
          <w:p w14:paraId="0B1BC3DA"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Felipe Carrillo Puerto</w:t>
            </w:r>
          </w:p>
        </w:tc>
        <w:tc>
          <w:tcPr>
            <w:tcW w:w="1909" w:type="pct"/>
            <w:hideMark/>
          </w:tcPr>
          <w:p w14:paraId="43353E96"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Financiero de Ingresos Públicos</w:t>
            </w:r>
          </w:p>
        </w:tc>
      </w:tr>
      <w:tr w:rsidR="001D4516" w:rsidRPr="00AD13AF" w14:paraId="20A2586D"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D4AE5E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173</w:t>
            </w:r>
          </w:p>
        </w:tc>
        <w:tc>
          <w:tcPr>
            <w:tcW w:w="1349" w:type="pct"/>
            <w:hideMark/>
          </w:tcPr>
          <w:p w14:paraId="0D62F018"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22-AEMF-A-GOB-072-173</w:t>
            </w:r>
          </w:p>
        </w:tc>
        <w:tc>
          <w:tcPr>
            <w:tcW w:w="1427" w:type="pct"/>
            <w:hideMark/>
          </w:tcPr>
          <w:p w14:paraId="27A17108"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Felipe Carrillo Puerto</w:t>
            </w:r>
          </w:p>
        </w:tc>
        <w:tc>
          <w:tcPr>
            <w:tcW w:w="1909" w:type="pct"/>
            <w:hideMark/>
          </w:tcPr>
          <w:p w14:paraId="777A0F1A"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Financiero de Gastos Públicos</w:t>
            </w:r>
          </w:p>
        </w:tc>
      </w:tr>
      <w:tr w:rsidR="001D4516" w:rsidRPr="00AD13AF" w14:paraId="5A6325F7"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F270A5E"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174</w:t>
            </w:r>
          </w:p>
        </w:tc>
        <w:tc>
          <w:tcPr>
            <w:tcW w:w="1349" w:type="pct"/>
            <w:hideMark/>
          </w:tcPr>
          <w:p w14:paraId="67C57789"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22-AEMF-A-GOB-072-174</w:t>
            </w:r>
          </w:p>
        </w:tc>
        <w:tc>
          <w:tcPr>
            <w:tcW w:w="1427" w:type="pct"/>
            <w:hideMark/>
          </w:tcPr>
          <w:p w14:paraId="1D87B63D"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Felipe Carrillo Puerto</w:t>
            </w:r>
          </w:p>
        </w:tc>
        <w:tc>
          <w:tcPr>
            <w:tcW w:w="1909" w:type="pct"/>
            <w:hideMark/>
          </w:tcPr>
          <w:p w14:paraId="7A66F21C"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Financiero de Financiamientos, Otras Obligaciones y Empréstitos</w:t>
            </w:r>
          </w:p>
        </w:tc>
      </w:tr>
      <w:tr w:rsidR="001D4516" w:rsidRPr="00AD13AF" w14:paraId="36F60546"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8B4501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175</w:t>
            </w:r>
          </w:p>
        </w:tc>
        <w:tc>
          <w:tcPr>
            <w:tcW w:w="1349" w:type="pct"/>
            <w:hideMark/>
          </w:tcPr>
          <w:p w14:paraId="28708620"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22-AEMOP-A-GOB-072-175</w:t>
            </w:r>
          </w:p>
        </w:tc>
        <w:tc>
          <w:tcPr>
            <w:tcW w:w="1427" w:type="pct"/>
            <w:hideMark/>
          </w:tcPr>
          <w:p w14:paraId="7FD64D51"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Felipe Carrillo Puerto</w:t>
            </w:r>
          </w:p>
        </w:tc>
        <w:tc>
          <w:tcPr>
            <w:tcW w:w="1909" w:type="pct"/>
            <w:hideMark/>
          </w:tcPr>
          <w:p w14:paraId="5B611881"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de Inversiones Físicas realizadas con Recursos del Fondo de Aportaciones para la Infraestructura Social Municipal y de las Demarcaciones Territoriales del Distrito Federal (FISM-DF)</w:t>
            </w:r>
          </w:p>
        </w:tc>
      </w:tr>
      <w:tr w:rsidR="001D4516" w:rsidRPr="00AD13AF" w14:paraId="39C15B79"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735244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176</w:t>
            </w:r>
          </w:p>
        </w:tc>
        <w:tc>
          <w:tcPr>
            <w:tcW w:w="1349" w:type="pct"/>
            <w:hideMark/>
          </w:tcPr>
          <w:p w14:paraId="6CBE5797"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22-AEMF-A-GOB-073-176</w:t>
            </w:r>
          </w:p>
        </w:tc>
        <w:tc>
          <w:tcPr>
            <w:tcW w:w="1427" w:type="pct"/>
            <w:hideMark/>
          </w:tcPr>
          <w:p w14:paraId="5D332FD8"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Isla Mujeres</w:t>
            </w:r>
          </w:p>
        </w:tc>
        <w:tc>
          <w:tcPr>
            <w:tcW w:w="1909" w:type="pct"/>
            <w:hideMark/>
          </w:tcPr>
          <w:p w14:paraId="0FBF5234"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Financiero de Ingresos Públicos</w:t>
            </w:r>
          </w:p>
        </w:tc>
      </w:tr>
      <w:tr w:rsidR="001D4516" w:rsidRPr="00AD13AF" w14:paraId="7231A12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9DF0ED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177</w:t>
            </w:r>
          </w:p>
        </w:tc>
        <w:tc>
          <w:tcPr>
            <w:tcW w:w="1349" w:type="pct"/>
            <w:hideMark/>
          </w:tcPr>
          <w:p w14:paraId="0D493ECD"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22-AEMF-A-GOB-073-177</w:t>
            </w:r>
          </w:p>
        </w:tc>
        <w:tc>
          <w:tcPr>
            <w:tcW w:w="1427" w:type="pct"/>
            <w:hideMark/>
          </w:tcPr>
          <w:p w14:paraId="4DFAF924"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Isla Mujeres</w:t>
            </w:r>
          </w:p>
        </w:tc>
        <w:tc>
          <w:tcPr>
            <w:tcW w:w="1909" w:type="pct"/>
            <w:hideMark/>
          </w:tcPr>
          <w:p w14:paraId="3034BC89"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Financiero de Gastos Públicos</w:t>
            </w:r>
          </w:p>
        </w:tc>
      </w:tr>
      <w:tr w:rsidR="001D4516" w:rsidRPr="00AD13AF" w14:paraId="28D745DA"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500E0C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178</w:t>
            </w:r>
          </w:p>
        </w:tc>
        <w:tc>
          <w:tcPr>
            <w:tcW w:w="1349" w:type="pct"/>
            <w:hideMark/>
          </w:tcPr>
          <w:p w14:paraId="3DBD5E82"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22-AEMOP-A-GOB-073-178</w:t>
            </w:r>
          </w:p>
        </w:tc>
        <w:tc>
          <w:tcPr>
            <w:tcW w:w="1427" w:type="pct"/>
            <w:hideMark/>
          </w:tcPr>
          <w:p w14:paraId="24DF7E11"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Isla Mujeres</w:t>
            </w:r>
          </w:p>
        </w:tc>
        <w:tc>
          <w:tcPr>
            <w:tcW w:w="1909" w:type="pct"/>
            <w:hideMark/>
          </w:tcPr>
          <w:p w14:paraId="2CF407AD"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de Inversiones Físicas realizadas con Ingresos Propios</w:t>
            </w:r>
          </w:p>
        </w:tc>
      </w:tr>
      <w:tr w:rsidR="001D4516" w:rsidRPr="00AD13AF" w14:paraId="533289B9"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59F730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179</w:t>
            </w:r>
          </w:p>
        </w:tc>
        <w:tc>
          <w:tcPr>
            <w:tcW w:w="1349" w:type="pct"/>
            <w:hideMark/>
          </w:tcPr>
          <w:p w14:paraId="310D4556"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22-AEMOP-A-GOB-073-179</w:t>
            </w:r>
          </w:p>
        </w:tc>
        <w:tc>
          <w:tcPr>
            <w:tcW w:w="1427" w:type="pct"/>
            <w:hideMark/>
          </w:tcPr>
          <w:p w14:paraId="6529D400"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Isla Mujeres</w:t>
            </w:r>
          </w:p>
        </w:tc>
        <w:tc>
          <w:tcPr>
            <w:tcW w:w="1909" w:type="pct"/>
            <w:hideMark/>
          </w:tcPr>
          <w:p w14:paraId="10B6E316"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de Inversiones Físicas realizadas con Fondo de Aportaciones para el Fortalecimiento de los Municipios y de las Demarcaciones Territoriales del Distrito Federal (FORTAMUN-DF)</w:t>
            </w:r>
          </w:p>
        </w:tc>
      </w:tr>
      <w:tr w:rsidR="001D4516" w:rsidRPr="00AD13AF" w14:paraId="1E4CED0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4DA6A0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180</w:t>
            </w:r>
          </w:p>
        </w:tc>
        <w:tc>
          <w:tcPr>
            <w:tcW w:w="1349" w:type="pct"/>
            <w:hideMark/>
          </w:tcPr>
          <w:p w14:paraId="5A2276FE"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22-AEMOP-A-GOB-073-180</w:t>
            </w:r>
          </w:p>
        </w:tc>
        <w:tc>
          <w:tcPr>
            <w:tcW w:w="1427" w:type="pct"/>
            <w:hideMark/>
          </w:tcPr>
          <w:p w14:paraId="773BD00D"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Isla Mujeres</w:t>
            </w:r>
          </w:p>
        </w:tc>
        <w:tc>
          <w:tcPr>
            <w:tcW w:w="1909" w:type="pct"/>
            <w:hideMark/>
          </w:tcPr>
          <w:p w14:paraId="4CA9847F"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de Inversiones Físicas realizadas con Recursos del Fondo de Aportaciones para la Infraestructura Social Municipal y de las Demarcaciones Territoriales del Distrito Federal (FISM-DF)</w:t>
            </w:r>
          </w:p>
        </w:tc>
      </w:tr>
      <w:tr w:rsidR="001D4516" w:rsidRPr="00AD13AF" w14:paraId="5C9624A2"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82F01A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181</w:t>
            </w:r>
          </w:p>
        </w:tc>
        <w:tc>
          <w:tcPr>
            <w:tcW w:w="1349" w:type="pct"/>
            <w:hideMark/>
          </w:tcPr>
          <w:p w14:paraId="0E5F867E"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22-AEMF-A-GOB-074-181</w:t>
            </w:r>
          </w:p>
        </w:tc>
        <w:tc>
          <w:tcPr>
            <w:tcW w:w="1427" w:type="pct"/>
            <w:hideMark/>
          </w:tcPr>
          <w:p w14:paraId="01B737F0"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José María Morelos</w:t>
            </w:r>
          </w:p>
        </w:tc>
        <w:tc>
          <w:tcPr>
            <w:tcW w:w="1909" w:type="pct"/>
            <w:hideMark/>
          </w:tcPr>
          <w:p w14:paraId="6CE9B373"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Financiero de Ingresos Públicos</w:t>
            </w:r>
          </w:p>
        </w:tc>
      </w:tr>
      <w:tr w:rsidR="001D4516" w:rsidRPr="00AD13AF" w14:paraId="1EFD9012"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708545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182</w:t>
            </w:r>
          </w:p>
        </w:tc>
        <w:tc>
          <w:tcPr>
            <w:tcW w:w="1349" w:type="pct"/>
            <w:hideMark/>
          </w:tcPr>
          <w:p w14:paraId="65974565"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22-AEMF-A-GOB-074-182</w:t>
            </w:r>
          </w:p>
        </w:tc>
        <w:tc>
          <w:tcPr>
            <w:tcW w:w="1427" w:type="pct"/>
            <w:hideMark/>
          </w:tcPr>
          <w:p w14:paraId="774E26B4"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José María Morelos</w:t>
            </w:r>
          </w:p>
        </w:tc>
        <w:tc>
          <w:tcPr>
            <w:tcW w:w="1909" w:type="pct"/>
            <w:hideMark/>
          </w:tcPr>
          <w:p w14:paraId="0C2FC0A1"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Financiero de Gastos Públicos</w:t>
            </w:r>
          </w:p>
        </w:tc>
      </w:tr>
      <w:tr w:rsidR="001D4516" w:rsidRPr="004D356B" w14:paraId="5C9CF9B9"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08CC322" w14:textId="77777777" w:rsidR="001D4516" w:rsidRPr="006934E8" w:rsidRDefault="001D4516" w:rsidP="001F49A3">
            <w:pP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183</w:t>
            </w:r>
          </w:p>
        </w:tc>
        <w:tc>
          <w:tcPr>
            <w:tcW w:w="1349" w:type="pct"/>
            <w:hideMark/>
          </w:tcPr>
          <w:p w14:paraId="3326927E"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22-AEMD-B-GOB-074-183</w:t>
            </w:r>
          </w:p>
        </w:tc>
        <w:tc>
          <w:tcPr>
            <w:tcW w:w="1427" w:type="pct"/>
            <w:hideMark/>
          </w:tcPr>
          <w:p w14:paraId="69CECCE1"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José María Morelos</w:t>
            </w:r>
          </w:p>
        </w:tc>
        <w:tc>
          <w:tcPr>
            <w:tcW w:w="1909" w:type="pct"/>
            <w:hideMark/>
          </w:tcPr>
          <w:p w14:paraId="3D96C8AA"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Desempeño a las acciones de protección civil en materia de mitigación y prevención de riesgos.</w:t>
            </w:r>
          </w:p>
        </w:tc>
      </w:tr>
      <w:tr w:rsidR="001D4516" w:rsidRPr="00585140" w14:paraId="2C76B4FE"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D25117E" w14:textId="77777777" w:rsidR="001D4516" w:rsidRPr="00585140" w:rsidRDefault="001D4516" w:rsidP="001F49A3">
            <w:pPr>
              <w:jc w:val="center"/>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184</w:t>
            </w:r>
          </w:p>
        </w:tc>
        <w:tc>
          <w:tcPr>
            <w:tcW w:w="1349" w:type="pct"/>
            <w:hideMark/>
          </w:tcPr>
          <w:p w14:paraId="621CB5BC"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22-AEMOP-B-GOB-074-184</w:t>
            </w:r>
          </w:p>
        </w:tc>
        <w:tc>
          <w:tcPr>
            <w:tcW w:w="1427" w:type="pct"/>
            <w:hideMark/>
          </w:tcPr>
          <w:p w14:paraId="0274D886"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Ayuntamiento del Municipio de José María Morelos</w:t>
            </w:r>
          </w:p>
        </w:tc>
        <w:tc>
          <w:tcPr>
            <w:tcW w:w="1909" w:type="pct"/>
            <w:hideMark/>
          </w:tcPr>
          <w:p w14:paraId="57A33D62" w14:textId="77777777" w:rsidR="001D4516" w:rsidRPr="00585140"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Auditoría de Cumplimiento de Inversiones Físicas realizadas con Recursos del Fondo de Aportaciones para la Infraestructura Social Municipal y de las Demarcaciones Territoriales del Distrito Federal (FISM-DF).</w:t>
            </w:r>
          </w:p>
        </w:tc>
      </w:tr>
      <w:tr w:rsidR="001D4516" w:rsidRPr="00AD13AF" w14:paraId="3C8F4CB8"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10A3D54"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185</w:t>
            </w:r>
          </w:p>
        </w:tc>
        <w:tc>
          <w:tcPr>
            <w:tcW w:w="1349" w:type="pct"/>
            <w:hideMark/>
          </w:tcPr>
          <w:p w14:paraId="60DF9D2D" w14:textId="77777777" w:rsidR="001D4516" w:rsidRPr="00585140"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585140">
              <w:rPr>
                <w:rFonts w:ascii="Arial Narrow" w:eastAsia="Times New Roman" w:hAnsi="Arial Narrow" w:cs="Calibri"/>
                <w:color w:val="000000"/>
                <w:sz w:val="20"/>
                <w:szCs w:val="20"/>
                <w:lang w:eastAsia="es-MX"/>
              </w:rPr>
              <w:t>22-AEMF-A-GOB-075-185</w:t>
            </w:r>
          </w:p>
        </w:tc>
        <w:tc>
          <w:tcPr>
            <w:tcW w:w="1427" w:type="pct"/>
            <w:hideMark/>
          </w:tcPr>
          <w:p w14:paraId="7D9DA322"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Lázaro Cárdenas</w:t>
            </w:r>
          </w:p>
        </w:tc>
        <w:tc>
          <w:tcPr>
            <w:tcW w:w="1909" w:type="pct"/>
            <w:hideMark/>
          </w:tcPr>
          <w:p w14:paraId="23883CC0"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3433C658"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07F06C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186</w:t>
            </w:r>
          </w:p>
        </w:tc>
        <w:tc>
          <w:tcPr>
            <w:tcW w:w="1349" w:type="pct"/>
            <w:hideMark/>
          </w:tcPr>
          <w:p w14:paraId="0435167C"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22-AEMF-A-GOB-075-186</w:t>
            </w:r>
          </w:p>
        </w:tc>
        <w:tc>
          <w:tcPr>
            <w:tcW w:w="1427" w:type="pct"/>
            <w:hideMark/>
          </w:tcPr>
          <w:p w14:paraId="03AC3A03"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Lázaro Cárdenas</w:t>
            </w:r>
          </w:p>
        </w:tc>
        <w:tc>
          <w:tcPr>
            <w:tcW w:w="1909" w:type="pct"/>
            <w:hideMark/>
          </w:tcPr>
          <w:p w14:paraId="013A49F4"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15BA646C"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14CFA5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187</w:t>
            </w:r>
          </w:p>
        </w:tc>
        <w:tc>
          <w:tcPr>
            <w:tcW w:w="1349" w:type="pct"/>
            <w:hideMark/>
          </w:tcPr>
          <w:p w14:paraId="412D58FA"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22-AEMD-B-GOB-075-187</w:t>
            </w:r>
          </w:p>
        </w:tc>
        <w:tc>
          <w:tcPr>
            <w:tcW w:w="1427" w:type="pct"/>
            <w:hideMark/>
          </w:tcPr>
          <w:p w14:paraId="03BB3DCC"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Lázaro Cárdenas</w:t>
            </w:r>
          </w:p>
        </w:tc>
        <w:tc>
          <w:tcPr>
            <w:tcW w:w="1909" w:type="pct"/>
            <w:hideMark/>
          </w:tcPr>
          <w:p w14:paraId="413E7FD2"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Desempeño a las acciones de protección civil en materia de mitigación y prevención de riesgos</w:t>
            </w:r>
          </w:p>
        </w:tc>
      </w:tr>
      <w:tr w:rsidR="001D4516" w:rsidRPr="00AD13AF" w14:paraId="5558586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AAB418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188</w:t>
            </w:r>
          </w:p>
        </w:tc>
        <w:tc>
          <w:tcPr>
            <w:tcW w:w="1349" w:type="pct"/>
            <w:hideMark/>
          </w:tcPr>
          <w:p w14:paraId="06FCA32B"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22-AEMOP-B-GOB-075-188</w:t>
            </w:r>
          </w:p>
        </w:tc>
        <w:tc>
          <w:tcPr>
            <w:tcW w:w="1427" w:type="pct"/>
            <w:hideMark/>
          </w:tcPr>
          <w:p w14:paraId="250C7008"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Lázaro Cárdenas</w:t>
            </w:r>
          </w:p>
        </w:tc>
        <w:tc>
          <w:tcPr>
            <w:tcW w:w="1909" w:type="pct"/>
            <w:hideMark/>
          </w:tcPr>
          <w:p w14:paraId="69329A5A"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 xml:space="preserve">Auditoría de Cumplimiento de Inversiones Físicas realizadas con Recursos del Fondo de Aportaciones para la Infraestructura </w:t>
            </w:r>
            <w:r w:rsidRPr="006934E8">
              <w:rPr>
                <w:rFonts w:ascii="Arial Narrow" w:eastAsia="Times New Roman" w:hAnsi="Arial Narrow" w:cs="Calibri"/>
                <w:color w:val="000000"/>
                <w:sz w:val="20"/>
                <w:szCs w:val="20"/>
                <w:lang w:eastAsia="es-MX"/>
              </w:rPr>
              <w:lastRenderedPageBreak/>
              <w:t>Social Municipal y de las Demarcaciones Territoriales del Distrito Federal (FISM-DF).</w:t>
            </w:r>
          </w:p>
        </w:tc>
      </w:tr>
      <w:tr w:rsidR="001D4516" w:rsidRPr="00AD13AF" w14:paraId="40292001"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944E60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189</w:t>
            </w:r>
          </w:p>
        </w:tc>
        <w:tc>
          <w:tcPr>
            <w:tcW w:w="1349" w:type="pct"/>
            <w:hideMark/>
          </w:tcPr>
          <w:p w14:paraId="23395643"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22-AEMF-A-GOB-076-189</w:t>
            </w:r>
          </w:p>
        </w:tc>
        <w:tc>
          <w:tcPr>
            <w:tcW w:w="1427" w:type="pct"/>
            <w:hideMark/>
          </w:tcPr>
          <w:p w14:paraId="69AF1943"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Othón P. Blanco</w:t>
            </w:r>
          </w:p>
        </w:tc>
        <w:tc>
          <w:tcPr>
            <w:tcW w:w="1909" w:type="pct"/>
            <w:hideMark/>
          </w:tcPr>
          <w:p w14:paraId="7D68FFC5"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2ED55A0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4BD8E8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190</w:t>
            </w:r>
          </w:p>
        </w:tc>
        <w:tc>
          <w:tcPr>
            <w:tcW w:w="1349" w:type="pct"/>
            <w:hideMark/>
          </w:tcPr>
          <w:p w14:paraId="77115B15"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22-AEMF-A-GOB-076-190</w:t>
            </w:r>
          </w:p>
        </w:tc>
        <w:tc>
          <w:tcPr>
            <w:tcW w:w="1427" w:type="pct"/>
            <w:hideMark/>
          </w:tcPr>
          <w:p w14:paraId="6FE01B81"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Othón P. Blanco</w:t>
            </w:r>
          </w:p>
        </w:tc>
        <w:tc>
          <w:tcPr>
            <w:tcW w:w="1909" w:type="pct"/>
            <w:hideMark/>
          </w:tcPr>
          <w:p w14:paraId="038C0CD8"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67EAF0EE"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9EB10F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191</w:t>
            </w:r>
          </w:p>
        </w:tc>
        <w:tc>
          <w:tcPr>
            <w:tcW w:w="1349" w:type="pct"/>
            <w:hideMark/>
          </w:tcPr>
          <w:p w14:paraId="59F782F7"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22-AEMF-A-GOB-076-191</w:t>
            </w:r>
          </w:p>
        </w:tc>
        <w:tc>
          <w:tcPr>
            <w:tcW w:w="1427" w:type="pct"/>
            <w:hideMark/>
          </w:tcPr>
          <w:p w14:paraId="07681B65"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Othón P. Blanco</w:t>
            </w:r>
          </w:p>
        </w:tc>
        <w:tc>
          <w:tcPr>
            <w:tcW w:w="1909" w:type="pct"/>
            <w:hideMark/>
          </w:tcPr>
          <w:p w14:paraId="3FEFA71E"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Financiamientos, Otras Obligaciones y Empréstitos</w:t>
            </w:r>
          </w:p>
        </w:tc>
      </w:tr>
      <w:tr w:rsidR="001D4516" w:rsidRPr="00AD13AF" w14:paraId="33DF9D76"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B29BBC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192</w:t>
            </w:r>
          </w:p>
        </w:tc>
        <w:tc>
          <w:tcPr>
            <w:tcW w:w="1349" w:type="pct"/>
            <w:hideMark/>
          </w:tcPr>
          <w:p w14:paraId="4B1632B6"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22-AEMD-B-GOB-076-192</w:t>
            </w:r>
          </w:p>
        </w:tc>
        <w:tc>
          <w:tcPr>
            <w:tcW w:w="1427" w:type="pct"/>
            <w:hideMark/>
          </w:tcPr>
          <w:p w14:paraId="2DA45366"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Othón P. Blanco</w:t>
            </w:r>
          </w:p>
        </w:tc>
        <w:tc>
          <w:tcPr>
            <w:tcW w:w="1909" w:type="pct"/>
            <w:hideMark/>
          </w:tcPr>
          <w:p w14:paraId="14203D62"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Desempeño a las acciones, programas y políticas para la igualdad de género y para prevenir y atender la violencia de género.</w:t>
            </w:r>
          </w:p>
        </w:tc>
      </w:tr>
      <w:tr w:rsidR="001D4516" w:rsidRPr="00AD13AF" w14:paraId="7473F5D0"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4A88EF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193</w:t>
            </w:r>
          </w:p>
        </w:tc>
        <w:tc>
          <w:tcPr>
            <w:tcW w:w="1349" w:type="pct"/>
            <w:hideMark/>
          </w:tcPr>
          <w:p w14:paraId="71804335"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22-AEMD-B-GOB-076-193</w:t>
            </w:r>
          </w:p>
        </w:tc>
        <w:tc>
          <w:tcPr>
            <w:tcW w:w="1427" w:type="pct"/>
            <w:hideMark/>
          </w:tcPr>
          <w:p w14:paraId="609F4708"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Othón P. Blanco</w:t>
            </w:r>
          </w:p>
        </w:tc>
        <w:tc>
          <w:tcPr>
            <w:tcW w:w="1909" w:type="pct"/>
            <w:hideMark/>
          </w:tcPr>
          <w:p w14:paraId="5974E4A2"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Desempeño al sistema institucional de archivos municipal.</w:t>
            </w:r>
          </w:p>
        </w:tc>
      </w:tr>
      <w:tr w:rsidR="001D4516" w:rsidRPr="00AD13AF" w14:paraId="56FFB4A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FAA1A0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194</w:t>
            </w:r>
          </w:p>
        </w:tc>
        <w:tc>
          <w:tcPr>
            <w:tcW w:w="1349" w:type="pct"/>
            <w:hideMark/>
          </w:tcPr>
          <w:p w14:paraId="5BB58D48"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22-AEMOP-A-GOB-076-194</w:t>
            </w:r>
          </w:p>
        </w:tc>
        <w:tc>
          <w:tcPr>
            <w:tcW w:w="1427" w:type="pct"/>
            <w:hideMark/>
          </w:tcPr>
          <w:p w14:paraId="5EF9DDF8"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Othón P. Blanco</w:t>
            </w:r>
          </w:p>
        </w:tc>
        <w:tc>
          <w:tcPr>
            <w:tcW w:w="1909" w:type="pct"/>
            <w:hideMark/>
          </w:tcPr>
          <w:p w14:paraId="32C552A1"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la Infraestructura Social Municipal y de las Demarcaciones Territoriales del Distrito Federal (FISM-DF)</w:t>
            </w:r>
          </w:p>
        </w:tc>
      </w:tr>
      <w:tr w:rsidR="001D4516" w:rsidRPr="00AD13AF" w14:paraId="65EDC752"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AC2D73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195</w:t>
            </w:r>
          </w:p>
        </w:tc>
        <w:tc>
          <w:tcPr>
            <w:tcW w:w="1349" w:type="pct"/>
            <w:hideMark/>
          </w:tcPr>
          <w:p w14:paraId="0FC743AE"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22-AEMF-A-GOB-077-195</w:t>
            </w:r>
          </w:p>
        </w:tc>
        <w:tc>
          <w:tcPr>
            <w:tcW w:w="1427" w:type="pct"/>
            <w:hideMark/>
          </w:tcPr>
          <w:p w14:paraId="6A7C36DC"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Puerto Morelos</w:t>
            </w:r>
          </w:p>
        </w:tc>
        <w:tc>
          <w:tcPr>
            <w:tcW w:w="1909" w:type="pct"/>
            <w:hideMark/>
          </w:tcPr>
          <w:p w14:paraId="3A518F28"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5E214D0C"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E04942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196</w:t>
            </w:r>
          </w:p>
        </w:tc>
        <w:tc>
          <w:tcPr>
            <w:tcW w:w="1349" w:type="pct"/>
            <w:hideMark/>
          </w:tcPr>
          <w:p w14:paraId="40B5075E"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22-AEMF-A-GOB-077-196</w:t>
            </w:r>
          </w:p>
        </w:tc>
        <w:tc>
          <w:tcPr>
            <w:tcW w:w="1427" w:type="pct"/>
            <w:hideMark/>
          </w:tcPr>
          <w:p w14:paraId="7BE88194"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Puerto Morelos</w:t>
            </w:r>
          </w:p>
        </w:tc>
        <w:tc>
          <w:tcPr>
            <w:tcW w:w="1909" w:type="pct"/>
            <w:hideMark/>
          </w:tcPr>
          <w:p w14:paraId="21C00234"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23A64E35"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E959C2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197</w:t>
            </w:r>
          </w:p>
        </w:tc>
        <w:tc>
          <w:tcPr>
            <w:tcW w:w="1349" w:type="pct"/>
            <w:hideMark/>
          </w:tcPr>
          <w:p w14:paraId="0C935E81"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22-AEMD-B-GOB-077-197</w:t>
            </w:r>
          </w:p>
        </w:tc>
        <w:tc>
          <w:tcPr>
            <w:tcW w:w="1427" w:type="pct"/>
            <w:hideMark/>
          </w:tcPr>
          <w:p w14:paraId="0C9D3D67"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Puerto Morelos</w:t>
            </w:r>
          </w:p>
        </w:tc>
        <w:tc>
          <w:tcPr>
            <w:tcW w:w="1909" w:type="pct"/>
            <w:hideMark/>
          </w:tcPr>
          <w:p w14:paraId="07495749"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Desempeño a las acciones de protección civil en materia de mitigación y prevención de riesgos.</w:t>
            </w:r>
          </w:p>
        </w:tc>
      </w:tr>
      <w:tr w:rsidR="001D4516" w:rsidRPr="00AD13AF" w14:paraId="6DF378F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E13140E"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198</w:t>
            </w:r>
          </w:p>
        </w:tc>
        <w:tc>
          <w:tcPr>
            <w:tcW w:w="1349" w:type="pct"/>
            <w:hideMark/>
          </w:tcPr>
          <w:p w14:paraId="7CF53DE4"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22-AEMD-B-GOB-077-198</w:t>
            </w:r>
          </w:p>
        </w:tc>
        <w:tc>
          <w:tcPr>
            <w:tcW w:w="1427" w:type="pct"/>
            <w:hideMark/>
          </w:tcPr>
          <w:p w14:paraId="675447B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Puerto Morelos</w:t>
            </w:r>
          </w:p>
        </w:tc>
        <w:tc>
          <w:tcPr>
            <w:tcW w:w="1909" w:type="pct"/>
            <w:hideMark/>
          </w:tcPr>
          <w:p w14:paraId="27511DD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 xml:space="preserve">Auditoría de Desempeño al cumplimiento de objetivos y metas con base en indicadores de programas presupuestarios. </w:t>
            </w:r>
          </w:p>
        </w:tc>
      </w:tr>
      <w:tr w:rsidR="001D4516" w:rsidRPr="00AD13AF" w14:paraId="0E1FD309"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074286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199</w:t>
            </w:r>
          </w:p>
        </w:tc>
        <w:tc>
          <w:tcPr>
            <w:tcW w:w="1349" w:type="pct"/>
            <w:hideMark/>
          </w:tcPr>
          <w:p w14:paraId="733E78FD"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22-AEMOP-B-GOB-077-199</w:t>
            </w:r>
          </w:p>
        </w:tc>
        <w:tc>
          <w:tcPr>
            <w:tcW w:w="1427" w:type="pct"/>
            <w:hideMark/>
          </w:tcPr>
          <w:p w14:paraId="3EB47AFF"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Puerto Morelos</w:t>
            </w:r>
          </w:p>
        </w:tc>
        <w:tc>
          <w:tcPr>
            <w:tcW w:w="1909" w:type="pct"/>
            <w:hideMark/>
          </w:tcPr>
          <w:p w14:paraId="2CDF507F"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 Fiscal.</w:t>
            </w:r>
          </w:p>
        </w:tc>
      </w:tr>
      <w:tr w:rsidR="001D4516" w:rsidRPr="00AD13AF" w14:paraId="0B94A118"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5EFAAE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200</w:t>
            </w:r>
          </w:p>
        </w:tc>
        <w:tc>
          <w:tcPr>
            <w:tcW w:w="1349" w:type="pct"/>
            <w:hideMark/>
          </w:tcPr>
          <w:p w14:paraId="067C4753"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22-AEMOP-B-GOB-077-200</w:t>
            </w:r>
          </w:p>
        </w:tc>
        <w:tc>
          <w:tcPr>
            <w:tcW w:w="1427" w:type="pct"/>
            <w:hideMark/>
          </w:tcPr>
          <w:p w14:paraId="68C8E1B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Puerto Morelos</w:t>
            </w:r>
          </w:p>
        </w:tc>
        <w:tc>
          <w:tcPr>
            <w:tcW w:w="1909" w:type="pct"/>
            <w:hideMark/>
          </w:tcPr>
          <w:p w14:paraId="7D88FE67"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el Fortalecimiento de los Municipios y de las Demarcaciones Territoriales del Distrito Federal (FORTAMUN-DF).</w:t>
            </w:r>
          </w:p>
        </w:tc>
      </w:tr>
      <w:tr w:rsidR="001D4516" w:rsidRPr="00AD13AF" w14:paraId="25A81836"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FF4C9F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201</w:t>
            </w:r>
          </w:p>
        </w:tc>
        <w:tc>
          <w:tcPr>
            <w:tcW w:w="1349" w:type="pct"/>
            <w:hideMark/>
          </w:tcPr>
          <w:p w14:paraId="4CF4138B"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22-AEMOP-B-GOB-077-201</w:t>
            </w:r>
          </w:p>
        </w:tc>
        <w:tc>
          <w:tcPr>
            <w:tcW w:w="1427" w:type="pct"/>
            <w:hideMark/>
          </w:tcPr>
          <w:p w14:paraId="4A9E920A"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Puerto Morelos</w:t>
            </w:r>
          </w:p>
        </w:tc>
        <w:tc>
          <w:tcPr>
            <w:tcW w:w="1909" w:type="pct"/>
            <w:hideMark/>
          </w:tcPr>
          <w:p w14:paraId="40555B9B"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la Infraestructura Social Municipal y de las Demarcaciones Territoriales del Distrito Federal (FISM-DF).</w:t>
            </w:r>
          </w:p>
        </w:tc>
      </w:tr>
      <w:tr w:rsidR="001D4516" w:rsidRPr="00AD13AF" w14:paraId="73563ED7"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CB58D5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202</w:t>
            </w:r>
          </w:p>
        </w:tc>
        <w:tc>
          <w:tcPr>
            <w:tcW w:w="1349" w:type="pct"/>
            <w:hideMark/>
          </w:tcPr>
          <w:p w14:paraId="1BFCCFA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22-AEMF-A-GOB-078-202</w:t>
            </w:r>
          </w:p>
        </w:tc>
        <w:tc>
          <w:tcPr>
            <w:tcW w:w="1427" w:type="pct"/>
            <w:hideMark/>
          </w:tcPr>
          <w:p w14:paraId="4CB7DDB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Solidaridad</w:t>
            </w:r>
          </w:p>
        </w:tc>
        <w:tc>
          <w:tcPr>
            <w:tcW w:w="1909" w:type="pct"/>
            <w:hideMark/>
          </w:tcPr>
          <w:p w14:paraId="44C276D9"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188A54B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EB5C068"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203</w:t>
            </w:r>
          </w:p>
        </w:tc>
        <w:tc>
          <w:tcPr>
            <w:tcW w:w="1349" w:type="pct"/>
            <w:hideMark/>
          </w:tcPr>
          <w:p w14:paraId="2DA32AD4"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22-AEMF-A-GOB-078-203</w:t>
            </w:r>
          </w:p>
        </w:tc>
        <w:tc>
          <w:tcPr>
            <w:tcW w:w="1427" w:type="pct"/>
            <w:hideMark/>
          </w:tcPr>
          <w:p w14:paraId="67AEC0B5"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Solidaridad</w:t>
            </w:r>
          </w:p>
        </w:tc>
        <w:tc>
          <w:tcPr>
            <w:tcW w:w="1909" w:type="pct"/>
            <w:hideMark/>
          </w:tcPr>
          <w:p w14:paraId="3623DAB6"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09E76C5D"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DE150E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204</w:t>
            </w:r>
          </w:p>
        </w:tc>
        <w:tc>
          <w:tcPr>
            <w:tcW w:w="1349" w:type="pct"/>
            <w:hideMark/>
          </w:tcPr>
          <w:p w14:paraId="17E91532"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22-AEMF-A-GOB-078-204</w:t>
            </w:r>
          </w:p>
        </w:tc>
        <w:tc>
          <w:tcPr>
            <w:tcW w:w="1427" w:type="pct"/>
            <w:hideMark/>
          </w:tcPr>
          <w:p w14:paraId="63DED4E3"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Solidaridad</w:t>
            </w:r>
          </w:p>
        </w:tc>
        <w:tc>
          <w:tcPr>
            <w:tcW w:w="1909" w:type="pct"/>
            <w:hideMark/>
          </w:tcPr>
          <w:p w14:paraId="7699EB5E"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Financiamientos, Otras Obligaciones y Empréstitos</w:t>
            </w:r>
          </w:p>
        </w:tc>
      </w:tr>
      <w:tr w:rsidR="001D4516" w:rsidRPr="00AD13AF" w14:paraId="36AF2BEC"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E34DEF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205</w:t>
            </w:r>
          </w:p>
        </w:tc>
        <w:tc>
          <w:tcPr>
            <w:tcW w:w="1349" w:type="pct"/>
            <w:hideMark/>
          </w:tcPr>
          <w:p w14:paraId="1D5A5F88"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22-AEMOP-B-GOB-078-205</w:t>
            </w:r>
          </w:p>
        </w:tc>
        <w:tc>
          <w:tcPr>
            <w:tcW w:w="1427" w:type="pct"/>
            <w:hideMark/>
          </w:tcPr>
          <w:p w14:paraId="2F0FA7EB"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Solidaridad</w:t>
            </w:r>
          </w:p>
        </w:tc>
        <w:tc>
          <w:tcPr>
            <w:tcW w:w="1909" w:type="pct"/>
            <w:hideMark/>
          </w:tcPr>
          <w:p w14:paraId="06A9AF1A"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 Fiscal.</w:t>
            </w:r>
          </w:p>
        </w:tc>
      </w:tr>
      <w:tr w:rsidR="001D4516" w:rsidRPr="00AD13AF" w14:paraId="567A384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934CE6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lastRenderedPageBreak/>
              <w:t>206</w:t>
            </w:r>
          </w:p>
        </w:tc>
        <w:tc>
          <w:tcPr>
            <w:tcW w:w="1349" w:type="pct"/>
            <w:hideMark/>
          </w:tcPr>
          <w:p w14:paraId="79DF452B"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22-AEMOP-B-GOB-078-206</w:t>
            </w:r>
          </w:p>
        </w:tc>
        <w:tc>
          <w:tcPr>
            <w:tcW w:w="1427" w:type="pct"/>
            <w:hideMark/>
          </w:tcPr>
          <w:p w14:paraId="056D774A"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Solidaridad</w:t>
            </w:r>
          </w:p>
        </w:tc>
        <w:tc>
          <w:tcPr>
            <w:tcW w:w="1909" w:type="pct"/>
            <w:hideMark/>
          </w:tcPr>
          <w:p w14:paraId="5385FE50"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el Fortalecimiento de los Municipios y de las Demarcaciones Territoriales del Distrito Federal (FORTAMUN-DF).</w:t>
            </w:r>
          </w:p>
        </w:tc>
      </w:tr>
      <w:tr w:rsidR="001D4516" w:rsidRPr="00AD13AF" w14:paraId="1F71BFB7"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9CCCC6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207</w:t>
            </w:r>
          </w:p>
        </w:tc>
        <w:tc>
          <w:tcPr>
            <w:tcW w:w="1349" w:type="pct"/>
            <w:hideMark/>
          </w:tcPr>
          <w:p w14:paraId="30C9C357"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22-AEMOP-B-GOB-078-207</w:t>
            </w:r>
          </w:p>
        </w:tc>
        <w:tc>
          <w:tcPr>
            <w:tcW w:w="1427" w:type="pct"/>
            <w:hideMark/>
          </w:tcPr>
          <w:p w14:paraId="47579E1F"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Solidaridad</w:t>
            </w:r>
          </w:p>
        </w:tc>
        <w:tc>
          <w:tcPr>
            <w:tcW w:w="1909" w:type="pct"/>
            <w:hideMark/>
          </w:tcPr>
          <w:p w14:paraId="0759E9FA"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la Infraestructura Social Municipal y de las Demarcaciones Territoriales del Distrito Federal (FISM-DF).</w:t>
            </w:r>
          </w:p>
        </w:tc>
      </w:tr>
      <w:tr w:rsidR="001D4516" w:rsidRPr="00AD13AF" w14:paraId="6C8651D2"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9D4832E"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208</w:t>
            </w:r>
          </w:p>
        </w:tc>
        <w:tc>
          <w:tcPr>
            <w:tcW w:w="1349" w:type="pct"/>
            <w:hideMark/>
          </w:tcPr>
          <w:p w14:paraId="18B9624A"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22-AEMF-A-GOB-079-208</w:t>
            </w:r>
          </w:p>
        </w:tc>
        <w:tc>
          <w:tcPr>
            <w:tcW w:w="1427" w:type="pct"/>
            <w:hideMark/>
          </w:tcPr>
          <w:p w14:paraId="1AFC7DE9"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Tulum</w:t>
            </w:r>
          </w:p>
        </w:tc>
        <w:tc>
          <w:tcPr>
            <w:tcW w:w="1909" w:type="pct"/>
            <w:hideMark/>
          </w:tcPr>
          <w:p w14:paraId="637722FE"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4B10DDD3"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7FDE68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209</w:t>
            </w:r>
          </w:p>
        </w:tc>
        <w:tc>
          <w:tcPr>
            <w:tcW w:w="1349" w:type="pct"/>
            <w:hideMark/>
          </w:tcPr>
          <w:p w14:paraId="628222B5"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22-AEMF-A-GOB-079-209</w:t>
            </w:r>
          </w:p>
        </w:tc>
        <w:tc>
          <w:tcPr>
            <w:tcW w:w="1427" w:type="pct"/>
            <w:hideMark/>
          </w:tcPr>
          <w:p w14:paraId="357A6D38"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Tulum</w:t>
            </w:r>
          </w:p>
        </w:tc>
        <w:tc>
          <w:tcPr>
            <w:tcW w:w="1909" w:type="pct"/>
            <w:hideMark/>
          </w:tcPr>
          <w:p w14:paraId="34BCD3AA"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67B5F493"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11AC2E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210</w:t>
            </w:r>
          </w:p>
        </w:tc>
        <w:tc>
          <w:tcPr>
            <w:tcW w:w="1349" w:type="pct"/>
            <w:hideMark/>
          </w:tcPr>
          <w:p w14:paraId="5AB46DF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22-AEMOP-A-GOB-079-210</w:t>
            </w:r>
          </w:p>
        </w:tc>
        <w:tc>
          <w:tcPr>
            <w:tcW w:w="1427" w:type="pct"/>
            <w:hideMark/>
          </w:tcPr>
          <w:p w14:paraId="56EC5ABA"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Tulum</w:t>
            </w:r>
          </w:p>
        </w:tc>
        <w:tc>
          <w:tcPr>
            <w:tcW w:w="1909" w:type="pct"/>
            <w:hideMark/>
          </w:tcPr>
          <w:p w14:paraId="446166EA"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Ingresos Propios</w:t>
            </w:r>
          </w:p>
        </w:tc>
      </w:tr>
      <w:tr w:rsidR="001D4516" w:rsidRPr="00AD13AF" w14:paraId="214EAC1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A7495E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211</w:t>
            </w:r>
          </w:p>
        </w:tc>
        <w:tc>
          <w:tcPr>
            <w:tcW w:w="1349" w:type="pct"/>
            <w:hideMark/>
          </w:tcPr>
          <w:p w14:paraId="75A6907B"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22-AEMOP-A-GOB-079-211</w:t>
            </w:r>
          </w:p>
        </w:tc>
        <w:tc>
          <w:tcPr>
            <w:tcW w:w="1427" w:type="pct"/>
            <w:hideMark/>
          </w:tcPr>
          <w:p w14:paraId="1201C449"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Tulum</w:t>
            </w:r>
          </w:p>
        </w:tc>
        <w:tc>
          <w:tcPr>
            <w:tcW w:w="1909" w:type="pct"/>
            <w:hideMark/>
          </w:tcPr>
          <w:p w14:paraId="68D3D2E6"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el Fortalecimiento de los Municipios y de las Demarcaciones Territoriales del Distrito Federal (FORTAMUN-DF)</w:t>
            </w:r>
          </w:p>
        </w:tc>
      </w:tr>
      <w:tr w:rsidR="001D4516" w:rsidRPr="00AD13AF" w14:paraId="41FD258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22D468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212</w:t>
            </w:r>
          </w:p>
        </w:tc>
        <w:tc>
          <w:tcPr>
            <w:tcW w:w="1349" w:type="pct"/>
            <w:hideMark/>
          </w:tcPr>
          <w:p w14:paraId="7DF75DCA"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22-AEMOP-A-GOB-079-212</w:t>
            </w:r>
          </w:p>
        </w:tc>
        <w:tc>
          <w:tcPr>
            <w:tcW w:w="1427" w:type="pct"/>
            <w:hideMark/>
          </w:tcPr>
          <w:p w14:paraId="15D609CB"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Ayuntamiento del Municipio de Tulum</w:t>
            </w:r>
          </w:p>
        </w:tc>
        <w:tc>
          <w:tcPr>
            <w:tcW w:w="1909" w:type="pct"/>
            <w:hideMark/>
          </w:tcPr>
          <w:p w14:paraId="4F426A84"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Recursos del Fondo de Aportaciones para la Infraestructura Social Municipal y de las Demarcaciones Territoriales del Distrito Federal (FISM-DF)</w:t>
            </w:r>
          </w:p>
        </w:tc>
      </w:tr>
      <w:tr w:rsidR="001D4516" w:rsidRPr="00AD13AF" w14:paraId="1CCB09C0"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27951172" w14:textId="77777777" w:rsidR="001D4516" w:rsidRPr="00AD13AF" w:rsidRDefault="001D4516" w:rsidP="001F49A3">
            <w:pPr>
              <w:rPr>
                <w:rFonts w:cs="Calibri"/>
                <w:sz w:val="20"/>
                <w:szCs w:val="20"/>
              </w:rPr>
            </w:pPr>
            <w:r w:rsidRPr="00AD13AF">
              <w:rPr>
                <w:rFonts w:cs="Calibri"/>
                <w:sz w:val="20"/>
                <w:szCs w:val="20"/>
              </w:rPr>
              <w:t>ADMINISTRACIÓN PÚBLICA PARAMUNICIPAL</w:t>
            </w:r>
          </w:p>
        </w:tc>
      </w:tr>
      <w:tr w:rsidR="001D4516" w:rsidRPr="00AD13AF" w14:paraId="08A84B4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441BB3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213</w:t>
            </w:r>
          </w:p>
        </w:tc>
        <w:tc>
          <w:tcPr>
            <w:tcW w:w="1349" w:type="pct"/>
            <w:hideMark/>
          </w:tcPr>
          <w:p w14:paraId="58B88DEA"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22-AEMF-A-GOB-080-213</w:t>
            </w:r>
          </w:p>
        </w:tc>
        <w:tc>
          <w:tcPr>
            <w:tcW w:w="1427" w:type="pct"/>
            <w:hideMark/>
          </w:tcPr>
          <w:p w14:paraId="3B292EC9"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Asociación de Futbol Pioneros, A.C.</w:t>
            </w:r>
          </w:p>
        </w:tc>
        <w:tc>
          <w:tcPr>
            <w:tcW w:w="1909" w:type="pct"/>
            <w:hideMark/>
          </w:tcPr>
          <w:p w14:paraId="35F4BAA0"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62D0CAF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B5D3471"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214</w:t>
            </w:r>
          </w:p>
        </w:tc>
        <w:tc>
          <w:tcPr>
            <w:tcW w:w="1349" w:type="pct"/>
            <w:hideMark/>
          </w:tcPr>
          <w:p w14:paraId="01B1B5BC"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22-AEMF-E-GOB-081-214</w:t>
            </w:r>
          </w:p>
        </w:tc>
        <w:tc>
          <w:tcPr>
            <w:tcW w:w="1427" w:type="pct"/>
            <w:hideMark/>
          </w:tcPr>
          <w:p w14:paraId="1995A93E"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de la Cultura y las Artes del Municipio de Benito Juárez</w:t>
            </w:r>
          </w:p>
        </w:tc>
        <w:tc>
          <w:tcPr>
            <w:tcW w:w="1909" w:type="pct"/>
            <w:hideMark/>
          </w:tcPr>
          <w:p w14:paraId="1D8A6EFE"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1BAA520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F07EEA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215</w:t>
            </w:r>
          </w:p>
        </w:tc>
        <w:tc>
          <w:tcPr>
            <w:tcW w:w="1349" w:type="pct"/>
            <w:hideMark/>
          </w:tcPr>
          <w:p w14:paraId="6E5C4779"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22-AEMF-E-GOB-082-215</w:t>
            </w:r>
          </w:p>
        </w:tc>
        <w:tc>
          <w:tcPr>
            <w:tcW w:w="1427" w:type="pct"/>
            <w:hideMark/>
          </w:tcPr>
          <w:p w14:paraId="652EEB0F"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de la Juventud del Municipio de Solidaridad, Quintana Roo</w:t>
            </w:r>
          </w:p>
        </w:tc>
        <w:tc>
          <w:tcPr>
            <w:tcW w:w="1909" w:type="pct"/>
            <w:hideMark/>
          </w:tcPr>
          <w:p w14:paraId="53FC9343"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0CD9FEF3"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018899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216</w:t>
            </w:r>
          </w:p>
        </w:tc>
        <w:tc>
          <w:tcPr>
            <w:tcW w:w="1349" w:type="pct"/>
            <w:hideMark/>
          </w:tcPr>
          <w:p w14:paraId="78642E0A"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22-AEMF-E-GOB-083-216</w:t>
            </w:r>
          </w:p>
        </w:tc>
        <w:tc>
          <w:tcPr>
            <w:tcW w:w="1427" w:type="pct"/>
            <w:hideMark/>
          </w:tcPr>
          <w:p w14:paraId="364725F4"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de las Mujeres del Municipio de Solidaridad, Quintana Roo</w:t>
            </w:r>
          </w:p>
        </w:tc>
        <w:tc>
          <w:tcPr>
            <w:tcW w:w="1909" w:type="pct"/>
            <w:hideMark/>
          </w:tcPr>
          <w:p w14:paraId="6287BFE7"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4A7E2E6B"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21677B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217</w:t>
            </w:r>
          </w:p>
        </w:tc>
        <w:tc>
          <w:tcPr>
            <w:tcW w:w="1349" w:type="pct"/>
            <w:hideMark/>
          </w:tcPr>
          <w:p w14:paraId="52FA5262"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22-AEMD-B-GOB-083-217</w:t>
            </w:r>
          </w:p>
        </w:tc>
        <w:tc>
          <w:tcPr>
            <w:tcW w:w="1427" w:type="pct"/>
            <w:hideMark/>
          </w:tcPr>
          <w:p w14:paraId="68376353"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de las Mujeres del Municipio de Solidaridad, Quintana Roo</w:t>
            </w:r>
          </w:p>
        </w:tc>
        <w:tc>
          <w:tcPr>
            <w:tcW w:w="1909" w:type="pct"/>
            <w:hideMark/>
          </w:tcPr>
          <w:p w14:paraId="2FEA4C4F"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 xml:space="preserve">Auditoría de Desempeño al cumplimiento de funciones sustantivas. </w:t>
            </w:r>
          </w:p>
        </w:tc>
      </w:tr>
      <w:tr w:rsidR="001D4516" w:rsidRPr="00AD13AF" w14:paraId="73B5185F"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5C78FC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218</w:t>
            </w:r>
          </w:p>
        </w:tc>
        <w:tc>
          <w:tcPr>
            <w:tcW w:w="1349" w:type="pct"/>
            <w:hideMark/>
          </w:tcPr>
          <w:p w14:paraId="33E43F2E"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22-AEMF-E-GOB-084-218</w:t>
            </w:r>
          </w:p>
        </w:tc>
        <w:tc>
          <w:tcPr>
            <w:tcW w:w="1427" w:type="pct"/>
            <w:hideMark/>
          </w:tcPr>
          <w:p w14:paraId="565898C8"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de Planeación para el Desarrollo Urbano del Municipio de Benito Juárez</w:t>
            </w:r>
          </w:p>
        </w:tc>
        <w:tc>
          <w:tcPr>
            <w:tcW w:w="1909" w:type="pct"/>
            <w:hideMark/>
          </w:tcPr>
          <w:p w14:paraId="1FEA1F07"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59B7F8E9"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574E3A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219</w:t>
            </w:r>
          </w:p>
        </w:tc>
        <w:tc>
          <w:tcPr>
            <w:tcW w:w="1349" w:type="pct"/>
            <w:hideMark/>
          </w:tcPr>
          <w:p w14:paraId="704D7FB6"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22-AEMF-A-GOB-085-219</w:t>
            </w:r>
          </w:p>
        </w:tc>
        <w:tc>
          <w:tcPr>
            <w:tcW w:w="1427" w:type="pct"/>
            <w:hideMark/>
          </w:tcPr>
          <w:p w14:paraId="68295C5B"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del Deporte del Municipio de Benito Juárez, Quintana Roo</w:t>
            </w:r>
          </w:p>
        </w:tc>
        <w:tc>
          <w:tcPr>
            <w:tcW w:w="1909" w:type="pct"/>
            <w:hideMark/>
          </w:tcPr>
          <w:p w14:paraId="15C8F6F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37DA3C0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1D4FAE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220</w:t>
            </w:r>
          </w:p>
        </w:tc>
        <w:tc>
          <w:tcPr>
            <w:tcW w:w="1349" w:type="pct"/>
            <w:hideMark/>
          </w:tcPr>
          <w:p w14:paraId="62AA5E36"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22-AEMF-A-GOB-085-220</w:t>
            </w:r>
          </w:p>
        </w:tc>
        <w:tc>
          <w:tcPr>
            <w:tcW w:w="1427" w:type="pct"/>
            <w:hideMark/>
          </w:tcPr>
          <w:p w14:paraId="3CED25D8"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del Deporte del Municipio de Benito Juárez, Quintana Roo</w:t>
            </w:r>
          </w:p>
        </w:tc>
        <w:tc>
          <w:tcPr>
            <w:tcW w:w="1909" w:type="pct"/>
            <w:hideMark/>
          </w:tcPr>
          <w:p w14:paraId="70D1B358"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60C455A8"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A3E3C40" w14:textId="77777777" w:rsidR="001D4516" w:rsidRPr="00AD13AF" w:rsidRDefault="001D4516" w:rsidP="001F49A3">
            <w:pPr>
              <w:jc w:val="center"/>
              <w:rPr>
                <w:rFonts w:cs="Calibri"/>
                <w:sz w:val="20"/>
                <w:szCs w:val="20"/>
              </w:rPr>
            </w:pPr>
            <w:r w:rsidRPr="006934E8">
              <w:rPr>
                <w:rFonts w:ascii="Arial Narrow" w:eastAsia="Times New Roman" w:hAnsi="Arial Narrow" w:cs="Calibri"/>
                <w:color w:val="000000"/>
                <w:sz w:val="20"/>
                <w:szCs w:val="20"/>
                <w:lang w:eastAsia="es-MX"/>
              </w:rPr>
              <w:lastRenderedPageBreak/>
              <w:t>221</w:t>
            </w:r>
          </w:p>
        </w:tc>
        <w:tc>
          <w:tcPr>
            <w:tcW w:w="1349" w:type="pct"/>
            <w:hideMark/>
          </w:tcPr>
          <w:p w14:paraId="509A3D50"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22-AEMF-E-GOB-086-221</w:t>
            </w:r>
          </w:p>
        </w:tc>
        <w:tc>
          <w:tcPr>
            <w:tcW w:w="1427" w:type="pct"/>
            <w:hideMark/>
          </w:tcPr>
          <w:p w14:paraId="482F0CA4"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del Deporte del Municipio de Solidaridad, Quintana Roo</w:t>
            </w:r>
          </w:p>
        </w:tc>
        <w:tc>
          <w:tcPr>
            <w:tcW w:w="1909" w:type="pct"/>
            <w:hideMark/>
          </w:tcPr>
          <w:p w14:paraId="5004BC9B"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11AC4949"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716F59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222</w:t>
            </w:r>
          </w:p>
        </w:tc>
        <w:tc>
          <w:tcPr>
            <w:tcW w:w="1349" w:type="pct"/>
            <w:hideMark/>
          </w:tcPr>
          <w:p w14:paraId="76D83004"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22-AEMF-E-GOB-087-222</w:t>
            </w:r>
          </w:p>
        </w:tc>
        <w:tc>
          <w:tcPr>
            <w:tcW w:w="1427" w:type="pct"/>
            <w:hideMark/>
          </w:tcPr>
          <w:p w14:paraId="5EB6EFF4"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Municipal Contra las Adicciones</w:t>
            </w:r>
          </w:p>
        </w:tc>
        <w:tc>
          <w:tcPr>
            <w:tcW w:w="1909" w:type="pct"/>
            <w:hideMark/>
          </w:tcPr>
          <w:p w14:paraId="2B205010"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44EE2DF3"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984365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223</w:t>
            </w:r>
          </w:p>
        </w:tc>
        <w:tc>
          <w:tcPr>
            <w:tcW w:w="1349" w:type="pct"/>
            <w:hideMark/>
          </w:tcPr>
          <w:p w14:paraId="0025394B"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22-AEMD-B-GOB-087-223</w:t>
            </w:r>
          </w:p>
        </w:tc>
        <w:tc>
          <w:tcPr>
            <w:tcW w:w="1427" w:type="pct"/>
            <w:hideMark/>
          </w:tcPr>
          <w:p w14:paraId="2F13A0A1"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Municipal Contra las Adicciones</w:t>
            </w:r>
          </w:p>
        </w:tc>
        <w:tc>
          <w:tcPr>
            <w:tcW w:w="1909" w:type="pct"/>
            <w:hideMark/>
          </w:tcPr>
          <w:p w14:paraId="1F0604A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Desempeño a las acciones, programas, y políticas para la prevención y atención de adicciones</w:t>
            </w:r>
          </w:p>
        </w:tc>
      </w:tr>
      <w:tr w:rsidR="001D4516" w:rsidRPr="00AD13AF" w14:paraId="22E10305"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065999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224</w:t>
            </w:r>
          </w:p>
        </w:tc>
        <w:tc>
          <w:tcPr>
            <w:tcW w:w="1349" w:type="pct"/>
            <w:hideMark/>
          </w:tcPr>
          <w:p w14:paraId="54C23FA6"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22-AEMF-E-GOB-088-224</w:t>
            </w:r>
          </w:p>
        </w:tc>
        <w:tc>
          <w:tcPr>
            <w:tcW w:w="1427" w:type="pct"/>
            <w:hideMark/>
          </w:tcPr>
          <w:p w14:paraId="3B109E92"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Municipal de Desarrollo Administrativo e Innovación</w:t>
            </w:r>
          </w:p>
        </w:tc>
        <w:tc>
          <w:tcPr>
            <w:tcW w:w="1909" w:type="pct"/>
            <w:hideMark/>
          </w:tcPr>
          <w:p w14:paraId="07A0120C"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34056FA3"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D3D942F"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225</w:t>
            </w:r>
          </w:p>
        </w:tc>
        <w:tc>
          <w:tcPr>
            <w:tcW w:w="1349" w:type="pct"/>
            <w:hideMark/>
          </w:tcPr>
          <w:p w14:paraId="2E6A9FD9"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22-AEMF-E-GOB-089-225</w:t>
            </w:r>
          </w:p>
        </w:tc>
        <w:tc>
          <w:tcPr>
            <w:tcW w:w="1427" w:type="pct"/>
            <w:hideMark/>
          </w:tcPr>
          <w:p w14:paraId="4B831A54"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Municipal de la Cultura y las Artes de Solidaridad, Quintana Roo</w:t>
            </w:r>
          </w:p>
        </w:tc>
        <w:tc>
          <w:tcPr>
            <w:tcW w:w="1909" w:type="pct"/>
            <w:hideMark/>
          </w:tcPr>
          <w:p w14:paraId="7F95E1D4"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2FB6A96C"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F98902A"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226</w:t>
            </w:r>
          </w:p>
        </w:tc>
        <w:tc>
          <w:tcPr>
            <w:tcW w:w="1349" w:type="pct"/>
            <w:hideMark/>
          </w:tcPr>
          <w:p w14:paraId="2ADF6DD5"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22-AEMF-A-GOB-090-226</w:t>
            </w:r>
          </w:p>
        </w:tc>
        <w:tc>
          <w:tcPr>
            <w:tcW w:w="1427" w:type="pct"/>
            <w:hideMark/>
          </w:tcPr>
          <w:p w14:paraId="58853E4C"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Municipal de la Juventud</w:t>
            </w:r>
          </w:p>
        </w:tc>
        <w:tc>
          <w:tcPr>
            <w:tcW w:w="1909" w:type="pct"/>
            <w:hideMark/>
          </w:tcPr>
          <w:p w14:paraId="0AB3D31D"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70DE6EC1"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D8E5C5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227</w:t>
            </w:r>
          </w:p>
        </w:tc>
        <w:tc>
          <w:tcPr>
            <w:tcW w:w="1349" w:type="pct"/>
            <w:hideMark/>
          </w:tcPr>
          <w:p w14:paraId="29785F3A"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22-AEMF-A-GOB-090-227</w:t>
            </w:r>
          </w:p>
        </w:tc>
        <w:tc>
          <w:tcPr>
            <w:tcW w:w="1427" w:type="pct"/>
            <w:hideMark/>
          </w:tcPr>
          <w:p w14:paraId="09E9F8B5"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Municipal de la Juventud</w:t>
            </w:r>
          </w:p>
        </w:tc>
        <w:tc>
          <w:tcPr>
            <w:tcW w:w="1909" w:type="pct"/>
            <w:hideMark/>
          </w:tcPr>
          <w:p w14:paraId="6FF6F9EA"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40280E39"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04BDFE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228</w:t>
            </w:r>
          </w:p>
        </w:tc>
        <w:tc>
          <w:tcPr>
            <w:tcW w:w="1349" w:type="pct"/>
            <w:hideMark/>
          </w:tcPr>
          <w:p w14:paraId="19DA1350"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22-AEMF-E-GOB-091-228</w:t>
            </w:r>
          </w:p>
        </w:tc>
        <w:tc>
          <w:tcPr>
            <w:tcW w:w="1427" w:type="pct"/>
            <w:hideMark/>
          </w:tcPr>
          <w:p w14:paraId="5E23AED7"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Municipal de la Mujer</w:t>
            </w:r>
          </w:p>
        </w:tc>
        <w:tc>
          <w:tcPr>
            <w:tcW w:w="1909" w:type="pct"/>
            <w:hideMark/>
          </w:tcPr>
          <w:p w14:paraId="19F75296"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1DAA5051"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5BB6705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229</w:t>
            </w:r>
          </w:p>
        </w:tc>
        <w:tc>
          <w:tcPr>
            <w:tcW w:w="1349" w:type="pct"/>
            <w:hideMark/>
          </w:tcPr>
          <w:p w14:paraId="01013020"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22-AEMD-B-GOB-091-229</w:t>
            </w:r>
          </w:p>
        </w:tc>
        <w:tc>
          <w:tcPr>
            <w:tcW w:w="1427" w:type="pct"/>
            <w:hideMark/>
          </w:tcPr>
          <w:p w14:paraId="259FDFAB"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Instituto Municipal de la Mujer</w:t>
            </w:r>
          </w:p>
        </w:tc>
        <w:tc>
          <w:tcPr>
            <w:tcW w:w="1909" w:type="pct"/>
            <w:hideMark/>
          </w:tcPr>
          <w:p w14:paraId="015464C3"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Desempeño al cumplimiento de funciones sustantivas.</w:t>
            </w:r>
          </w:p>
        </w:tc>
      </w:tr>
      <w:tr w:rsidR="001D4516" w:rsidRPr="00AD13AF" w14:paraId="3ECDDFA5"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9D7E97D"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230</w:t>
            </w:r>
          </w:p>
        </w:tc>
        <w:tc>
          <w:tcPr>
            <w:tcW w:w="1349" w:type="pct"/>
            <w:hideMark/>
          </w:tcPr>
          <w:p w14:paraId="5B2534A1"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22-AEMF-A-GOB-092-230</w:t>
            </w:r>
          </w:p>
        </w:tc>
        <w:tc>
          <w:tcPr>
            <w:tcW w:w="1427" w:type="pct"/>
            <w:hideMark/>
          </w:tcPr>
          <w:p w14:paraId="3D60E49F"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Operadora y Administradora de Bienes Municipales, S.A. de C.V.</w:t>
            </w:r>
          </w:p>
        </w:tc>
        <w:tc>
          <w:tcPr>
            <w:tcW w:w="1909" w:type="pct"/>
            <w:hideMark/>
          </w:tcPr>
          <w:p w14:paraId="492F8353"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74E97DBA"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B098445"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231</w:t>
            </w:r>
          </w:p>
        </w:tc>
        <w:tc>
          <w:tcPr>
            <w:tcW w:w="1349" w:type="pct"/>
            <w:hideMark/>
          </w:tcPr>
          <w:p w14:paraId="37244846"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22-AEMF-A-GOB-092-231</w:t>
            </w:r>
          </w:p>
        </w:tc>
        <w:tc>
          <w:tcPr>
            <w:tcW w:w="1427" w:type="pct"/>
            <w:hideMark/>
          </w:tcPr>
          <w:p w14:paraId="05F56CFD"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Operadora y Administradora de Bienes Municipales, S.A. de C.V.</w:t>
            </w:r>
          </w:p>
        </w:tc>
        <w:tc>
          <w:tcPr>
            <w:tcW w:w="1909" w:type="pct"/>
            <w:hideMark/>
          </w:tcPr>
          <w:p w14:paraId="3362EB4B"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3DEED792"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3C892E7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232</w:t>
            </w:r>
          </w:p>
        </w:tc>
        <w:tc>
          <w:tcPr>
            <w:tcW w:w="1349" w:type="pct"/>
            <w:hideMark/>
          </w:tcPr>
          <w:p w14:paraId="75C8B2FE"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22-AEMOP-B-GOB-092-232</w:t>
            </w:r>
          </w:p>
        </w:tc>
        <w:tc>
          <w:tcPr>
            <w:tcW w:w="1427" w:type="pct"/>
            <w:hideMark/>
          </w:tcPr>
          <w:p w14:paraId="2F87AEB7"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Operadora y Administradora de Bienes Municipales, S.A. de C.V.</w:t>
            </w:r>
          </w:p>
        </w:tc>
        <w:tc>
          <w:tcPr>
            <w:tcW w:w="1909" w:type="pct"/>
            <w:hideMark/>
          </w:tcPr>
          <w:p w14:paraId="03466073"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de Inversiones Físicas realizadas con Ingresos Propios</w:t>
            </w:r>
          </w:p>
        </w:tc>
      </w:tr>
      <w:tr w:rsidR="001D4516" w:rsidRPr="00AD13AF" w14:paraId="4BB480DC"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ED0D3F0"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233</w:t>
            </w:r>
          </w:p>
        </w:tc>
        <w:tc>
          <w:tcPr>
            <w:tcW w:w="1349" w:type="pct"/>
            <w:hideMark/>
          </w:tcPr>
          <w:p w14:paraId="7C5F44C6"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22-AEMF-A-GOB-093-233</w:t>
            </w:r>
          </w:p>
        </w:tc>
        <w:tc>
          <w:tcPr>
            <w:tcW w:w="1427" w:type="pct"/>
            <w:hideMark/>
          </w:tcPr>
          <w:p w14:paraId="6DDE4EAC"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Radio Cultural Ayuntamiento</w:t>
            </w:r>
          </w:p>
        </w:tc>
        <w:tc>
          <w:tcPr>
            <w:tcW w:w="1909" w:type="pct"/>
            <w:hideMark/>
          </w:tcPr>
          <w:p w14:paraId="047D084F"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y Gastos Públicos</w:t>
            </w:r>
          </w:p>
        </w:tc>
      </w:tr>
      <w:tr w:rsidR="001D4516" w:rsidRPr="00AD13AF" w14:paraId="6D23EE53"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6C060A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234</w:t>
            </w:r>
          </w:p>
        </w:tc>
        <w:tc>
          <w:tcPr>
            <w:tcW w:w="1349" w:type="pct"/>
            <w:hideMark/>
          </w:tcPr>
          <w:p w14:paraId="7D497DC6"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22-AEMF-A-GOB-094-234</w:t>
            </w:r>
          </w:p>
        </w:tc>
        <w:tc>
          <w:tcPr>
            <w:tcW w:w="1427" w:type="pct"/>
            <w:hideMark/>
          </w:tcPr>
          <w:p w14:paraId="076B063A"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Sistema para el Desarrollo Integral de la Familia del Municipio de Benito Juárez</w:t>
            </w:r>
          </w:p>
        </w:tc>
        <w:tc>
          <w:tcPr>
            <w:tcW w:w="1909" w:type="pct"/>
            <w:hideMark/>
          </w:tcPr>
          <w:p w14:paraId="2FDA84C3"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2E5B62B4"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67ADCE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235</w:t>
            </w:r>
          </w:p>
        </w:tc>
        <w:tc>
          <w:tcPr>
            <w:tcW w:w="1349" w:type="pct"/>
            <w:hideMark/>
          </w:tcPr>
          <w:p w14:paraId="0279D31B"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22-AEMF-A-GOB-094-235</w:t>
            </w:r>
          </w:p>
        </w:tc>
        <w:tc>
          <w:tcPr>
            <w:tcW w:w="1427" w:type="pct"/>
            <w:hideMark/>
          </w:tcPr>
          <w:p w14:paraId="16A45AF9"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Sistema para el Desarrollo Integral de la Familia del Municipio de Benito Juárez</w:t>
            </w:r>
          </w:p>
        </w:tc>
        <w:tc>
          <w:tcPr>
            <w:tcW w:w="1909" w:type="pct"/>
            <w:hideMark/>
          </w:tcPr>
          <w:p w14:paraId="3A42C3B9"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5652CD94"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2E66CB6"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236</w:t>
            </w:r>
          </w:p>
        </w:tc>
        <w:tc>
          <w:tcPr>
            <w:tcW w:w="1349" w:type="pct"/>
            <w:hideMark/>
          </w:tcPr>
          <w:p w14:paraId="5CE52302"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22-AEMF-A-GOB-095-236</w:t>
            </w:r>
          </w:p>
        </w:tc>
        <w:tc>
          <w:tcPr>
            <w:tcW w:w="1427" w:type="pct"/>
            <w:hideMark/>
          </w:tcPr>
          <w:p w14:paraId="5D7CF9F7"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 xml:space="preserve">Sistema para el Desarrollo Integral de la Familia del Municipio de Cozumel </w:t>
            </w:r>
          </w:p>
        </w:tc>
        <w:tc>
          <w:tcPr>
            <w:tcW w:w="1909" w:type="pct"/>
            <w:hideMark/>
          </w:tcPr>
          <w:p w14:paraId="1E8E5B57"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49258A93"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1A590B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237</w:t>
            </w:r>
          </w:p>
        </w:tc>
        <w:tc>
          <w:tcPr>
            <w:tcW w:w="1349" w:type="pct"/>
            <w:hideMark/>
          </w:tcPr>
          <w:p w14:paraId="07AD902E"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22-AEMF-A-GOB-095-237</w:t>
            </w:r>
          </w:p>
        </w:tc>
        <w:tc>
          <w:tcPr>
            <w:tcW w:w="1427" w:type="pct"/>
            <w:hideMark/>
          </w:tcPr>
          <w:p w14:paraId="2880E411"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 xml:space="preserve">Sistema para el Desarrollo Integral de la Familia del Municipio de Cozumel </w:t>
            </w:r>
          </w:p>
        </w:tc>
        <w:tc>
          <w:tcPr>
            <w:tcW w:w="1909" w:type="pct"/>
            <w:hideMark/>
          </w:tcPr>
          <w:p w14:paraId="73BA3238"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290D9150"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042098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238</w:t>
            </w:r>
          </w:p>
        </w:tc>
        <w:tc>
          <w:tcPr>
            <w:tcW w:w="1349" w:type="pct"/>
            <w:hideMark/>
          </w:tcPr>
          <w:p w14:paraId="4074A855"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22-AEMF-A-GOB-096-238</w:t>
            </w:r>
          </w:p>
        </w:tc>
        <w:tc>
          <w:tcPr>
            <w:tcW w:w="1427" w:type="pct"/>
            <w:hideMark/>
          </w:tcPr>
          <w:p w14:paraId="566A9D5E"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Sistema para el Desarrollo Integral de la Familia del Municipio de Isla Mujeres</w:t>
            </w:r>
          </w:p>
        </w:tc>
        <w:tc>
          <w:tcPr>
            <w:tcW w:w="1909" w:type="pct"/>
            <w:hideMark/>
          </w:tcPr>
          <w:p w14:paraId="53240CD8"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648FD1E2"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088C718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239</w:t>
            </w:r>
          </w:p>
        </w:tc>
        <w:tc>
          <w:tcPr>
            <w:tcW w:w="1349" w:type="pct"/>
            <w:hideMark/>
          </w:tcPr>
          <w:p w14:paraId="0EECC647"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22-AEMF-A-GOB-096-239</w:t>
            </w:r>
          </w:p>
        </w:tc>
        <w:tc>
          <w:tcPr>
            <w:tcW w:w="1427" w:type="pct"/>
            <w:hideMark/>
          </w:tcPr>
          <w:p w14:paraId="2C7F5109"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Sistema para el Desarrollo Integral de la Familia del Municipio de Isla Mujeres</w:t>
            </w:r>
          </w:p>
        </w:tc>
        <w:tc>
          <w:tcPr>
            <w:tcW w:w="1909" w:type="pct"/>
            <w:hideMark/>
          </w:tcPr>
          <w:p w14:paraId="2B548570"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7EE113DC"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7C73ADC7"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lastRenderedPageBreak/>
              <w:t>240</w:t>
            </w:r>
          </w:p>
        </w:tc>
        <w:tc>
          <w:tcPr>
            <w:tcW w:w="1349" w:type="pct"/>
            <w:hideMark/>
          </w:tcPr>
          <w:p w14:paraId="7CDEB3F5"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22-AEMF-A-GOB-097-240</w:t>
            </w:r>
          </w:p>
        </w:tc>
        <w:tc>
          <w:tcPr>
            <w:tcW w:w="1427" w:type="pct"/>
            <w:hideMark/>
          </w:tcPr>
          <w:p w14:paraId="06AACA33"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 xml:space="preserve">Sistema para el Desarrollo Integral de la Familia del Municipio de Othón P. Blanco </w:t>
            </w:r>
          </w:p>
        </w:tc>
        <w:tc>
          <w:tcPr>
            <w:tcW w:w="1909" w:type="pct"/>
            <w:hideMark/>
          </w:tcPr>
          <w:p w14:paraId="611BB44F" w14:textId="77777777" w:rsidR="001D4516" w:rsidRPr="006934E8"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Ingresos Públicos</w:t>
            </w:r>
          </w:p>
        </w:tc>
      </w:tr>
      <w:tr w:rsidR="001D4516" w:rsidRPr="00AD13AF" w14:paraId="165146E3"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BC3E4F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241</w:t>
            </w:r>
          </w:p>
        </w:tc>
        <w:tc>
          <w:tcPr>
            <w:tcW w:w="1349" w:type="pct"/>
            <w:hideMark/>
          </w:tcPr>
          <w:p w14:paraId="4533D649"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22-AEMF-A-GOB-097-241</w:t>
            </w:r>
          </w:p>
        </w:tc>
        <w:tc>
          <w:tcPr>
            <w:tcW w:w="1427" w:type="pct"/>
            <w:hideMark/>
          </w:tcPr>
          <w:p w14:paraId="70B08057"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 xml:space="preserve">Sistema para el Desarrollo Integral de la Familia del Municipio de Othón P. Blanco </w:t>
            </w:r>
          </w:p>
        </w:tc>
        <w:tc>
          <w:tcPr>
            <w:tcW w:w="1909" w:type="pct"/>
            <w:hideMark/>
          </w:tcPr>
          <w:p w14:paraId="3E3870EF" w14:textId="77777777" w:rsidR="001D4516" w:rsidRPr="006934E8"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Auditoría de Cumplimiento Financiero de Gastos Públicos</w:t>
            </w:r>
          </w:p>
        </w:tc>
      </w:tr>
      <w:tr w:rsidR="001D4516" w:rsidRPr="00AD13AF" w14:paraId="6558BD16"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7191F92"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242</w:t>
            </w:r>
          </w:p>
        </w:tc>
        <w:tc>
          <w:tcPr>
            <w:tcW w:w="1349" w:type="pct"/>
            <w:hideMark/>
          </w:tcPr>
          <w:p w14:paraId="29DD0B38"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22-AEMF-A-GOB-098-242</w:t>
            </w:r>
          </w:p>
        </w:tc>
        <w:tc>
          <w:tcPr>
            <w:tcW w:w="1427" w:type="pct"/>
            <w:hideMark/>
          </w:tcPr>
          <w:p w14:paraId="20041B64"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Sistema para el Desarrollo Integral de la Familia del Municipio de Solidaridad </w:t>
            </w:r>
          </w:p>
        </w:tc>
        <w:tc>
          <w:tcPr>
            <w:tcW w:w="1909" w:type="pct"/>
            <w:hideMark/>
          </w:tcPr>
          <w:p w14:paraId="589BA012"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2B0FEED0"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85ADA13"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243</w:t>
            </w:r>
          </w:p>
        </w:tc>
        <w:tc>
          <w:tcPr>
            <w:tcW w:w="1349" w:type="pct"/>
            <w:hideMark/>
          </w:tcPr>
          <w:p w14:paraId="706CBFA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22-AEMF-A-GOB-098-243</w:t>
            </w:r>
          </w:p>
        </w:tc>
        <w:tc>
          <w:tcPr>
            <w:tcW w:w="1427" w:type="pct"/>
            <w:hideMark/>
          </w:tcPr>
          <w:p w14:paraId="17013EB7"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Sistema para el Desarrollo Integral de la Familia del Municipio de Solidaridad </w:t>
            </w:r>
          </w:p>
        </w:tc>
        <w:tc>
          <w:tcPr>
            <w:tcW w:w="1909" w:type="pct"/>
            <w:hideMark/>
          </w:tcPr>
          <w:p w14:paraId="25CFAC41"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6B095A25"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1D497A0E"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244</w:t>
            </w:r>
          </w:p>
        </w:tc>
        <w:tc>
          <w:tcPr>
            <w:tcW w:w="1349" w:type="pct"/>
            <w:hideMark/>
          </w:tcPr>
          <w:p w14:paraId="26DC326B"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22-AEMF-A-GOB-099-244</w:t>
            </w:r>
          </w:p>
        </w:tc>
        <w:tc>
          <w:tcPr>
            <w:tcW w:w="1427" w:type="pct"/>
            <w:hideMark/>
          </w:tcPr>
          <w:p w14:paraId="688709B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Sistema para el Desarrollo Integral de la Familia del Municipio de Tulum </w:t>
            </w:r>
          </w:p>
        </w:tc>
        <w:tc>
          <w:tcPr>
            <w:tcW w:w="1909" w:type="pct"/>
            <w:hideMark/>
          </w:tcPr>
          <w:p w14:paraId="1F8C78F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607D5D69"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60D4230B"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245</w:t>
            </w:r>
          </w:p>
        </w:tc>
        <w:tc>
          <w:tcPr>
            <w:tcW w:w="1349" w:type="pct"/>
            <w:hideMark/>
          </w:tcPr>
          <w:p w14:paraId="4551428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22-AEMF-A-GOB-099-245</w:t>
            </w:r>
          </w:p>
        </w:tc>
        <w:tc>
          <w:tcPr>
            <w:tcW w:w="1427" w:type="pct"/>
            <w:hideMark/>
          </w:tcPr>
          <w:p w14:paraId="5971ED3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 xml:space="preserve">Sistema para el Desarrollo Integral de la Familia del Municipio de Tulum </w:t>
            </w:r>
          </w:p>
        </w:tc>
        <w:tc>
          <w:tcPr>
            <w:tcW w:w="1909" w:type="pct"/>
            <w:hideMark/>
          </w:tcPr>
          <w:p w14:paraId="02A71FD8"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r w:rsidR="001D4516" w:rsidRPr="00AD13AF" w14:paraId="53E907CB" w14:textId="77777777" w:rsidTr="001F49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44756AF9"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246</w:t>
            </w:r>
          </w:p>
        </w:tc>
        <w:tc>
          <w:tcPr>
            <w:tcW w:w="1349" w:type="pct"/>
            <w:hideMark/>
          </w:tcPr>
          <w:p w14:paraId="6795BD87"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22-AEMF-A-GOB-100-246</w:t>
            </w:r>
          </w:p>
        </w:tc>
        <w:tc>
          <w:tcPr>
            <w:tcW w:w="1427" w:type="pct"/>
            <w:hideMark/>
          </w:tcPr>
          <w:p w14:paraId="7694D389"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Solución Integral de Residuos Sólidos Cancún</w:t>
            </w:r>
          </w:p>
        </w:tc>
        <w:tc>
          <w:tcPr>
            <w:tcW w:w="1909" w:type="pct"/>
            <w:hideMark/>
          </w:tcPr>
          <w:p w14:paraId="46841366" w14:textId="77777777" w:rsidR="001D4516" w:rsidRPr="004D356B" w:rsidRDefault="001D4516" w:rsidP="001F49A3">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Ingresos Públicos</w:t>
            </w:r>
          </w:p>
        </w:tc>
      </w:tr>
      <w:tr w:rsidR="001D4516" w:rsidRPr="00AD13AF" w14:paraId="22D4F8A1" w14:textId="77777777" w:rsidTr="001F49A3">
        <w:trPr>
          <w:trHeight w:val="300"/>
        </w:trPr>
        <w:tc>
          <w:tcPr>
            <w:cnfStyle w:val="001000000000" w:firstRow="0" w:lastRow="0" w:firstColumn="1" w:lastColumn="0" w:oddVBand="0" w:evenVBand="0" w:oddHBand="0" w:evenHBand="0" w:firstRowFirstColumn="0" w:firstRowLastColumn="0" w:lastRowFirstColumn="0" w:lastRowLastColumn="0"/>
            <w:tcW w:w="315" w:type="pct"/>
            <w:hideMark/>
          </w:tcPr>
          <w:p w14:paraId="2DDCEB7C" w14:textId="77777777" w:rsidR="001D4516" w:rsidRPr="006934E8" w:rsidRDefault="001D4516" w:rsidP="001F49A3">
            <w:pPr>
              <w:jc w:val="center"/>
              <w:rPr>
                <w:rFonts w:ascii="Arial Narrow" w:eastAsia="Times New Roman" w:hAnsi="Arial Narrow" w:cs="Calibri"/>
                <w:color w:val="000000"/>
                <w:sz w:val="20"/>
                <w:szCs w:val="20"/>
                <w:lang w:eastAsia="es-MX"/>
              </w:rPr>
            </w:pPr>
            <w:r w:rsidRPr="006934E8">
              <w:rPr>
                <w:rFonts w:ascii="Arial Narrow" w:eastAsia="Times New Roman" w:hAnsi="Arial Narrow" w:cs="Calibri"/>
                <w:color w:val="000000"/>
                <w:sz w:val="20"/>
                <w:szCs w:val="20"/>
                <w:lang w:eastAsia="es-MX"/>
              </w:rPr>
              <w:t>247</w:t>
            </w:r>
          </w:p>
        </w:tc>
        <w:tc>
          <w:tcPr>
            <w:tcW w:w="1349" w:type="pct"/>
            <w:hideMark/>
          </w:tcPr>
          <w:p w14:paraId="0F42CDBD"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22-AEMF-A-GOB-100-247</w:t>
            </w:r>
          </w:p>
        </w:tc>
        <w:tc>
          <w:tcPr>
            <w:tcW w:w="1427" w:type="pct"/>
            <w:hideMark/>
          </w:tcPr>
          <w:p w14:paraId="10DB8F66"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Solución Integral de Residuos Sólidos Cancún</w:t>
            </w:r>
          </w:p>
        </w:tc>
        <w:tc>
          <w:tcPr>
            <w:tcW w:w="1909" w:type="pct"/>
            <w:hideMark/>
          </w:tcPr>
          <w:p w14:paraId="5218F752" w14:textId="77777777" w:rsidR="001D4516" w:rsidRPr="004D356B" w:rsidRDefault="001D4516" w:rsidP="001F49A3">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MX"/>
              </w:rPr>
            </w:pPr>
            <w:r w:rsidRPr="004D356B">
              <w:rPr>
                <w:rFonts w:ascii="Arial Narrow" w:eastAsia="Times New Roman" w:hAnsi="Arial Narrow" w:cs="Calibri"/>
                <w:color w:val="000000"/>
                <w:sz w:val="20"/>
                <w:szCs w:val="20"/>
                <w:lang w:eastAsia="es-MX"/>
              </w:rPr>
              <w:t>Auditoría de Cumplimiento Financiero de Gastos Públicos</w:t>
            </w:r>
          </w:p>
        </w:tc>
      </w:tr>
    </w:tbl>
    <w:p w14:paraId="5F530B48" w14:textId="77777777" w:rsidR="003C2585" w:rsidRDefault="003C2585" w:rsidP="005D2E5D"/>
    <w:p w14:paraId="0FE4BE59" w14:textId="77777777" w:rsidR="003C2585" w:rsidRDefault="003C2585" w:rsidP="005D2E5D"/>
    <w:p w14:paraId="5567131B" w14:textId="77777777" w:rsidR="00D6051B" w:rsidRDefault="00D6051B" w:rsidP="005D2E5D">
      <w:pPr>
        <w:sectPr w:rsidR="00D6051B" w:rsidSect="00747D75">
          <w:pgSz w:w="12240" w:h="15840"/>
          <w:pgMar w:top="1404" w:right="1701" w:bottom="993" w:left="1701" w:header="426" w:footer="708" w:gutter="0"/>
          <w:cols w:space="708"/>
          <w:docGrid w:linePitch="360"/>
        </w:sectPr>
      </w:pPr>
    </w:p>
    <w:p w14:paraId="6E54C42E" w14:textId="77777777" w:rsidR="003C2585" w:rsidRDefault="003C2585" w:rsidP="005D2E5D"/>
    <w:p w14:paraId="44F6FC97" w14:textId="77777777" w:rsidR="006E4BBD" w:rsidRDefault="006E4BBD" w:rsidP="006E4BBD"/>
    <w:p w14:paraId="52450BA4" w14:textId="77777777" w:rsidR="00D1665B" w:rsidRDefault="00D1665B" w:rsidP="006E4BBD"/>
    <w:p w14:paraId="3DDC63CD" w14:textId="77777777" w:rsidR="006E4BBD" w:rsidRDefault="006E4BBD" w:rsidP="006E4BBD"/>
    <w:p w14:paraId="4AED856A" w14:textId="77777777" w:rsidR="005D2E5D" w:rsidRDefault="005D2E5D" w:rsidP="006E4BBD"/>
    <w:p w14:paraId="15241A76" w14:textId="77777777" w:rsidR="005D2E5D" w:rsidRDefault="005D2E5D" w:rsidP="006E4BBD"/>
    <w:p w14:paraId="2517EA60" w14:textId="77777777" w:rsidR="00D6051B" w:rsidRDefault="00D6051B" w:rsidP="006E4BBD">
      <w:pPr>
        <w:sectPr w:rsidR="00D6051B" w:rsidSect="00747D75">
          <w:headerReference w:type="default" r:id="rId57"/>
          <w:footerReference w:type="default" r:id="rId58"/>
          <w:pgSz w:w="12240" w:h="15840"/>
          <w:pgMar w:top="1404" w:right="1701" w:bottom="993" w:left="1701" w:header="426" w:footer="708" w:gutter="0"/>
          <w:cols w:space="708"/>
          <w:docGrid w:linePitch="360"/>
        </w:sectPr>
      </w:pPr>
    </w:p>
    <w:p w14:paraId="21871F9F" w14:textId="77777777" w:rsidR="00D6051B" w:rsidRDefault="00D6051B" w:rsidP="006E4BBD"/>
    <w:p w14:paraId="57D4D9D2" w14:textId="77777777" w:rsidR="005D2E5D" w:rsidRDefault="005D2E5D" w:rsidP="006E4BBD"/>
    <w:p w14:paraId="1BB53CEF" w14:textId="77777777" w:rsidR="005D2E5D" w:rsidRDefault="005D2E5D" w:rsidP="006E4BBD"/>
    <w:p w14:paraId="12EF6908" w14:textId="77777777" w:rsidR="005D2E5D" w:rsidRDefault="005D2E5D" w:rsidP="006E4BBD"/>
    <w:p w14:paraId="059D00F9" w14:textId="77777777" w:rsidR="005D2E5D" w:rsidRDefault="005D2E5D" w:rsidP="006E4BBD"/>
    <w:p w14:paraId="733AF23F" w14:textId="77777777" w:rsidR="005D2E5D" w:rsidRDefault="005D2E5D" w:rsidP="006E4BBD"/>
    <w:p w14:paraId="376C5805" w14:textId="77777777" w:rsidR="005D2E5D" w:rsidRDefault="005D2E5D" w:rsidP="006E4BBD"/>
    <w:p w14:paraId="5279787B" w14:textId="77777777" w:rsidR="005D2E5D" w:rsidRDefault="005D2E5D" w:rsidP="006E4BBD"/>
    <w:p w14:paraId="190FD729" w14:textId="77777777" w:rsidR="005D2E5D" w:rsidRDefault="005D2E5D" w:rsidP="006E4BBD"/>
    <w:p w14:paraId="0FBDF685" w14:textId="77777777" w:rsidR="005D2E5D" w:rsidRDefault="005D2E5D" w:rsidP="006E4BBD"/>
    <w:p w14:paraId="05A70FC1" w14:textId="77777777" w:rsidR="005D2E5D" w:rsidRDefault="005D2E5D" w:rsidP="006E4BBD"/>
    <w:p w14:paraId="751424DE" w14:textId="77777777" w:rsidR="00DE53ED" w:rsidRPr="00E571A1" w:rsidRDefault="00696277" w:rsidP="00E571A1">
      <w:pPr>
        <w:pStyle w:val="Ttulo1"/>
        <w:jc w:val="center"/>
        <w:rPr>
          <w:rFonts w:ascii="Arial" w:eastAsia="Arial" w:hAnsi="Arial" w:cs="Arial"/>
          <w:b/>
          <w:color w:val="auto"/>
          <w:sz w:val="40"/>
          <w:lang w:val="es-ES" w:eastAsia="es-ES" w:bidi="es-ES"/>
        </w:rPr>
      </w:pPr>
      <w:bookmarkStart w:id="96" w:name="_Toc158567514"/>
      <w:r w:rsidRPr="00E571A1">
        <w:rPr>
          <w:rFonts w:ascii="Arial" w:eastAsia="Arial" w:hAnsi="Arial" w:cs="Arial"/>
          <w:b/>
          <w:color w:val="auto"/>
          <w:sz w:val="40"/>
          <w:lang w:val="es-ES" w:eastAsia="es-ES" w:bidi="es-ES"/>
        </w:rPr>
        <w:t>ANEXO 3</w:t>
      </w:r>
      <w:bookmarkEnd w:id="96"/>
    </w:p>
    <w:p w14:paraId="20D75CF9" w14:textId="77777777" w:rsidR="005D2E5D" w:rsidRPr="00E571A1" w:rsidRDefault="00FB3436" w:rsidP="00E571A1">
      <w:pPr>
        <w:pStyle w:val="Ttulo1"/>
        <w:jc w:val="center"/>
        <w:rPr>
          <w:rFonts w:ascii="Arial" w:hAnsi="Arial" w:cs="Arial"/>
          <w:b/>
          <w:color w:val="auto"/>
          <w:sz w:val="40"/>
        </w:rPr>
      </w:pPr>
      <w:bookmarkStart w:id="97" w:name="_Toc158567515"/>
      <w:r w:rsidRPr="00E571A1">
        <w:rPr>
          <w:rFonts w:ascii="Arial" w:eastAsia="Arial" w:hAnsi="Arial" w:cs="Arial"/>
          <w:b/>
          <w:color w:val="auto"/>
          <w:sz w:val="40"/>
          <w:lang w:val="es-ES" w:eastAsia="es-ES" w:bidi="es-ES"/>
        </w:rPr>
        <w:t>INFOGRAFÍAS</w:t>
      </w:r>
      <w:bookmarkEnd w:id="97"/>
    </w:p>
    <w:p w14:paraId="01168DE9" w14:textId="77777777" w:rsidR="00F440B1" w:rsidRDefault="00F440B1" w:rsidP="006E4BBD"/>
    <w:p w14:paraId="594EC1C4" w14:textId="77777777" w:rsidR="00F440B1" w:rsidRDefault="00F440B1" w:rsidP="006E4BBD"/>
    <w:p w14:paraId="3D6C56CB" w14:textId="77777777" w:rsidR="00F440B1" w:rsidRDefault="00F440B1" w:rsidP="006E4BBD"/>
    <w:p w14:paraId="004A7FD8" w14:textId="77777777" w:rsidR="00F440B1" w:rsidRDefault="00F440B1" w:rsidP="006E4BBD"/>
    <w:p w14:paraId="451729A1" w14:textId="77777777" w:rsidR="00F440B1" w:rsidRDefault="00F440B1" w:rsidP="006E4BBD"/>
    <w:p w14:paraId="24A4ED1E" w14:textId="77777777" w:rsidR="00F440B1" w:rsidRDefault="00F440B1" w:rsidP="006E4BBD"/>
    <w:p w14:paraId="662961C7" w14:textId="77777777" w:rsidR="00F440B1" w:rsidRDefault="00F440B1" w:rsidP="006E4BBD"/>
    <w:p w14:paraId="5C98ECE1" w14:textId="77777777" w:rsidR="00F440B1" w:rsidRDefault="00F440B1" w:rsidP="006E4BBD"/>
    <w:p w14:paraId="71C4488E" w14:textId="77777777" w:rsidR="00F440B1" w:rsidRDefault="00F440B1" w:rsidP="006E4BBD"/>
    <w:p w14:paraId="1220611B" w14:textId="77777777" w:rsidR="00F440B1" w:rsidRDefault="00F440B1" w:rsidP="006E4BBD"/>
    <w:p w14:paraId="7F3A0379" w14:textId="77777777" w:rsidR="00F440B1" w:rsidRDefault="00F440B1" w:rsidP="006E4BBD"/>
    <w:p w14:paraId="6FA441C6" w14:textId="77777777" w:rsidR="00CC276C" w:rsidRDefault="00CC276C" w:rsidP="006E4BBD"/>
    <w:p w14:paraId="0B7C3CD9" w14:textId="77777777" w:rsidR="00CC276C" w:rsidRDefault="00CC276C" w:rsidP="006E4BBD"/>
    <w:p w14:paraId="3837044F" w14:textId="77777777" w:rsidR="00CC276C" w:rsidRDefault="00CC276C" w:rsidP="006E4BBD">
      <w:r>
        <w:rPr>
          <w:noProof/>
          <w:lang w:eastAsia="es-MX"/>
        </w:rPr>
        <w:lastRenderedPageBreak/>
        <w:drawing>
          <wp:inline distT="0" distB="0" distL="0" distR="0" wp14:anchorId="6C4407A7" wp14:editId="1317C71F">
            <wp:extent cx="5582444" cy="73990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JE.jpg"/>
                    <pic:cNvPicPr/>
                  </pic:nvPicPr>
                  <pic:blipFill rotWithShape="1">
                    <a:blip r:embed="rId59" cstate="print">
                      <a:extLst>
                        <a:ext uri="{28A0092B-C50C-407E-A947-70E740481C1C}">
                          <a14:useLocalDpi xmlns:a14="http://schemas.microsoft.com/office/drawing/2010/main" val="0"/>
                        </a:ext>
                      </a:extLst>
                    </a:blip>
                    <a:srcRect l="5431" t="944" r="3190" b="5498"/>
                    <a:stretch/>
                  </pic:blipFill>
                  <pic:spPr bwMode="auto">
                    <a:xfrm>
                      <a:off x="0" y="0"/>
                      <a:ext cx="5587895" cy="7406245"/>
                    </a:xfrm>
                    <a:prstGeom prst="rect">
                      <a:avLst/>
                    </a:prstGeom>
                    <a:ln>
                      <a:noFill/>
                    </a:ln>
                    <a:extLst>
                      <a:ext uri="{53640926-AAD7-44D8-BBD7-CCE9431645EC}">
                        <a14:shadowObscured xmlns:a14="http://schemas.microsoft.com/office/drawing/2010/main"/>
                      </a:ext>
                    </a:extLst>
                  </pic:spPr>
                </pic:pic>
              </a:graphicData>
            </a:graphic>
          </wp:inline>
        </w:drawing>
      </w:r>
    </w:p>
    <w:p w14:paraId="31AD1C5F" w14:textId="77777777" w:rsidR="00F440B1" w:rsidRDefault="00F440B1" w:rsidP="006E4BBD"/>
    <w:p w14:paraId="592641E6" w14:textId="77777777" w:rsidR="00F440B1" w:rsidRDefault="00F440B1" w:rsidP="006E4BBD"/>
    <w:p w14:paraId="2BBB0925" w14:textId="77777777" w:rsidR="00F440B1" w:rsidRDefault="00CC276C" w:rsidP="006E4BBD">
      <w:r>
        <w:rPr>
          <w:noProof/>
          <w:lang w:eastAsia="es-MX"/>
        </w:rPr>
        <w:lastRenderedPageBreak/>
        <w:drawing>
          <wp:inline distT="0" distB="0" distL="0" distR="0" wp14:anchorId="10152E29" wp14:editId="0323E513">
            <wp:extent cx="5554345" cy="8147085"/>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MOVEQROO.jpg"/>
                    <pic:cNvPicPr/>
                  </pic:nvPicPr>
                  <pic:blipFill rotWithShape="1">
                    <a:blip r:embed="rId60" cstate="print">
                      <a:extLst>
                        <a:ext uri="{28A0092B-C50C-407E-A947-70E740481C1C}">
                          <a14:useLocalDpi xmlns:a14="http://schemas.microsoft.com/office/drawing/2010/main" val="0"/>
                        </a:ext>
                      </a:extLst>
                    </a:blip>
                    <a:srcRect l="4888" r="6856"/>
                    <a:stretch/>
                  </pic:blipFill>
                  <pic:spPr bwMode="auto">
                    <a:xfrm>
                      <a:off x="0" y="0"/>
                      <a:ext cx="5559922" cy="8155266"/>
                    </a:xfrm>
                    <a:prstGeom prst="rect">
                      <a:avLst/>
                    </a:prstGeom>
                    <a:ln>
                      <a:noFill/>
                    </a:ln>
                    <a:extLst>
                      <a:ext uri="{53640926-AAD7-44D8-BBD7-CCE9431645EC}">
                        <a14:shadowObscured xmlns:a14="http://schemas.microsoft.com/office/drawing/2010/main"/>
                      </a:ext>
                    </a:extLst>
                  </pic:spPr>
                </pic:pic>
              </a:graphicData>
            </a:graphic>
          </wp:inline>
        </w:drawing>
      </w:r>
    </w:p>
    <w:p w14:paraId="415A9C32" w14:textId="77777777" w:rsidR="00FA05CC" w:rsidRDefault="00D215DE" w:rsidP="006E4BBD">
      <w:r>
        <w:rPr>
          <w:noProof/>
          <w:lang w:eastAsia="es-MX"/>
        </w:rPr>
        <w:lastRenderedPageBreak/>
        <w:drawing>
          <wp:inline distT="0" distB="0" distL="0" distR="0" wp14:anchorId="51950FF4" wp14:editId="56C29D93">
            <wp:extent cx="5593080" cy="7950778"/>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RESOL.jpg"/>
                    <pic:cNvPicPr/>
                  </pic:nvPicPr>
                  <pic:blipFill rotWithShape="1">
                    <a:blip r:embed="rId61" cstate="print">
                      <a:extLst>
                        <a:ext uri="{28A0092B-C50C-407E-A947-70E740481C1C}">
                          <a14:useLocalDpi xmlns:a14="http://schemas.microsoft.com/office/drawing/2010/main" val="0"/>
                        </a:ext>
                      </a:extLst>
                    </a:blip>
                    <a:srcRect l="4888" r="6856" b="3086"/>
                    <a:stretch/>
                  </pic:blipFill>
                  <pic:spPr bwMode="auto">
                    <a:xfrm>
                      <a:off x="0" y="0"/>
                      <a:ext cx="5601333" cy="7962510"/>
                    </a:xfrm>
                    <a:prstGeom prst="rect">
                      <a:avLst/>
                    </a:prstGeom>
                    <a:ln>
                      <a:noFill/>
                    </a:ln>
                    <a:extLst>
                      <a:ext uri="{53640926-AAD7-44D8-BBD7-CCE9431645EC}">
                        <a14:shadowObscured xmlns:a14="http://schemas.microsoft.com/office/drawing/2010/main"/>
                      </a:ext>
                    </a:extLst>
                  </pic:spPr>
                </pic:pic>
              </a:graphicData>
            </a:graphic>
          </wp:inline>
        </w:drawing>
      </w:r>
    </w:p>
    <w:p w14:paraId="4C26F624" w14:textId="77777777" w:rsidR="00D215DE" w:rsidRDefault="00D215DE" w:rsidP="006E4BBD">
      <w:r>
        <w:rPr>
          <w:noProof/>
          <w:lang w:eastAsia="es-MX"/>
        </w:rPr>
        <w:lastRenderedPageBreak/>
        <w:drawing>
          <wp:inline distT="0" distB="0" distL="0" distR="0" wp14:anchorId="1B8EB902" wp14:editId="4D5C34AD">
            <wp:extent cx="5577840" cy="7842112"/>
            <wp:effectExtent l="0" t="0" r="381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AVEQROO.jpeg"/>
                    <pic:cNvPicPr/>
                  </pic:nvPicPr>
                  <pic:blipFill rotWithShape="1">
                    <a:blip r:embed="rId62">
                      <a:extLst>
                        <a:ext uri="{28A0092B-C50C-407E-A947-70E740481C1C}">
                          <a14:useLocalDpi xmlns:a14="http://schemas.microsoft.com/office/drawing/2010/main" val="0"/>
                        </a:ext>
                      </a:extLst>
                    </a:blip>
                    <a:srcRect l="2579" r="1426" b="4682"/>
                    <a:stretch/>
                  </pic:blipFill>
                  <pic:spPr bwMode="auto">
                    <a:xfrm>
                      <a:off x="0" y="0"/>
                      <a:ext cx="5580373" cy="7845673"/>
                    </a:xfrm>
                    <a:prstGeom prst="rect">
                      <a:avLst/>
                    </a:prstGeom>
                    <a:ln>
                      <a:noFill/>
                    </a:ln>
                    <a:extLst>
                      <a:ext uri="{53640926-AAD7-44D8-BBD7-CCE9431645EC}">
                        <a14:shadowObscured xmlns:a14="http://schemas.microsoft.com/office/drawing/2010/main"/>
                      </a:ext>
                    </a:extLst>
                  </pic:spPr>
                </pic:pic>
              </a:graphicData>
            </a:graphic>
          </wp:inline>
        </w:drawing>
      </w:r>
    </w:p>
    <w:p w14:paraId="0DBDA3F7" w14:textId="77777777" w:rsidR="00FA05CC" w:rsidRDefault="00D215DE" w:rsidP="00D215DE">
      <w:pPr>
        <w:jc w:val="center"/>
      </w:pPr>
      <w:r>
        <w:rPr>
          <w:noProof/>
          <w:lang w:eastAsia="es-MX"/>
        </w:rPr>
        <w:lastRenderedPageBreak/>
        <w:drawing>
          <wp:inline distT="0" distB="0" distL="0" distR="0" wp14:anchorId="655DBE77" wp14:editId="09B74444">
            <wp:extent cx="5612130" cy="793813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G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2130" cy="7938135"/>
                    </a:xfrm>
                    <a:prstGeom prst="rect">
                      <a:avLst/>
                    </a:prstGeom>
                  </pic:spPr>
                </pic:pic>
              </a:graphicData>
            </a:graphic>
          </wp:inline>
        </w:drawing>
      </w:r>
    </w:p>
    <w:p w14:paraId="3F47E8E3" w14:textId="77777777" w:rsidR="001D75AD" w:rsidRDefault="00D215DE" w:rsidP="006E4BBD">
      <w:r>
        <w:rPr>
          <w:noProof/>
          <w:lang w:eastAsia="es-MX"/>
        </w:rPr>
        <w:lastRenderedPageBreak/>
        <w:drawing>
          <wp:inline distT="0" distB="0" distL="0" distR="0" wp14:anchorId="1550B433" wp14:editId="708A6E52">
            <wp:extent cx="5612130" cy="793813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MER.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12130" cy="7938135"/>
                    </a:xfrm>
                    <a:prstGeom prst="rect">
                      <a:avLst/>
                    </a:prstGeom>
                  </pic:spPr>
                </pic:pic>
              </a:graphicData>
            </a:graphic>
          </wp:inline>
        </w:drawing>
      </w:r>
    </w:p>
    <w:p w14:paraId="44BE221C" w14:textId="77777777" w:rsidR="001D75AD" w:rsidRDefault="00D215DE" w:rsidP="006E4BBD">
      <w:r>
        <w:rPr>
          <w:noProof/>
          <w:lang w:eastAsia="es-MX"/>
        </w:rPr>
        <w:lastRenderedPageBreak/>
        <w:drawing>
          <wp:inline distT="0" distB="0" distL="0" distR="0" wp14:anchorId="155791CE" wp14:editId="3C8C61A3">
            <wp:extent cx="5612130" cy="726503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DETU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12130" cy="7265035"/>
                    </a:xfrm>
                    <a:prstGeom prst="rect">
                      <a:avLst/>
                    </a:prstGeom>
                  </pic:spPr>
                </pic:pic>
              </a:graphicData>
            </a:graphic>
          </wp:inline>
        </w:drawing>
      </w:r>
    </w:p>
    <w:p w14:paraId="4D2F5740" w14:textId="77777777" w:rsidR="001D75AD" w:rsidRDefault="001D75AD" w:rsidP="006E4BBD"/>
    <w:p w14:paraId="2C330C3E" w14:textId="77777777" w:rsidR="001D75AD" w:rsidRDefault="001D75AD" w:rsidP="006E4BBD"/>
    <w:p w14:paraId="3D695FC5" w14:textId="77777777" w:rsidR="001D75AD" w:rsidRDefault="00C05385" w:rsidP="001D75AD">
      <w:pPr>
        <w:jc w:val="center"/>
      </w:pPr>
      <w:r>
        <w:rPr>
          <w:noProof/>
          <w:lang w:eastAsia="es-MX"/>
        </w:rPr>
        <w:lastRenderedPageBreak/>
        <w:drawing>
          <wp:inline distT="0" distB="0" distL="0" distR="0" wp14:anchorId="077DDC37" wp14:editId="0275D18C">
            <wp:extent cx="5463390" cy="7520940"/>
            <wp:effectExtent l="0" t="0" r="444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ZUMEL_Infografía_Obra Pública_CP2022-_001.png"/>
                    <pic:cNvPicPr/>
                  </pic:nvPicPr>
                  <pic:blipFill rotWithShape="1">
                    <a:blip r:embed="rId66">
                      <a:extLst>
                        <a:ext uri="{28A0092B-C50C-407E-A947-70E740481C1C}">
                          <a14:useLocalDpi xmlns:a14="http://schemas.microsoft.com/office/drawing/2010/main" val="0"/>
                        </a:ext>
                      </a:extLst>
                    </a:blip>
                    <a:srcRect l="1658" r="1486"/>
                    <a:stretch/>
                  </pic:blipFill>
                  <pic:spPr bwMode="auto">
                    <a:xfrm>
                      <a:off x="0" y="0"/>
                      <a:ext cx="5470947" cy="7531343"/>
                    </a:xfrm>
                    <a:prstGeom prst="rect">
                      <a:avLst/>
                    </a:prstGeom>
                    <a:ln>
                      <a:noFill/>
                    </a:ln>
                    <a:extLst>
                      <a:ext uri="{53640926-AAD7-44D8-BBD7-CCE9431645EC}">
                        <a14:shadowObscured xmlns:a14="http://schemas.microsoft.com/office/drawing/2010/main"/>
                      </a:ext>
                    </a:extLst>
                  </pic:spPr>
                </pic:pic>
              </a:graphicData>
            </a:graphic>
          </wp:inline>
        </w:drawing>
      </w:r>
    </w:p>
    <w:p w14:paraId="0E8BD9B8" w14:textId="77777777" w:rsidR="001D75AD" w:rsidRDefault="001D75AD" w:rsidP="001D75AD">
      <w:pPr>
        <w:jc w:val="center"/>
      </w:pPr>
    </w:p>
    <w:p w14:paraId="262C1075" w14:textId="77777777" w:rsidR="00C05385" w:rsidRDefault="00C05385" w:rsidP="001D75AD">
      <w:pPr>
        <w:jc w:val="center"/>
      </w:pPr>
    </w:p>
    <w:p w14:paraId="03801D38" w14:textId="14902090" w:rsidR="00C05385" w:rsidRDefault="00C05385" w:rsidP="001D75AD">
      <w:pPr>
        <w:jc w:val="center"/>
      </w:pPr>
      <w:r>
        <w:rPr>
          <w:noProof/>
          <w:lang w:eastAsia="es-MX"/>
        </w:rPr>
        <w:lastRenderedPageBreak/>
        <w:drawing>
          <wp:inline distT="0" distB="0" distL="0" distR="0" wp14:anchorId="7CF497BC" wp14:editId="4E6E0A20">
            <wp:extent cx="5550150" cy="75895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A_Infografía_Obra Pública_CP2022--_001.png"/>
                    <pic:cNvPicPr/>
                  </pic:nvPicPr>
                  <pic:blipFill rotWithShape="1">
                    <a:blip r:embed="rId67">
                      <a:extLst>
                        <a:ext uri="{28A0092B-C50C-407E-A947-70E740481C1C}">
                          <a14:useLocalDpi xmlns:a14="http://schemas.microsoft.com/office/drawing/2010/main" val="0"/>
                        </a:ext>
                      </a:extLst>
                    </a:blip>
                    <a:srcRect l="1334" r="1160"/>
                    <a:stretch/>
                  </pic:blipFill>
                  <pic:spPr bwMode="auto">
                    <a:xfrm>
                      <a:off x="0" y="0"/>
                      <a:ext cx="5564621" cy="7609308"/>
                    </a:xfrm>
                    <a:prstGeom prst="rect">
                      <a:avLst/>
                    </a:prstGeom>
                    <a:ln>
                      <a:noFill/>
                    </a:ln>
                    <a:extLst>
                      <a:ext uri="{53640926-AAD7-44D8-BBD7-CCE9431645EC}">
                        <a14:shadowObscured xmlns:a14="http://schemas.microsoft.com/office/drawing/2010/main"/>
                      </a:ext>
                    </a:extLst>
                  </pic:spPr>
                </pic:pic>
              </a:graphicData>
            </a:graphic>
          </wp:inline>
        </w:drawing>
      </w:r>
    </w:p>
    <w:p w14:paraId="6E61EA68" w14:textId="77777777" w:rsidR="00DA1D30" w:rsidRDefault="00DA1D30" w:rsidP="001D75AD">
      <w:pPr>
        <w:jc w:val="center"/>
        <w:sectPr w:rsidR="00DA1D30" w:rsidSect="00747D75">
          <w:headerReference w:type="default" r:id="rId68"/>
          <w:footerReference w:type="default" r:id="rId69"/>
          <w:pgSz w:w="12240" w:h="15840"/>
          <w:pgMar w:top="1404" w:right="1701" w:bottom="993" w:left="1701" w:header="426" w:footer="708" w:gutter="0"/>
          <w:pgNumType w:start="164"/>
          <w:cols w:space="708"/>
          <w:docGrid w:linePitch="360"/>
        </w:sectPr>
      </w:pPr>
    </w:p>
    <w:p w14:paraId="783DFD24" w14:textId="3037ED48" w:rsidR="00DA1D30" w:rsidRDefault="00DA1D30" w:rsidP="001D75AD">
      <w:pPr>
        <w:jc w:val="center"/>
      </w:pPr>
      <w:r>
        <w:rPr>
          <w:noProof/>
          <w:lang w:eastAsia="es-MX"/>
        </w:rPr>
        <w:lastRenderedPageBreak/>
        <w:drawing>
          <wp:anchor distT="0" distB="0" distL="114300" distR="114300" simplePos="0" relativeHeight="251697152" behindDoc="1" locked="0" layoutInCell="1" allowOverlap="1" wp14:anchorId="6DC72E08" wp14:editId="71AB53ED">
            <wp:simplePos x="0" y="0"/>
            <wp:positionH relativeFrom="margin">
              <wp:align>center</wp:align>
            </wp:positionH>
            <wp:positionV relativeFrom="paragraph">
              <wp:posOffset>-338455</wp:posOffset>
            </wp:positionV>
            <wp:extent cx="7101402" cy="9189720"/>
            <wp:effectExtent l="0" t="0" r="444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ntraportada 1 Ejecutivo ASEQROO 202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101402" cy="9189720"/>
                    </a:xfrm>
                    <a:prstGeom prst="rect">
                      <a:avLst/>
                    </a:prstGeom>
                  </pic:spPr>
                </pic:pic>
              </a:graphicData>
            </a:graphic>
            <wp14:sizeRelH relativeFrom="margin">
              <wp14:pctWidth>0</wp14:pctWidth>
            </wp14:sizeRelH>
            <wp14:sizeRelV relativeFrom="margin">
              <wp14:pctHeight>0</wp14:pctHeight>
            </wp14:sizeRelV>
          </wp:anchor>
        </w:drawing>
      </w:r>
    </w:p>
    <w:p w14:paraId="0BF246B7" w14:textId="77777777" w:rsidR="00DA1D30" w:rsidRDefault="00DA1D30" w:rsidP="001D75AD">
      <w:pPr>
        <w:jc w:val="center"/>
      </w:pPr>
      <w:bookmarkStart w:id="98" w:name="_GoBack"/>
      <w:bookmarkEnd w:id="98"/>
    </w:p>
    <w:sectPr w:rsidR="00DA1D30" w:rsidSect="00747D75">
      <w:headerReference w:type="default" r:id="rId71"/>
      <w:footerReference w:type="default" r:id="rId72"/>
      <w:pgSz w:w="12240" w:h="15840"/>
      <w:pgMar w:top="1404" w:right="1701" w:bottom="993" w:left="1701" w:header="426" w:footer="708" w:gutter="0"/>
      <w:pgNumType w:start="16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5CBCD" w14:textId="77777777" w:rsidR="00A26084" w:rsidRDefault="00A26084" w:rsidP="008A3AB5">
      <w:pPr>
        <w:spacing w:after="0" w:line="240" w:lineRule="auto"/>
      </w:pPr>
      <w:r>
        <w:separator/>
      </w:r>
    </w:p>
  </w:endnote>
  <w:endnote w:type="continuationSeparator" w:id="0">
    <w:p w14:paraId="231140E9" w14:textId="77777777" w:rsidR="00A26084" w:rsidRDefault="00A26084" w:rsidP="008A3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charset w:val="00"/>
    <w:family w:val="auto"/>
    <w:pitch w:val="variable"/>
    <w:sig w:usb0="2000020F" w:usb1="00000003" w:usb2="00000000" w:usb3="00000000" w:csb0="00000197" w:csb1="00000000"/>
  </w:font>
  <w:font w:name="Poppins Light">
    <w:altName w:val="Courier New"/>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F1EDD" w14:textId="77777777" w:rsidR="00D33739" w:rsidRDefault="00D33739">
    <w:pPr>
      <w:pStyle w:val="Piedepgina"/>
    </w:pPr>
    <w:r w:rsidRPr="0051253E">
      <w:rPr>
        <w:noProof/>
        <w:color w:val="8496B0" w:themeColor="text2" w:themeTint="99"/>
        <w:spacing w:val="60"/>
        <w:sz w:val="24"/>
        <w:szCs w:val="24"/>
        <w:lang w:eastAsia="es-MX"/>
      </w:rPr>
      <mc:AlternateContent>
        <mc:Choice Requires="wps">
          <w:drawing>
            <wp:anchor distT="0" distB="0" distL="0" distR="0" simplePos="0" relativeHeight="251657216" behindDoc="0" locked="0" layoutInCell="1" allowOverlap="1" wp14:anchorId="0B4FD474" wp14:editId="109627C8">
              <wp:simplePos x="0" y="0"/>
              <wp:positionH relativeFrom="rightMargin">
                <wp:posOffset>-45720</wp:posOffset>
              </wp:positionH>
              <wp:positionV relativeFrom="bottomMargin">
                <wp:posOffset>213995</wp:posOffset>
              </wp:positionV>
              <wp:extent cx="575945"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575945" cy="320040"/>
                      </a:xfrm>
                      <a:prstGeom prst="rect">
                        <a:avLst/>
                      </a:prstGeom>
                      <a:solidFill>
                        <a:srgbClr val="800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26D24" w14:textId="6F23B859"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12</w:t>
                          </w:r>
                          <w:r w:rsidRPr="009B15EB">
                            <w:rPr>
                              <w:rFonts w:ascii="Arial" w:hAnsi="Arial" w:cs="Arial"/>
                              <w:b/>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FD474" id="Rectángulo 40" o:spid="_x0000_s1043" style="position:absolute;margin-left:-3.6pt;margin-top:16.85pt;width:45.35pt;height:25.2pt;z-index:25165721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" fillcolor="maroon" stroked="f" strokeweight="3pt">
              <v:textbox>
                <w:txbxContent>
                  <w:p w14:paraId="6F326D24" w14:textId="6F23B859"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12</w:t>
                    </w:r>
                    <w:r w:rsidRPr="009B15EB">
                      <w:rPr>
                        <w:rFonts w:ascii="Arial" w:hAnsi="Arial" w:cs="Arial"/>
                        <w:b/>
                        <w:color w:val="FFFFFF" w:themeColor="background1"/>
                        <w:sz w:val="28"/>
                        <w:szCs w:val="28"/>
                      </w:rPr>
                      <w:fldChar w:fldCharType="end"/>
                    </w:r>
                  </w:p>
                </w:txbxContent>
              </v:textbox>
              <w10:wrap type="square" anchorx="margin" anchory="margin"/>
            </v:rect>
          </w:pict>
        </mc:Fallback>
      </mc:AlternateContent>
    </w:r>
    <w:r w:rsidRPr="00632BC5">
      <w:rPr>
        <w:rFonts w:ascii="Arial" w:hAnsi="Arial" w:cs="Arial"/>
        <w:b/>
        <w:noProof/>
        <w:color w:val="990000"/>
        <w:sz w:val="28"/>
        <w:lang w:eastAsia="es-MX"/>
      </w:rPr>
      <w:drawing>
        <wp:anchor distT="0" distB="0" distL="114300" distR="114300" simplePos="0" relativeHeight="251660288" behindDoc="1" locked="0" layoutInCell="1" allowOverlap="1" wp14:anchorId="6B80DBA0" wp14:editId="49767D43">
          <wp:simplePos x="0" y="0"/>
          <wp:positionH relativeFrom="margin">
            <wp:posOffset>66675</wp:posOffset>
          </wp:positionH>
          <wp:positionV relativeFrom="paragraph">
            <wp:posOffset>-150495</wp:posOffset>
          </wp:positionV>
          <wp:extent cx="282575" cy="503555"/>
          <wp:effectExtent l="0" t="0" r="317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intana ro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575" cy="503555"/>
                  </a:xfrm>
                  <a:prstGeom prst="rect">
                    <a:avLst/>
                  </a:prstGeom>
                </pic:spPr>
              </pic:pic>
            </a:graphicData>
          </a:graphic>
          <wp14:sizeRelH relativeFrom="margin">
            <wp14:pctWidth>0</wp14:pctWidth>
          </wp14:sizeRelH>
          <wp14:sizeRelV relativeFrom="margin">
            <wp14:pctHeight>0</wp14:pctHeight>
          </wp14:sizeRelV>
        </wp:anchor>
      </w:drawing>
    </w:r>
    <w:r w:rsidRPr="0051253E">
      <w:rPr>
        <w:noProof/>
        <w:color w:val="808080" w:themeColor="background1" w:themeShade="80"/>
        <w:spacing w:val="60"/>
        <w:sz w:val="24"/>
        <w:szCs w:val="24"/>
        <w:lang w:eastAsia="es-MX"/>
      </w:rPr>
      <mc:AlternateContent>
        <mc:Choice Requires="wpg">
          <w:drawing>
            <wp:anchor distT="0" distB="0" distL="0" distR="0" simplePos="0" relativeHeight="251658240" behindDoc="0" locked="0" layoutInCell="1" allowOverlap="1" wp14:anchorId="61B06228" wp14:editId="46B28B2C">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37" name="Grupo 37"/>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39" name="Cuadro de texto 39"/>
                      <wps:cNvSpPr txBox="1"/>
                      <wps:spPr>
                        <a:xfrm>
                          <a:off x="0" y="66675"/>
                          <a:ext cx="5943600" cy="257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2137017418"/>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06A70F90" w14:textId="77777777" w:rsidR="00D33739" w:rsidRDefault="00D33739">
                                <w:pPr>
                                  <w:jc w:val="right"/>
                                  <w:rPr>
                                    <w:color w:val="7F7F7F" w:themeColor="text1" w:themeTint="80"/>
                                  </w:rPr>
                                </w:pPr>
                                <w:r>
                                  <w:rPr>
                                    <w:color w:val="7F7F7F" w:themeColor="text1" w:themeTint="80"/>
                                  </w:rPr>
                                  <w:t xml:space="preserve">     </w:t>
                                </w:r>
                              </w:p>
                            </w:sdtContent>
                          </w:sdt>
                          <w:p w14:paraId="520CACB3"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s:wsp>
                      <wps:cNvPr id="38" name="Rectángulo 38"/>
                      <wps:cNvSpPr/>
                      <wps:spPr>
                        <a:xfrm>
                          <a:off x="19050" y="0"/>
                          <a:ext cx="5943600" cy="18826"/>
                        </a:xfrm>
                        <a:prstGeom prst="rect">
                          <a:avLst/>
                        </a:prstGeom>
                        <a:solidFill>
                          <a:schemeClr val="tx1"/>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1B06228" id="Grupo 37" o:spid="_x0000_s1044" style="position:absolute;margin-left:416.8pt;margin-top:0;width:468pt;height:25.2pt;z-index:25165824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">
              <v:shapetype id="_x0000_t202" coordsize="21600,21600" o:spt="202" path="m,l,21600r21600,l21600,xe">
                <v:stroke joinstyle="miter"/>
                <v:path gradientshapeok="t" o:connecttype="rect"/>
              </v:shapetype>
              <v:shape id="Cuadro de texto 39" o:spid="_x0000_s104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Fecha"/>
                        <w:tag w:val=""/>
                        <w:id w:val="-2137017418"/>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06A70F90" w14:textId="77777777" w:rsidR="00D33739" w:rsidRDefault="00D33739">
                          <w:pPr>
                            <w:jc w:val="right"/>
                            <w:rPr>
                              <w:color w:val="7F7F7F" w:themeColor="text1" w:themeTint="80"/>
                            </w:rPr>
                          </w:pPr>
                          <w:r>
                            <w:rPr>
                              <w:color w:val="7F7F7F" w:themeColor="text1" w:themeTint="80"/>
                            </w:rPr>
                            <w:t xml:space="preserve">     </w:t>
                          </w:r>
                        </w:p>
                      </w:sdtContent>
                    </w:sdt>
                    <w:p w14:paraId="520CACB3" w14:textId="77777777" w:rsidR="00D33739" w:rsidRDefault="00D33739">
                      <w:pPr>
                        <w:jc w:val="right"/>
                        <w:rPr>
                          <w:color w:val="808080" w:themeColor="background1" w:themeShade="80"/>
                        </w:rPr>
                      </w:pPr>
                    </w:p>
                  </w:txbxContent>
                </v:textbox>
              </v:shape>
              <v:rect id="Rectángulo 38" o:spid="_x0000_s104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" fillcolor="black [3213]" strokecolor="maroon" strokeweight="1pt"/>
              <w10:wrap type="square" anchorx="margin" anchory="margin"/>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12926" w14:textId="77777777" w:rsidR="00D33739" w:rsidRDefault="00D33739">
    <w:pPr>
      <w:pStyle w:val="Piedepgina"/>
    </w:pPr>
    <w:r w:rsidRPr="0051253E">
      <w:rPr>
        <w:noProof/>
        <w:color w:val="808080" w:themeColor="background1" w:themeShade="80"/>
        <w:spacing w:val="60"/>
        <w:sz w:val="24"/>
        <w:szCs w:val="24"/>
        <w:lang w:eastAsia="es-MX"/>
      </w:rPr>
      <mc:AlternateContent>
        <mc:Choice Requires="wpg">
          <w:drawing>
            <wp:anchor distT="0" distB="0" distL="0" distR="0" simplePos="0" relativeHeight="251724800" behindDoc="0" locked="0" layoutInCell="1" allowOverlap="1" wp14:anchorId="568AFC93" wp14:editId="2D088718">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253" name="Grupo 253"/>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254" name="Rectángulo 254"/>
                      <wps:cNvSpPr/>
                      <wps:spPr>
                        <a:xfrm>
                          <a:off x="19050" y="0"/>
                          <a:ext cx="5943600" cy="18826"/>
                        </a:xfrm>
                        <a:prstGeom prst="rect">
                          <a:avLst/>
                        </a:prstGeom>
                        <a:solidFill>
                          <a:sysClr val="windowText" lastClr="000000"/>
                        </a:solidFill>
                        <a:ln w="1270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Cuadro de texto 255"/>
                      <wps:cNvSpPr txBox="1"/>
                      <wps:spPr>
                        <a:xfrm>
                          <a:off x="0" y="66675"/>
                          <a:ext cx="5943600" cy="257168"/>
                        </a:xfrm>
                        <a:prstGeom prst="rect">
                          <a:avLst/>
                        </a:prstGeom>
                        <a:noFill/>
                        <a:ln w="6350">
                          <a:noFill/>
                        </a:ln>
                        <a:effectLst/>
                      </wps:spPr>
                      <wps:txbx>
                        <w:txbxContent>
                          <w:sdt>
                            <w:sdtPr>
                              <w:rPr>
                                <w:color w:val="7F7F7F" w:themeColor="text1" w:themeTint="80"/>
                              </w:rPr>
                              <w:alias w:val="Fecha"/>
                              <w:tag w:val=""/>
                              <w:id w:val="-650913191"/>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4C0F81DD" w14:textId="77777777" w:rsidR="00D33739" w:rsidRDefault="00D33739">
                                <w:pPr>
                                  <w:jc w:val="right"/>
                                  <w:rPr>
                                    <w:color w:val="7F7F7F" w:themeColor="text1" w:themeTint="80"/>
                                  </w:rPr>
                                </w:pPr>
                                <w:r>
                                  <w:rPr>
                                    <w:color w:val="7F7F7F" w:themeColor="text1" w:themeTint="80"/>
                                  </w:rPr>
                                  <w:t xml:space="preserve">     </w:t>
                                </w:r>
                              </w:p>
                            </w:sdtContent>
                          </w:sdt>
                          <w:p w14:paraId="09F5DDF9"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68AFC93" id="Grupo 253" o:spid="_x0000_s1105" style="position:absolute;margin-left:416.8pt;margin-top:0;width:468pt;height:25.2pt;z-index:25172480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">
              <v:rect id="Rectángulo 254" o:spid="_x0000_s110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" fillcolor="windowText" strokecolor="maroon" strokeweight="1pt"/>
              <v:shapetype id="_x0000_t202" coordsize="21600,21600" o:spt="202" path="m,l,21600r21600,l21600,xe">
                <v:stroke joinstyle="miter"/>
                <v:path gradientshapeok="t" o:connecttype="rect"/>
              </v:shapetype>
              <v:shape id="Cuadro de texto 255" o:spid="_x0000_s110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" filled="f" stroked="f" strokeweight=".5pt">
                <v:textbox inset=",,,0">
                  <w:txbxContent>
                    <w:sdt>
                      <w:sdtPr>
                        <w:rPr>
                          <w:color w:val="7F7F7F" w:themeColor="text1" w:themeTint="80"/>
                        </w:rPr>
                        <w:alias w:val="Fecha"/>
                        <w:tag w:val=""/>
                        <w:id w:val="-650913191"/>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4C0F81DD" w14:textId="77777777" w:rsidR="00D33739" w:rsidRDefault="00D33739">
                          <w:pPr>
                            <w:jc w:val="right"/>
                            <w:rPr>
                              <w:color w:val="7F7F7F" w:themeColor="text1" w:themeTint="80"/>
                            </w:rPr>
                          </w:pPr>
                          <w:r>
                            <w:rPr>
                              <w:color w:val="7F7F7F" w:themeColor="text1" w:themeTint="80"/>
                            </w:rPr>
                            <w:t xml:space="preserve">     </w:t>
                          </w:r>
                        </w:p>
                      </w:sdtContent>
                    </w:sdt>
                    <w:p w14:paraId="09F5DDF9" w14:textId="77777777" w:rsidR="00D33739" w:rsidRDefault="00D33739">
                      <w:pPr>
                        <w:jc w:val="right"/>
                        <w:rPr>
                          <w:color w:val="808080" w:themeColor="background1" w:themeShade="80"/>
                        </w:rPr>
                      </w:pPr>
                    </w:p>
                  </w:txbxContent>
                </v:textbox>
              </v:shape>
              <w10:wrap type="square" anchorx="margin" anchory="margin"/>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773CE" w14:textId="77777777" w:rsidR="00D33739" w:rsidRDefault="00D33739">
    <w:pPr>
      <w:pStyle w:val="Piedepgina"/>
    </w:pPr>
    <w:r w:rsidRPr="0051253E">
      <w:rPr>
        <w:noProof/>
        <w:color w:val="8496B0" w:themeColor="text2" w:themeTint="99"/>
        <w:spacing w:val="60"/>
        <w:sz w:val="24"/>
        <w:szCs w:val="24"/>
        <w:lang w:eastAsia="es-MX"/>
      </w:rPr>
      <mc:AlternateContent>
        <mc:Choice Requires="wps">
          <w:drawing>
            <wp:anchor distT="0" distB="0" distL="0" distR="0" simplePos="0" relativeHeight="251716608" behindDoc="0" locked="0" layoutInCell="1" allowOverlap="1" wp14:anchorId="49F1FC77" wp14:editId="636F3C57">
              <wp:simplePos x="0" y="0"/>
              <wp:positionH relativeFrom="rightMargin">
                <wp:posOffset>-45720</wp:posOffset>
              </wp:positionH>
              <wp:positionV relativeFrom="bottomMargin">
                <wp:posOffset>213995</wp:posOffset>
              </wp:positionV>
              <wp:extent cx="575945" cy="320040"/>
              <wp:effectExtent l="0" t="0" r="0" b="3810"/>
              <wp:wrapSquare wrapText="bothSides"/>
              <wp:docPr id="241" name="Rectángulo 241"/>
              <wp:cNvGraphicFramePr/>
              <a:graphic xmlns:a="http://schemas.openxmlformats.org/drawingml/2006/main">
                <a:graphicData uri="http://schemas.microsoft.com/office/word/2010/wordprocessingShape">
                  <wps:wsp>
                    <wps:cNvSpPr/>
                    <wps:spPr>
                      <a:xfrm>
                        <a:off x="0" y="0"/>
                        <a:ext cx="575945" cy="320040"/>
                      </a:xfrm>
                      <a:prstGeom prst="rect">
                        <a:avLst/>
                      </a:prstGeom>
                      <a:solidFill>
                        <a:srgbClr val="800000"/>
                      </a:solidFill>
                      <a:ln w="38100" cap="flat" cmpd="sng" algn="ctr">
                        <a:noFill/>
                        <a:prstDash val="solid"/>
                        <a:miter lim="800000"/>
                      </a:ln>
                      <a:effectLst/>
                    </wps:spPr>
                    <wps:txbx>
                      <w:txbxContent>
                        <w:p w14:paraId="67078B52" w14:textId="6DC234DC"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172</w:t>
                          </w:r>
                          <w:r w:rsidRPr="009B15EB">
                            <w:rPr>
                              <w:rFonts w:ascii="Arial" w:hAnsi="Arial" w:cs="Arial"/>
                              <w:b/>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1FC77" id="Rectángulo 241" o:spid="_x0000_s1114" style="position:absolute;margin-left:-3.6pt;margin-top:16.85pt;width:45.35pt;height:25.2pt;z-index:25171660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" fillcolor="maroon" stroked="f" strokeweight="3pt">
              <v:textbox>
                <w:txbxContent>
                  <w:p w14:paraId="67078B52" w14:textId="6DC234DC"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172</w:t>
                    </w:r>
                    <w:r w:rsidRPr="009B15EB">
                      <w:rPr>
                        <w:rFonts w:ascii="Arial" w:hAnsi="Arial" w:cs="Arial"/>
                        <w:b/>
                        <w:color w:val="FFFFFF" w:themeColor="background1"/>
                        <w:sz w:val="28"/>
                        <w:szCs w:val="28"/>
                      </w:rPr>
                      <w:fldChar w:fldCharType="end"/>
                    </w:r>
                  </w:p>
                </w:txbxContent>
              </v:textbox>
              <w10:wrap type="square" anchorx="margin" anchory="margin"/>
            </v:rect>
          </w:pict>
        </mc:Fallback>
      </mc:AlternateContent>
    </w:r>
    <w:r w:rsidRPr="00632BC5">
      <w:rPr>
        <w:rFonts w:ascii="Arial" w:hAnsi="Arial" w:cs="Arial"/>
        <w:b/>
        <w:noProof/>
        <w:color w:val="990000"/>
        <w:sz w:val="28"/>
        <w:lang w:eastAsia="es-MX"/>
      </w:rPr>
      <w:drawing>
        <wp:anchor distT="0" distB="0" distL="114300" distR="114300" simplePos="0" relativeHeight="251718656" behindDoc="1" locked="0" layoutInCell="1" allowOverlap="1" wp14:anchorId="3D6AD103" wp14:editId="45E14026">
          <wp:simplePos x="0" y="0"/>
          <wp:positionH relativeFrom="margin">
            <wp:posOffset>66675</wp:posOffset>
          </wp:positionH>
          <wp:positionV relativeFrom="paragraph">
            <wp:posOffset>-150495</wp:posOffset>
          </wp:positionV>
          <wp:extent cx="282575" cy="503555"/>
          <wp:effectExtent l="0" t="0" r="3175" b="0"/>
          <wp:wrapNone/>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intana ro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575" cy="503555"/>
                  </a:xfrm>
                  <a:prstGeom prst="rect">
                    <a:avLst/>
                  </a:prstGeom>
                </pic:spPr>
              </pic:pic>
            </a:graphicData>
          </a:graphic>
          <wp14:sizeRelH relativeFrom="margin">
            <wp14:pctWidth>0</wp14:pctWidth>
          </wp14:sizeRelH>
          <wp14:sizeRelV relativeFrom="margin">
            <wp14:pctHeight>0</wp14:pctHeight>
          </wp14:sizeRelV>
        </wp:anchor>
      </w:drawing>
    </w:r>
    <w:r w:rsidRPr="0051253E">
      <w:rPr>
        <w:noProof/>
        <w:color w:val="808080" w:themeColor="background1" w:themeShade="80"/>
        <w:spacing w:val="60"/>
        <w:sz w:val="24"/>
        <w:szCs w:val="24"/>
        <w:lang w:eastAsia="es-MX"/>
      </w:rPr>
      <mc:AlternateContent>
        <mc:Choice Requires="wpg">
          <w:drawing>
            <wp:anchor distT="0" distB="0" distL="0" distR="0" simplePos="0" relativeHeight="251717632" behindDoc="0" locked="0" layoutInCell="1" allowOverlap="1" wp14:anchorId="6D66C665" wp14:editId="1AD613AB">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242" name="Grupo 242"/>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243" name="Rectángulo 243"/>
                      <wps:cNvSpPr/>
                      <wps:spPr>
                        <a:xfrm>
                          <a:off x="19050" y="0"/>
                          <a:ext cx="5943600" cy="18826"/>
                        </a:xfrm>
                        <a:prstGeom prst="rect">
                          <a:avLst/>
                        </a:prstGeom>
                        <a:solidFill>
                          <a:sysClr val="windowText" lastClr="000000"/>
                        </a:solidFill>
                        <a:ln w="1270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Cuadro de texto 244"/>
                      <wps:cNvSpPr txBox="1"/>
                      <wps:spPr>
                        <a:xfrm>
                          <a:off x="0" y="66675"/>
                          <a:ext cx="5943600" cy="257168"/>
                        </a:xfrm>
                        <a:prstGeom prst="rect">
                          <a:avLst/>
                        </a:prstGeom>
                        <a:noFill/>
                        <a:ln w="6350">
                          <a:noFill/>
                        </a:ln>
                        <a:effectLst/>
                      </wps:spPr>
                      <wps:txbx>
                        <w:txbxContent>
                          <w:sdt>
                            <w:sdtPr>
                              <w:rPr>
                                <w:color w:val="7F7F7F" w:themeColor="text1" w:themeTint="80"/>
                              </w:rPr>
                              <w:alias w:val="Fecha"/>
                              <w:tag w:val=""/>
                              <w:id w:val="17840694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FDABEF7" w14:textId="77777777" w:rsidR="00D33739" w:rsidRDefault="00D33739">
                                <w:pPr>
                                  <w:jc w:val="right"/>
                                  <w:rPr>
                                    <w:color w:val="7F7F7F" w:themeColor="text1" w:themeTint="80"/>
                                  </w:rPr>
                                </w:pPr>
                                <w:r>
                                  <w:rPr>
                                    <w:color w:val="7F7F7F" w:themeColor="text1" w:themeTint="80"/>
                                  </w:rPr>
                                  <w:t xml:space="preserve">     </w:t>
                                </w:r>
                              </w:p>
                            </w:sdtContent>
                          </w:sdt>
                          <w:p w14:paraId="35DD0B82"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D66C665" id="Grupo 242" o:spid="_x0000_s1115" style="position:absolute;margin-left:416.8pt;margin-top:0;width:468pt;height:25.2pt;z-index:25171763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">
              <v:rect id="Rectángulo 243" o:spid="_x0000_s111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" fillcolor="windowText" strokecolor="maroon" strokeweight="1pt"/>
              <v:shapetype id="_x0000_t202" coordsize="21600,21600" o:spt="202" path="m,l,21600r21600,l21600,xe">
                <v:stroke joinstyle="miter"/>
                <v:path gradientshapeok="t" o:connecttype="rect"/>
              </v:shapetype>
              <v:shape id="Cuadro de texto 244" o:spid="_x0000_s111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" filled="f" stroked="f" strokeweight=".5pt">
                <v:textbox inset=",,,0">
                  <w:txbxContent>
                    <w:sdt>
                      <w:sdtPr>
                        <w:rPr>
                          <w:color w:val="7F7F7F" w:themeColor="text1" w:themeTint="80"/>
                        </w:rPr>
                        <w:alias w:val="Fecha"/>
                        <w:tag w:val=""/>
                        <w:id w:val="17840694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FDABEF7" w14:textId="77777777" w:rsidR="00D33739" w:rsidRDefault="00D33739">
                          <w:pPr>
                            <w:jc w:val="right"/>
                            <w:rPr>
                              <w:color w:val="7F7F7F" w:themeColor="text1" w:themeTint="80"/>
                            </w:rPr>
                          </w:pPr>
                          <w:r>
                            <w:rPr>
                              <w:color w:val="7F7F7F" w:themeColor="text1" w:themeTint="80"/>
                            </w:rPr>
                            <w:t xml:space="preserve">     </w:t>
                          </w:r>
                        </w:p>
                      </w:sdtContent>
                    </w:sdt>
                    <w:p w14:paraId="35DD0B82" w14:textId="77777777" w:rsidR="00D33739" w:rsidRDefault="00D33739">
                      <w:pPr>
                        <w:jc w:val="right"/>
                        <w:rPr>
                          <w:color w:val="808080" w:themeColor="background1" w:themeShade="80"/>
                        </w:rPr>
                      </w:pPr>
                    </w:p>
                  </w:txbxContent>
                </v:textbox>
              </v:shape>
              <w10:wrap type="square" anchorx="margin" anchory="margin"/>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D064E" w14:textId="18E690D3" w:rsidR="00DA1D30" w:rsidRDefault="00DA1D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5390B" w14:textId="77777777" w:rsidR="00D33739" w:rsidRDefault="00D33739">
    <w:pPr>
      <w:pStyle w:val="Piedepgina"/>
    </w:pPr>
    <w:r w:rsidRPr="0051253E">
      <w:rPr>
        <w:noProof/>
        <w:color w:val="808080" w:themeColor="background1" w:themeShade="80"/>
        <w:spacing w:val="60"/>
        <w:sz w:val="24"/>
        <w:szCs w:val="24"/>
        <w:lang w:eastAsia="es-MX"/>
      </w:rPr>
      <mc:AlternateContent>
        <mc:Choice Requires="wpg">
          <w:drawing>
            <wp:anchor distT="0" distB="0" distL="0" distR="0" simplePos="0" relativeHeight="251674624" behindDoc="0" locked="0" layoutInCell="1" allowOverlap="1" wp14:anchorId="4A91ED60" wp14:editId="5B4C6646">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923" name="Grupo 923"/>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924" name="Cuadro de texto 924"/>
                      <wps:cNvSpPr txBox="1"/>
                      <wps:spPr>
                        <a:xfrm>
                          <a:off x="0" y="66675"/>
                          <a:ext cx="5943600" cy="257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389801797"/>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3F157BB6" w14:textId="77777777" w:rsidR="00D33739" w:rsidRDefault="00D33739">
                                <w:pPr>
                                  <w:jc w:val="right"/>
                                  <w:rPr>
                                    <w:color w:val="7F7F7F" w:themeColor="text1" w:themeTint="80"/>
                                  </w:rPr>
                                </w:pPr>
                                <w:r>
                                  <w:rPr>
                                    <w:color w:val="7F7F7F" w:themeColor="text1" w:themeTint="80"/>
                                  </w:rPr>
                                  <w:t xml:space="preserve">     </w:t>
                                </w:r>
                              </w:p>
                            </w:sdtContent>
                          </w:sdt>
                          <w:p w14:paraId="3637C4EB"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s:wsp>
                      <wps:cNvPr id="925" name="Rectángulo 925"/>
                      <wps:cNvSpPr/>
                      <wps:spPr>
                        <a:xfrm>
                          <a:off x="19050" y="0"/>
                          <a:ext cx="5943600" cy="18826"/>
                        </a:xfrm>
                        <a:prstGeom prst="rect">
                          <a:avLst/>
                        </a:prstGeom>
                        <a:solidFill>
                          <a:schemeClr val="tx1"/>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A91ED60" id="Grupo 923" o:spid="_x0000_s1047" style="position:absolute;margin-left:416.8pt;margin-top:0;width:468pt;height:25.2pt;z-index:25167462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">
              <v:shapetype id="_x0000_t202" coordsize="21600,21600" o:spt="202" path="m,l,21600r21600,l21600,xe">
                <v:stroke joinstyle="miter"/>
                <v:path gradientshapeok="t" o:connecttype="rect"/>
              </v:shapetype>
              <v:shape id="Cuadro de texto 924" o:spid="_x0000_s104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" filled="f" stroked="f" strokeweight=".5pt">
                <v:textbox inset=",,,0">
                  <w:txbxContent>
                    <w:sdt>
                      <w:sdtPr>
                        <w:rPr>
                          <w:color w:val="7F7F7F" w:themeColor="text1" w:themeTint="80"/>
                        </w:rPr>
                        <w:alias w:val="Fecha"/>
                        <w:tag w:val=""/>
                        <w:id w:val="-389801797"/>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3F157BB6" w14:textId="77777777" w:rsidR="00D33739" w:rsidRDefault="00D33739">
                          <w:pPr>
                            <w:jc w:val="right"/>
                            <w:rPr>
                              <w:color w:val="7F7F7F" w:themeColor="text1" w:themeTint="80"/>
                            </w:rPr>
                          </w:pPr>
                          <w:r>
                            <w:rPr>
                              <w:color w:val="7F7F7F" w:themeColor="text1" w:themeTint="80"/>
                            </w:rPr>
                            <w:t xml:space="preserve">     </w:t>
                          </w:r>
                        </w:p>
                      </w:sdtContent>
                    </w:sdt>
                    <w:p w14:paraId="3637C4EB" w14:textId="77777777" w:rsidR="00D33739" w:rsidRDefault="00D33739">
                      <w:pPr>
                        <w:jc w:val="right"/>
                        <w:rPr>
                          <w:color w:val="808080" w:themeColor="background1" w:themeShade="80"/>
                        </w:rPr>
                      </w:pPr>
                    </w:p>
                  </w:txbxContent>
                </v:textbox>
              </v:shape>
              <v:rect id="Rectángulo 925" o:spid="_x0000_s104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" fillcolor="black [3213]" strokecolor="maroon" strokeweight="1pt"/>
              <w10:wrap type="square" anchorx="margin"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4C9B8" w14:textId="77777777" w:rsidR="00D33739" w:rsidRDefault="00D33739">
    <w:pPr>
      <w:pStyle w:val="Piedepgina"/>
    </w:pPr>
    <w:r w:rsidRPr="0051253E">
      <w:rPr>
        <w:noProof/>
        <w:color w:val="8496B0" w:themeColor="text2" w:themeTint="99"/>
        <w:spacing w:val="60"/>
        <w:sz w:val="24"/>
        <w:szCs w:val="24"/>
        <w:lang w:eastAsia="es-MX"/>
      </w:rPr>
      <mc:AlternateContent>
        <mc:Choice Requires="wps">
          <w:drawing>
            <wp:anchor distT="0" distB="0" distL="0" distR="0" simplePos="0" relativeHeight="251684864" behindDoc="0" locked="0" layoutInCell="1" allowOverlap="1" wp14:anchorId="015F697C" wp14:editId="445E6C06">
              <wp:simplePos x="0" y="0"/>
              <wp:positionH relativeFrom="rightMargin">
                <wp:posOffset>-45720</wp:posOffset>
              </wp:positionH>
              <wp:positionV relativeFrom="bottomMargin">
                <wp:posOffset>213995</wp:posOffset>
              </wp:positionV>
              <wp:extent cx="575945" cy="320040"/>
              <wp:effectExtent l="0" t="0" r="0" b="3810"/>
              <wp:wrapSquare wrapText="bothSides"/>
              <wp:docPr id="948" name="Rectángulo 948"/>
              <wp:cNvGraphicFramePr/>
              <a:graphic xmlns:a="http://schemas.openxmlformats.org/drawingml/2006/main">
                <a:graphicData uri="http://schemas.microsoft.com/office/word/2010/wordprocessingShape">
                  <wps:wsp>
                    <wps:cNvSpPr/>
                    <wps:spPr>
                      <a:xfrm>
                        <a:off x="0" y="0"/>
                        <a:ext cx="575945" cy="320040"/>
                      </a:xfrm>
                      <a:prstGeom prst="rect">
                        <a:avLst/>
                      </a:prstGeom>
                      <a:solidFill>
                        <a:srgbClr val="800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18A90" w14:textId="240CA528"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20</w:t>
                          </w:r>
                          <w:r w:rsidRPr="009B15EB">
                            <w:rPr>
                              <w:rFonts w:ascii="Arial" w:hAnsi="Arial" w:cs="Arial"/>
                              <w:b/>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F697C" id="Rectángulo 948" o:spid="_x0000_s1056" style="position:absolute;margin-left:-3.6pt;margin-top:16.85pt;width:45.35pt;height:25.2pt;z-index:2516848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" fillcolor="maroon" stroked="f" strokeweight="3pt">
              <v:textbox>
                <w:txbxContent>
                  <w:p w14:paraId="1A918A90" w14:textId="240CA528"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20</w:t>
                    </w:r>
                    <w:r w:rsidRPr="009B15EB">
                      <w:rPr>
                        <w:rFonts w:ascii="Arial" w:hAnsi="Arial" w:cs="Arial"/>
                        <w:b/>
                        <w:color w:val="FFFFFF" w:themeColor="background1"/>
                        <w:sz w:val="28"/>
                        <w:szCs w:val="28"/>
                      </w:rPr>
                      <w:fldChar w:fldCharType="end"/>
                    </w:r>
                  </w:p>
                </w:txbxContent>
              </v:textbox>
              <w10:wrap type="square" anchorx="margin" anchory="margin"/>
            </v:rect>
          </w:pict>
        </mc:Fallback>
      </mc:AlternateContent>
    </w:r>
    <w:r w:rsidRPr="00632BC5">
      <w:rPr>
        <w:rFonts w:ascii="Arial" w:hAnsi="Arial" w:cs="Arial"/>
        <w:b/>
        <w:noProof/>
        <w:color w:val="990000"/>
        <w:sz w:val="28"/>
        <w:lang w:eastAsia="es-MX"/>
      </w:rPr>
      <w:drawing>
        <wp:anchor distT="0" distB="0" distL="114300" distR="114300" simplePos="0" relativeHeight="251686912" behindDoc="1" locked="0" layoutInCell="1" allowOverlap="1" wp14:anchorId="756301F0" wp14:editId="724E3EBC">
          <wp:simplePos x="0" y="0"/>
          <wp:positionH relativeFrom="margin">
            <wp:posOffset>66675</wp:posOffset>
          </wp:positionH>
          <wp:positionV relativeFrom="paragraph">
            <wp:posOffset>-150495</wp:posOffset>
          </wp:positionV>
          <wp:extent cx="282575" cy="503555"/>
          <wp:effectExtent l="0" t="0" r="3175" b="0"/>
          <wp:wrapNone/>
          <wp:docPr id="952" name="Imagen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intana ro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575" cy="503555"/>
                  </a:xfrm>
                  <a:prstGeom prst="rect">
                    <a:avLst/>
                  </a:prstGeom>
                </pic:spPr>
              </pic:pic>
            </a:graphicData>
          </a:graphic>
          <wp14:sizeRelH relativeFrom="margin">
            <wp14:pctWidth>0</wp14:pctWidth>
          </wp14:sizeRelH>
          <wp14:sizeRelV relativeFrom="margin">
            <wp14:pctHeight>0</wp14:pctHeight>
          </wp14:sizeRelV>
        </wp:anchor>
      </w:drawing>
    </w:r>
    <w:r w:rsidRPr="0051253E">
      <w:rPr>
        <w:noProof/>
        <w:color w:val="808080" w:themeColor="background1" w:themeShade="80"/>
        <w:spacing w:val="60"/>
        <w:sz w:val="24"/>
        <w:szCs w:val="24"/>
        <w:lang w:eastAsia="es-MX"/>
      </w:rPr>
      <mc:AlternateContent>
        <mc:Choice Requires="wpg">
          <w:drawing>
            <wp:anchor distT="0" distB="0" distL="0" distR="0" simplePos="0" relativeHeight="251685888" behindDoc="0" locked="0" layoutInCell="1" allowOverlap="1" wp14:anchorId="3EC99787" wp14:editId="56C6D8CE">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949" name="Grupo 949"/>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950" name="Cuadro de texto 950"/>
                      <wps:cNvSpPr txBox="1"/>
                      <wps:spPr>
                        <a:xfrm>
                          <a:off x="0" y="66675"/>
                          <a:ext cx="5943600" cy="257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52166324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56834BB0" w14:textId="77777777" w:rsidR="00D33739" w:rsidRDefault="00D33739">
                                <w:pPr>
                                  <w:jc w:val="right"/>
                                  <w:rPr>
                                    <w:color w:val="7F7F7F" w:themeColor="text1" w:themeTint="80"/>
                                  </w:rPr>
                                </w:pPr>
                                <w:r>
                                  <w:rPr>
                                    <w:color w:val="7F7F7F" w:themeColor="text1" w:themeTint="80"/>
                                  </w:rPr>
                                  <w:t xml:space="preserve">     </w:t>
                                </w:r>
                              </w:p>
                            </w:sdtContent>
                          </w:sdt>
                          <w:p w14:paraId="05FB7196"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s:wsp>
                      <wps:cNvPr id="951" name="Rectángulo 951"/>
                      <wps:cNvSpPr/>
                      <wps:spPr>
                        <a:xfrm>
                          <a:off x="19050" y="0"/>
                          <a:ext cx="5943600" cy="18826"/>
                        </a:xfrm>
                        <a:prstGeom prst="rect">
                          <a:avLst/>
                        </a:prstGeom>
                        <a:solidFill>
                          <a:schemeClr val="tx1"/>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EC99787" id="Grupo 949" o:spid="_x0000_s1057" style="position:absolute;margin-left:416.8pt;margin-top:0;width:468pt;height:25.2pt;z-index:2516858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">
              <v:shapetype id="_x0000_t202" coordsize="21600,21600" o:spt="202" path="m,l,21600r21600,l21600,xe">
                <v:stroke joinstyle="miter"/>
                <v:path gradientshapeok="t" o:connecttype="rect"/>
              </v:shapetype>
              <v:shape id="Cuadro de texto 950" o:spid="_x0000_s105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" filled="f" stroked="f" strokeweight=".5pt">
                <v:textbox inset=",,,0">
                  <w:txbxContent>
                    <w:sdt>
                      <w:sdtPr>
                        <w:rPr>
                          <w:color w:val="7F7F7F" w:themeColor="text1" w:themeTint="80"/>
                        </w:rPr>
                        <w:alias w:val="Fecha"/>
                        <w:tag w:val=""/>
                        <w:id w:val="152166324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56834BB0" w14:textId="77777777" w:rsidR="00D33739" w:rsidRDefault="00D33739">
                          <w:pPr>
                            <w:jc w:val="right"/>
                            <w:rPr>
                              <w:color w:val="7F7F7F" w:themeColor="text1" w:themeTint="80"/>
                            </w:rPr>
                          </w:pPr>
                          <w:r>
                            <w:rPr>
                              <w:color w:val="7F7F7F" w:themeColor="text1" w:themeTint="80"/>
                            </w:rPr>
                            <w:t xml:space="preserve">     </w:t>
                          </w:r>
                        </w:p>
                      </w:sdtContent>
                    </w:sdt>
                    <w:p w14:paraId="05FB7196" w14:textId="77777777" w:rsidR="00D33739" w:rsidRDefault="00D33739">
                      <w:pPr>
                        <w:jc w:val="right"/>
                        <w:rPr>
                          <w:color w:val="808080" w:themeColor="background1" w:themeShade="80"/>
                        </w:rPr>
                      </w:pPr>
                    </w:p>
                  </w:txbxContent>
                </v:textbox>
              </v:shape>
              <v:rect id="Rectángulo 951" o:spid="_x0000_s105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" fillcolor="black [3213]" strokecolor="maroon" strokeweight="1pt"/>
              <w10:wrap type="square" anchorx="margin"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E3A81" w14:textId="77777777" w:rsidR="00D33739" w:rsidRDefault="00D33739">
    <w:pPr>
      <w:pStyle w:val="Piedepgina"/>
    </w:pPr>
    <w:r w:rsidRPr="0051253E">
      <w:rPr>
        <w:noProof/>
        <w:color w:val="808080" w:themeColor="background1" w:themeShade="80"/>
        <w:spacing w:val="60"/>
        <w:sz w:val="24"/>
        <w:szCs w:val="24"/>
        <w:lang w:eastAsia="es-MX"/>
      </w:rPr>
      <mc:AlternateContent>
        <mc:Choice Requires="wpg">
          <w:drawing>
            <wp:anchor distT="0" distB="0" distL="0" distR="0" simplePos="0" relativeHeight="251669504" behindDoc="0" locked="0" layoutInCell="1" allowOverlap="1" wp14:anchorId="25782A9C" wp14:editId="0E075900">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45" name="Grupo 45"/>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46" name="Rectángulo 46"/>
                      <wps:cNvSpPr/>
                      <wps:spPr>
                        <a:xfrm>
                          <a:off x="19050" y="0"/>
                          <a:ext cx="5943600" cy="18826"/>
                        </a:xfrm>
                        <a:prstGeom prst="rect">
                          <a:avLst/>
                        </a:prstGeom>
                        <a:solidFill>
                          <a:sysClr val="windowText" lastClr="000000"/>
                        </a:solidFill>
                        <a:ln w="1270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uadro de texto 47"/>
                      <wps:cNvSpPr txBox="1"/>
                      <wps:spPr>
                        <a:xfrm>
                          <a:off x="0" y="66675"/>
                          <a:ext cx="5943600" cy="257168"/>
                        </a:xfrm>
                        <a:prstGeom prst="rect">
                          <a:avLst/>
                        </a:prstGeom>
                        <a:noFill/>
                        <a:ln w="6350">
                          <a:noFill/>
                        </a:ln>
                        <a:effectLst/>
                      </wps:spPr>
                      <wps:txbx>
                        <w:txbxContent>
                          <w:sdt>
                            <w:sdtPr>
                              <w:rPr>
                                <w:color w:val="7F7F7F" w:themeColor="text1" w:themeTint="80"/>
                              </w:rPr>
                              <w:alias w:val="Fecha"/>
                              <w:tag w:val=""/>
                              <w:id w:val="1852218112"/>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2B3F78E7" w14:textId="77777777" w:rsidR="00D33739" w:rsidRDefault="00D33739">
                                <w:pPr>
                                  <w:jc w:val="right"/>
                                  <w:rPr>
                                    <w:color w:val="7F7F7F" w:themeColor="text1" w:themeTint="80"/>
                                  </w:rPr>
                                </w:pPr>
                                <w:r>
                                  <w:rPr>
                                    <w:color w:val="7F7F7F" w:themeColor="text1" w:themeTint="80"/>
                                  </w:rPr>
                                  <w:t xml:space="preserve">     </w:t>
                                </w:r>
                              </w:p>
                            </w:sdtContent>
                          </w:sdt>
                          <w:p w14:paraId="3D0DF42F"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5782A9C" id="Grupo 45" o:spid="_x0000_s1060" style="position:absolute;margin-left:416.8pt;margin-top:0;width:468pt;height:25.2pt;z-index:25166950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">
              <v:rect id="Rectángulo 46" o:spid="_x0000_s106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" fillcolor="windowText" strokecolor="maroon" strokeweight="1pt"/>
              <v:shapetype id="_x0000_t202" coordsize="21600,21600" o:spt="202" path="m,l,21600r21600,l21600,xe">
                <v:stroke joinstyle="miter"/>
                <v:path gradientshapeok="t" o:connecttype="rect"/>
              </v:shapetype>
              <v:shape id="Cuadro de texto 47" o:spid="_x0000_s106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" filled="f" stroked="f" strokeweight=".5pt">
                <v:textbox inset=",,,0">
                  <w:txbxContent>
                    <w:sdt>
                      <w:sdtPr>
                        <w:rPr>
                          <w:color w:val="7F7F7F" w:themeColor="text1" w:themeTint="80"/>
                        </w:rPr>
                        <w:alias w:val="Fecha"/>
                        <w:tag w:val=""/>
                        <w:id w:val="1852218112"/>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2B3F78E7" w14:textId="77777777" w:rsidR="00D33739" w:rsidRDefault="00D33739">
                          <w:pPr>
                            <w:jc w:val="right"/>
                            <w:rPr>
                              <w:color w:val="7F7F7F" w:themeColor="text1" w:themeTint="80"/>
                            </w:rPr>
                          </w:pPr>
                          <w:r>
                            <w:rPr>
                              <w:color w:val="7F7F7F" w:themeColor="text1" w:themeTint="80"/>
                            </w:rPr>
                            <w:t xml:space="preserve">     </w:t>
                          </w:r>
                        </w:p>
                      </w:sdtContent>
                    </w:sdt>
                    <w:p w14:paraId="3D0DF42F" w14:textId="77777777" w:rsidR="00D33739" w:rsidRDefault="00D33739">
                      <w:pPr>
                        <w:jc w:val="right"/>
                        <w:rPr>
                          <w:color w:val="808080" w:themeColor="background1" w:themeShade="80"/>
                        </w:rPr>
                      </w:pPr>
                    </w:p>
                  </w:txbxContent>
                </v:textbox>
              </v:shape>
              <w10:wrap type="square" anchorx="margin" anchory="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0DAD" w14:textId="77777777" w:rsidR="00D33739" w:rsidRDefault="00D33739">
    <w:pPr>
      <w:pStyle w:val="Piedepgina"/>
    </w:pPr>
    <w:r w:rsidRPr="0051253E">
      <w:rPr>
        <w:noProof/>
        <w:color w:val="8496B0" w:themeColor="text2" w:themeTint="99"/>
        <w:spacing w:val="60"/>
        <w:sz w:val="24"/>
        <w:szCs w:val="24"/>
        <w:lang w:eastAsia="es-MX"/>
      </w:rPr>
      <mc:AlternateContent>
        <mc:Choice Requires="wps">
          <w:drawing>
            <wp:anchor distT="0" distB="0" distL="0" distR="0" simplePos="0" relativeHeight="251692032" behindDoc="0" locked="0" layoutInCell="1" allowOverlap="1" wp14:anchorId="306C8CA1" wp14:editId="4F5BD7D3">
              <wp:simplePos x="0" y="0"/>
              <wp:positionH relativeFrom="rightMargin">
                <wp:posOffset>-45720</wp:posOffset>
              </wp:positionH>
              <wp:positionV relativeFrom="bottomMargin">
                <wp:posOffset>213995</wp:posOffset>
              </wp:positionV>
              <wp:extent cx="575945" cy="320040"/>
              <wp:effectExtent l="0" t="0" r="0" b="3810"/>
              <wp:wrapSquare wrapText="bothSides"/>
              <wp:docPr id="959" name="Rectángulo 959"/>
              <wp:cNvGraphicFramePr/>
              <a:graphic xmlns:a="http://schemas.openxmlformats.org/drawingml/2006/main">
                <a:graphicData uri="http://schemas.microsoft.com/office/word/2010/wordprocessingShape">
                  <wps:wsp>
                    <wps:cNvSpPr/>
                    <wps:spPr>
                      <a:xfrm>
                        <a:off x="0" y="0"/>
                        <a:ext cx="575945" cy="320040"/>
                      </a:xfrm>
                      <a:prstGeom prst="rect">
                        <a:avLst/>
                      </a:prstGeom>
                      <a:solidFill>
                        <a:srgbClr val="800000"/>
                      </a:solidFill>
                      <a:ln w="38100" cap="flat" cmpd="sng" algn="ctr">
                        <a:noFill/>
                        <a:prstDash val="solid"/>
                        <a:miter lim="800000"/>
                      </a:ln>
                      <a:effectLst/>
                    </wps:spPr>
                    <wps:txbx>
                      <w:txbxContent>
                        <w:p w14:paraId="7C374773" w14:textId="2A6DFF4E"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41</w:t>
                          </w:r>
                          <w:r w:rsidRPr="009B15EB">
                            <w:rPr>
                              <w:rFonts w:ascii="Arial" w:hAnsi="Arial" w:cs="Arial"/>
                              <w:b/>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8CA1" id="Rectángulo 959" o:spid="_x0000_s1069" style="position:absolute;margin-left:-3.6pt;margin-top:16.85pt;width:45.35pt;height:25.2pt;z-index:25169203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" fillcolor="maroon" stroked="f" strokeweight="3pt">
              <v:textbox>
                <w:txbxContent>
                  <w:p w14:paraId="7C374773" w14:textId="2A6DFF4E"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41</w:t>
                    </w:r>
                    <w:r w:rsidRPr="009B15EB">
                      <w:rPr>
                        <w:rFonts w:ascii="Arial" w:hAnsi="Arial" w:cs="Arial"/>
                        <w:b/>
                        <w:color w:val="FFFFFF" w:themeColor="background1"/>
                        <w:sz w:val="28"/>
                        <w:szCs w:val="28"/>
                      </w:rPr>
                      <w:fldChar w:fldCharType="end"/>
                    </w:r>
                  </w:p>
                </w:txbxContent>
              </v:textbox>
              <w10:wrap type="square" anchorx="margin" anchory="margin"/>
            </v:rect>
          </w:pict>
        </mc:Fallback>
      </mc:AlternateContent>
    </w:r>
    <w:r w:rsidRPr="00632BC5">
      <w:rPr>
        <w:rFonts w:ascii="Arial" w:hAnsi="Arial" w:cs="Arial"/>
        <w:b/>
        <w:noProof/>
        <w:color w:val="990000"/>
        <w:sz w:val="28"/>
        <w:lang w:eastAsia="es-MX"/>
      </w:rPr>
      <w:drawing>
        <wp:anchor distT="0" distB="0" distL="114300" distR="114300" simplePos="0" relativeHeight="251694080" behindDoc="1" locked="0" layoutInCell="1" allowOverlap="1" wp14:anchorId="1173A39B" wp14:editId="1C581EA5">
          <wp:simplePos x="0" y="0"/>
          <wp:positionH relativeFrom="margin">
            <wp:posOffset>66675</wp:posOffset>
          </wp:positionH>
          <wp:positionV relativeFrom="paragraph">
            <wp:posOffset>-150495</wp:posOffset>
          </wp:positionV>
          <wp:extent cx="282575" cy="503555"/>
          <wp:effectExtent l="0" t="0" r="3175" b="0"/>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intana ro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575" cy="503555"/>
                  </a:xfrm>
                  <a:prstGeom prst="rect">
                    <a:avLst/>
                  </a:prstGeom>
                </pic:spPr>
              </pic:pic>
            </a:graphicData>
          </a:graphic>
          <wp14:sizeRelH relativeFrom="margin">
            <wp14:pctWidth>0</wp14:pctWidth>
          </wp14:sizeRelH>
          <wp14:sizeRelV relativeFrom="margin">
            <wp14:pctHeight>0</wp14:pctHeight>
          </wp14:sizeRelV>
        </wp:anchor>
      </w:drawing>
    </w:r>
    <w:r w:rsidRPr="0051253E">
      <w:rPr>
        <w:noProof/>
        <w:color w:val="808080" w:themeColor="background1" w:themeShade="80"/>
        <w:spacing w:val="60"/>
        <w:sz w:val="24"/>
        <w:szCs w:val="24"/>
        <w:lang w:eastAsia="es-MX"/>
      </w:rPr>
      <mc:AlternateContent>
        <mc:Choice Requires="wpg">
          <w:drawing>
            <wp:anchor distT="0" distB="0" distL="0" distR="0" simplePos="0" relativeHeight="251693056" behindDoc="0" locked="0" layoutInCell="1" allowOverlap="1" wp14:anchorId="7B9C4F4B" wp14:editId="369AE8A8">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192" name="Grupo 192"/>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193" name="Rectángulo 193"/>
                      <wps:cNvSpPr/>
                      <wps:spPr>
                        <a:xfrm>
                          <a:off x="19050" y="0"/>
                          <a:ext cx="5943600" cy="18826"/>
                        </a:xfrm>
                        <a:prstGeom prst="rect">
                          <a:avLst/>
                        </a:prstGeom>
                        <a:solidFill>
                          <a:sysClr val="windowText" lastClr="000000"/>
                        </a:solidFill>
                        <a:ln w="1270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Cuadro de texto 194"/>
                      <wps:cNvSpPr txBox="1"/>
                      <wps:spPr>
                        <a:xfrm>
                          <a:off x="0" y="66675"/>
                          <a:ext cx="5943600" cy="257168"/>
                        </a:xfrm>
                        <a:prstGeom prst="rect">
                          <a:avLst/>
                        </a:prstGeom>
                        <a:noFill/>
                        <a:ln w="6350">
                          <a:noFill/>
                        </a:ln>
                        <a:effectLst/>
                      </wps:spPr>
                      <wps:txbx>
                        <w:txbxContent>
                          <w:sdt>
                            <w:sdtPr>
                              <w:rPr>
                                <w:color w:val="7F7F7F" w:themeColor="text1" w:themeTint="80"/>
                              </w:rPr>
                              <w:alias w:val="Fecha"/>
                              <w:tag w:val=""/>
                              <w:id w:val="-1745863292"/>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5582969E" w14:textId="77777777" w:rsidR="00D33739" w:rsidRDefault="00D33739">
                                <w:pPr>
                                  <w:jc w:val="right"/>
                                  <w:rPr>
                                    <w:color w:val="7F7F7F" w:themeColor="text1" w:themeTint="80"/>
                                  </w:rPr>
                                </w:pPr>
                                <w:r>
                                  <w:rPr>
                                    <w:color w:val="7F7F7F" w:themeColor="text1" w:themeTint="80"/>
                                  </w:rPr>
                                  <w:t xml:space="preserve">     </w:t>
                                </w:r>
                              </w:p>
                            </w:sdtContent>
                          </w:sdt>
                          <w:p w14:paraId="0DD8FC06"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B9C4F4B" id="Grupo 192" o:spid="_x0000_s1070" style="position:absolute;margin-left:416.8pt;margin-top:0;width:468pt;height:25.2pt;z-index:25169305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">
              <v:rect id="Rectángulo 193" o:spid="_x0000_s107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" fillcolor="windowText" strokecolor="maroon" strokeweight="1pt"/>
              <v:shapetype id="_x0000_t202" coordsize="21600,21600" o:spt="202" path="m,l,21600r21600,l21600,xe">
                <v:stroke joinstyle="miter"/>
                <v:path gradientshapeok="t" o:connecttype="rect"/>
              </v:shapetype>
              <v:shape id="Cuadro de texto 194" o:spid="_x0000_s107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" filled="f" stroked="f" strokeweight=".5pt">
                <v:textbox inset=",,,0">
                  <w:txbxContent>
                    <w:sdt>
                      <w:sdtPr>
                        <w:rPr>
                          <w:color w:val="7F7F7F" w:themeColor="text1" w:themeTint="80"/>
                        </w:rPr>
                        <w:alias w:val="Fecha"/>
                        <w:tag w:val=""/>
                        <w:id w:val="-1745863292"/>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5582969E" w14:textId="77777777" w:rsidR="00D33739" w:rsidRDefault="00D33739">
                          <w:pPr>
                            <w:jc w:val="right"/>
                            <w:rPr>
                              <w:color w:val="7F7F7F" w:themeColor="text1" w:themeTint="80"/>
                            </w:rPr>
                          </w:pPr>
                          <w:r>
                            <w:rPr>
                              <w:color w:val="7F7F7F" w:themeColor="text1" w:themeTint="80"/>
                            </w:rPr>
                            <w:t xml:space="preserve">     </w:t>
                          </w:r>
                        </w:p>
                      </w:sdtContent>
                    </w:sdt>
                    <w:p w14:paraId="0DD8FC06" w14:textId="77777777" w:rsidR="00D33739" w:rsidRDefault="00D33739">
                      <w:pPr>
                        <w:jc w:val="right"/>
                        <w:rPr>
                          <w:color w:val="808080" w:themeColor="background1" w:themeShade="80"/>
                        </w:rPr>
                      </w:pPr>
                    </w:p>
                  </w:txbxContent>
                </v:textbox>
              </v:shape>
              <w10:wrap type="square" anchorx="margin" anchory="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E1328" w14:textId="77777777" w:rsidR="00D33739" w:rsidRDefault="00D33739">
    <w:pPr>
      <w:pStyle w:val="Piedepgina"/>
    </w:pPr>
    <w:r w:rsidRPr="0051253E">
      <w:rPr>
        <w:noProof/>
        <w:color w:val="808080" w:themeColor="background1" w:themeShade="80"/>
        <w:spacing w:val="60"/>
        <w:sz w:val="24"/>
        <w:szCs w:val="24"/>
        <w:lang w:eastAsia="es-MX"/>
      </w:rPr>
      <mc:AlternateContent>
        <mc:Choice Requires="wpg">
          <w:drawing>
            <wp:anchor distT="0" distB="0" distL="0" distR="0" simplePos="0" relativeHeight="251704320" behindDoc="0" locked="0" layoutInCell="1" allowOverlap="1" wp14:anchorId="4E306038" wp14:editId="30E830C4">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208" name="Grupo 208"/>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209" name="Rectángulo 209"/>
                      <wps:cNvSpPr/>
                      <wps:spPr>
                        <a:xfrm>
                          <a:off x="19050" y="0"/>
                          <a:ext cx="5943600" cy="18826"/>
                        </a:xfrm>
                        <a:prstGeom prst="rect">
                          <a:avLst/>
                        </a:prstGeom>
                        <a:solidFill>
                          <a:sysClr val="windowText" lastClr="000000"/>
                        </a:solidFill>
                        <a:ln w="1270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Cuadro de texto 210"/>
                      <wps:cNvSpPr txBox="1"/>
                      <wps:spPr>
                        <a:xfrm>
                          <a:off x="0" y="66675"/>
                          <a:ext cx="5943600" cy="257168"/>
                        </a:xfrm>
                        <a:prstGeom prst="rect">
                          <a:avLst/>
                        </a:prstGeom>
                        <a:noFill/>
                        <a:ln w="6350">
                          <a:noFill/>
                        </a:ln>
                        <a:effectLst/>
                      </wps:spPr>
                      <wps:txbx>
                        <w:txbxContent>
                          <w:sdt>
                            <w:sdtPr>
                              <w:rPr>
                                <w:color w:val="7F7F7F" w:themeColor="text1" w:themeTint="80"/>
                              </w:rPr>
                              <w:alias w:val="Fecha"/>
                              <w:tag w:val=""/>
                              <w:id w:val="-583530728"/>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40851EA8" w14:textId="77777777" w:rsidR="00D33739" w:rsidRDefault="00D33739">
                                <w:pPr>
                                  <w:jc w:val="right"/>
                                  <w:rPr>
                                    <w:color w:val="7F7F7F" w:themeColor="text1" w:themeTint="80"/>
                                  </w:rPr>
                                </w:pPr>
                                <w:r>
                                  <w:rPr>
                                    <w:color w:val="7F7F7F" w:themeColor="text1" w:themeTint="80"/>
                                  </w:rPr>
                                  <w:t xml:space="preserve">     </w:t>
                                </w:r>
                              </w:p>
                            </w:sdtContent>
                          </w:sdt>
                          <w:p w14:paraId="4DF5DCFC"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E306038" id="Grupo 208" o:spid="_x0000_s1079" style="position:absolute;margin-left:416.8pt;margin-top:0;width:468pt;height:25.2pt;z-index:25170432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">
              <v:rect id="Rectángulo 209" o:spid="_x0000_s108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" fillcolor="windowText" strokecolor="maroon" strokeweight="1pt"/>
              <v:shapetype id="_x0000_t202" coordsize="21600,21600" o:spt="202" path="m,l,21600r21600,l21600,xe">
                <v:stroke joinstyle="miter"/>
                <v:path gradientshapeok="t" o:connecttype="rect"/>
              </v:shapetype>
              <v:shape id="Cuadro de texto 210" o:spid="_x0000_s108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" filled="f" stroked="f" strokeweight=".5pt">
                <v:textbox inset=",,,0">
                  <w:txbxContent>
                    <w:sdt>
                      <w:sdtPr>
                        <w:rPr>
                          <w:color w:val="7F7F7F" w:themeColor="text1" w:themeTint="80"/>
                        </w:rPr>
                        <w:alias w:val="Fecha"/>
                        <w:tag w:val=""/>
                        <w:id w:val="-583530728"/>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40851EA8" w14:textId="77777777" w:rsidR="00D33739" w:rsidRDefault="00D33739">
                          <w:pPr>
                            <w:jc w:val="right"/>
                            <w:rPr>
                              <w:color w:val="7F7F7F" w:themeColor="text1" w:themeTint="80"/>
                            </w:rPr>
                          </w:pPr>
                          <w:r>
                            <w:rPr>
                              <w:color w:val="7F7F7F" w:themeColor="text1" w:themeTint="80"/>
                            </w:rPr>
                            <w:t xml:space="preserve">     </w:t>
                          </w:r>
                        </w:p>
                      </w:sdtContent>
                    </w:sdt>
                    <w:p w14:paraId="4DF5DCFC" w14:textId="77777777" w:rsidR="00D33739" w:rsidRDefault="00D33739">
                      <w:pPr>
                        <w:jc w:val="right"/>
                        <w:rPr>
                          <w:color w:val="808080" w:themeColor="background1" w:themeShade="80"/>
                        </w:rPr>
                      </w:pPr>
                    </w:p>
                  </w:txbxContent>
                </v:textbox>
              </v:shape>
              <w10:wrap type="square" anchorx="margin" anchory="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E7202" w14:textId="77777777" w:rsidR="00D33739" w:rsidRDefault="00D33739">
    <w:pPr>
      <w:pStyle w:val="Piedepgina"/>
    </w:pPr>
    <w:r w:rsidRPr="0051253E">
      <w:rPr>
        <w:noProof/>
        <w:color w:val="8496B0" w:themeColor="text2" w:themeTint="99"/>
        <w:spacing w:val="60"/>
        <w:sz w:val="24"/>
        <w:szCs w:val="24"/>
        <w:lang w:eastAsia="es-MX"/>
      </w:rPr>
      <mc:AlternateContent>
        <mc:Choice Requires="wps">
          <w:drawing>
            <wp:anchor distT="0" distB="0" distL="0" distR="0" simplePos="0" relativeHeight="251699200" behindDoc="0" locked="0" layoutInCell="1" allowOverlap="1" wp14:anchorId="306D3B51" wp14:editId="69895123">
              <wp:simplePos x="0" y="0"/>
              <wp:positionH relativeFrom="rightMargin">
                <wp:posOffset>-45720</wp:posOffset>
              </wp:positionH>
              <wp:positionV relativeFrom="bottomMargin">
                <wp:posOffset>213995</wp:posOffset>
              </wp:positionV>
              <wp:extent cx="575945" cy="320040"/>
              <wp:effectExtent l="0" t="0" r="0" b="3810"/>
              <wp:wrapSquare wrapText="bothSides"/>
              <wp:docPr id="202" name="Rectángulo 202"/>
              <wp:cNvGraphicFramePr/>
              <a:graphic xmlns:a="http://schemas.openxmlformats.org/drawingml/2006/main">
                <a:graphicData uri="http://schemas.microsoft.com/office/word/2010/wordprocessingShape">
                  <wps:wsp>
                    <wps:cNvSpPr/>
                    <wps:spPr>
                      <a:xfrm>
                        <a:off x="0" y="0"/>
                        <a:ext cx="575945" cy="320040"/>
                      </a:xfrm>
                      <a:prstGeom prst="rect">
                        <a:avLst/>
                      </a:prstGeom>
                      <a:solidFill>
                        <a:srgbClr val="800000"/>
                      </a:solidFill>
                      <a:ln w="38100" cap="flat" cmpd="sng" algn="ctr">
                        <a:noFill/>
                        <a:prstDash val="solid"/>
                        <a:miter lim="800000"/>
                      </a:ln>
                      <a:effectLst/>
                    </wps:spPr>
                    <wps:txbx>
                      <w:txbxContent>
                        <w:p w14:paraId="10014FEF" w14:textId="7EE95107"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78</w:t>
                          </w:r>
                          <w:r w:rsidRPr="009B15EB">
                            <w:rPr>
                              <w:rFonts w:ascii="Arial" w:hAnsi="Arial" w:cs="Arial"/>
                              <w:b/>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D3B51" id="Rectángulo 202" o:spid="_x0000_s1088" style="position:absolute;margin-left:-3.6pt;margin-top:16.85pt;width:45.35pt;height:25.2pt;z-index:25169920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" fillcolor="maroon" stroked="f" strokeweight="3pt">
              <v:textbox>
                <w:txbxContent>
                  <w:p w14:paraId="10014FEF" w14:textId="7EE95107"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78</w:t>
                    </w:r>
                    <w:r w:rsidRPr="009B15EB">
                      <w:rPr>
                        <w:rFonts w:ascii="Arial" w:hAnsi="Arial" w:cs="Arial"/>
                        <w:b/>
                        <w:color w:val="FFFFFF" w:themeColor="background1"/>
                        <w:sz w:val="28"/>
                        <w:szCs w:val="28"/>
                      </w:rPr>
                      <w:fldChar w:fldCharType="end"/>
                    </w:r>
                  </w:p>
                </w:txbxContent>
              </v:textbox>
              <w10:wrap type="square" anchorx="margin" anchory="margin"/>
            </v:rect>
          </w:pict>
        </mc:Fallback>
      </mc:AlternateContent>
    </w:r>
    <w:r w:rsidRPr="00632BC5">
      <w:rPr>
        <w:rFonts w:ascii="Arial" w:hAnsi="Arial" w:cs="Arial"/>
        <w:b/>
        <w:noProof/>
        <w:color w:val="990000"/>
        <w:sz w:val="28"/>
        <w:lang w:eastAsia="es-MX"/>
      </w:rPr>
      <w:drawing>
        <wp:anchor distT="0" distB="0" distL="114300" distR="114300" simplePos="0" relativeHeight="251701248" behindDoc="1" locked="0" layoutInCell="1" allowOverlap="1" wp14:anchorId="53FAAD31" wp14:editId="52D305D8">
          <wp:simplePos x="0" y="0"/>
          <wp:positionH relativeFrom="margin">
            <wp:posOffset>66675</wp:posOffset>
          </wp:positionH>
          <wp:positionV relativeFrom="paragraph">
            <wp:posOffset>-150495</wp:posOffset>
          </wp:positionV>
          <wp:extent cx="282575" cy="503555"/>
          <wp:effectExtent l="0" t="0" r="3175"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intana ro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575" cy="503555"/>
                  </a:xfrm>
                  <a:prstGeom prst="rect">
                    <a:avLst/>
                  </a:prstGeom>
                </pic:spPr>
              </pic:pic>
            </a:graphicData>
          </a:graphic>
          <wp14:sizeRelH relativeFrom="margin">
            <wp14:pctWidth>0</wp14:pctWidth>
          </wp14:sizeRelH>
          <wp14:sizeRelV relativeFrom="margin">
            <wp14:pctHeight>0</wp14:pctHeight>
          </wp14:sizeRelV>
        </wp:anchor>
      </w:drawing>
    </w:r>
    <w:r w:rsidRPr="0051253E">
      <w:rPr>
        <w:noProof/>
        <w:color w:val="808080" w:themeColor="background1" w:themeShade="80"/>
        <w:spacing w:val="60"/>
        <w:sz w:val="24"/>
        <w:szCs w:val="24"/>
        <w:lang w:eastAsia="es-MX"/>
      </w:rPr>
      <mc:AlternateContent>
        <mc:Choice Requires="wpg">
          <w:drawing>
            <wp:anchor distT="0" distB="0" distL="0" distR="0" simplePos="0" relativeHeight="251700224" behindDoc="0" locked="0" layoutInCell="1" allowOverlap="1" wp14:anchorId="04940F88" wp14:editId="3F2482A3">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203" name="Grupo 203"/>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204" name="Rectángulo 204"/>
                      <wps:cNvSpPr/>
                      <wps:spPr>
                        <a:xfrm>
                          <a:off x="19050" y="0"/>
                          <a:ext cx="5943600" cy="18826"/>
                        </a:xfrm>
                        <a:prstGeom prst="rect">
                          <a:avLst/>
                        </a:prstGeom>
                        <a:solidFill>
                          <a:sysClr val="windowText" lastClr="000000"/>
                        </a:solidFill>
                        <a:ln w="1270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Cuadro de texto 205"/>
                      <wps:cNvSpPr txBox="1"/>
                      <wps:spPr>
                        <a:xfrm>
                          <a:off x="0" y="66675"/>
                          <a:ext cx="5943600" cy="257168"/>
                        </a:xfrm>
                        <a:prstGeom prst="rect">
                          <a:avLst/>
                        </a:prstGeom>
                        <a:noFill/>
                        <a:ln w="6350">
                          <a:noFill/>
                        </a:ln>
                        <a:effectLst/>
                      </wps:spPr>
                      <wps:txbx>
                        <w:txbxContent>
                          <w:sdt>
                            <w:sdtPr>
                              <w:rPr>
                                <w:color w:val="7F7F7F" w:themeColor="text1" w:themeTint="80"/>
                              </w:rPr>
                              <w:alias w:val="Fecha"/>
                              <w:tag w:val=""/>
                              <w:id w:val="22472841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0BC5D238" w14:textId="77777777" w:rsidR="00D33739" w:rsidRDefault="00D33739">
                                <w:pPr>
                                  <w:jc w:val="right"/>
                                  <w:rPr>
                                    <w:color w:val="7F7F7F" w:themeColor="text1" w:themeTint="80"/>
                                  </w:rPr>
                                </w:pPr>
                                <w:r>
                                  <w:rPr>
                                    <w:color w:val="7F7F7F" w:themeColor="text1" w:themeTint="80"/>
                                  </w:rPr>
                                  <w:t xml:space="preserve">     </w:t>
                                </w:r>
                              </w:p>
                            </w:sdtContent>
                          </w:sdt>
                          <w:p w14:paraId="3F1E74DA"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4940F88" id="Grupo 203" o:spid="_x0000_s1089" style="position:absolute;margin-left:416.8pt;margin-top:0;width:468pt;height:25.2pt;z-index:25170022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">
              <v:rect id="Rectángulo 204" o:spid="_x0000_s109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" fillcolor="windowText" strokecolor="maroon" strokeweight="1pt"/>
              <v:shapetype id="_x0000_t202" coordsize="21600,21600" o:spt="202" path="m,l,21600r21600,l21600,xe">
                <v:stroke joinstyle="miter"/>
                <v:path gradientshapeok="t" o:connecttype="rect"/>
              </v:shapetype>
              <v:shape id="Cuadro de texto 205" o:spid="_x0000_s109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" filled="f" stroked="f" strokeweight=".5pt">
                <v:textbox inset=",,,0">
                  <w:txbxContent>
                    <w:sdt>
                      <w:sdtPr>
                        <w:rPr>
                          <w:color w:val="7F7F7F" w:themeColor="text1" w:themeTint="80"/>
                        </w:rPr>
                        <w:alias w:val="Fecha"/>
                        <w:tag w:val=""/>
                        <w:id w:val="22472841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0BC5D238" w14:textId="77777777" w:rsidR="00D33739" w:rsidRDefault="00D33739">
                          <w:pPr>
                            <w:jc w:val="right"/>
                            <w:rPr>
                              <w:color w:val="7F7F7F" w:themeColor="text1" w:themeTint="80"/>
                            </w:rPr>
                          </w:pPr>
                          <w:r>
                            <w:rPr>
                              <w:color w:val="7F7F7F" w:themeColor="text1" w:themeTint="80"/>
                            </w:rPr>
                            <w:t xml:space="preserve">     </w:t>
                          </w:r>
                        </w:p>
                      </w:sdtContent>
                    </w:sdt>
                    <w:p w14:paraId="3F1E74DA" w14:textId="77777777" w:rsidR="00D33739" w:rsidRDefault="00D33739">
                      <w:pPr>
                        <w:jc w:val="right"/>
                        <w:rPr>
                          <w:color w:val="808080" w:themeColor="background1" w:themeShade="80"/>
                        </w:rPr>
                      </w:pPr>
                    </w:p>
                  </w:txbxContent>
                </v:textbox>
              </v:shape>
              <w10:wrap type="square" anchorx="margin" anchory="margin"/>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87F36" w14:textId="77777777" w:rsidR="00D33739" w:rsidRDefault="00D33739">
    <w:pPr>
      <w:pStyle w:val="Piedepgina"/>
    </w:pPr>
    <w:r w:rsidRPr="0051253E">
      <w:rPr>
        <w:noProof/>
        <w:color w:val="808080" w:themeColor="background1" w:themeShade="80"/>
        <w:spacing w:val="60"/>
        <w:sz w:val="24"/>
        <w:szCs w:val="24"/>
        <w:lang w:eastAsia="es-MX"/>
      </w:rPr>
      <mc:AlternateContent>
        <mc:Choice Requires="wpg">
          <w:drawing>
            <wp:anchor distT="0" distB="0" distL="0" distR="0" simplePos="0" relativeHeight="251714560" behindDoc="0" locked="0" layoutInCell="1" allowOverlap="1" wp14:anchorId="76B483D3" wp14:editId="063222FA">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231" name="Grupo 231"/>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232" name="Rectángulo 232"/>
                      <wps:cNvSpPr/>
                      <wps:spPr>
                        <a:xfrm>
                          <a:off x="19050" y="0"/>
                          <a:ext cx="5943600" cy="18826"/>
                        </a:xfrm>
                        <a:prstGeom prst="rect">
                          <a:avLst/>
                        </a:prstGeom>
                        <a:solidFill>
                          <a:sysClr val="windowText" lastClr="000000"/>
                        </a:solidFill>
                        <a:ln w="1270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Cuadro de texto 233"/>
                      <wps:cNvSpPr txBox="1"/>
                      <wps:spPr>
                        <a:xfrm>
                          <a:off x="0" y="66675"/>
                          <a:ext cx="5943600" cy="257168"/>
                        </a:xfrm>
                        <a:prstGeom prst="rect">
                          <a:avLst/>
                        </a:prstGeom>
                        <a:noFill/>
                        <a:ln w="6350">
                          <a:noFill/>
                        </a:ln>
                        <a:effectLst/>
                      </wps:spPr>
                      <wps:txbx>
                        <w:txbxContent>
                          <w:sdt>
                            <w:sdtPr>
                              <w:rPr>
                                <w:color w:val="7F7F7F" w:themeColor="text1" w:themeTint="80"/>
                              </w:rPr>
                              <w:alias w:val="Fecha"/>
                              <w:tag w:val=""/>
                              <w:id w:val="2084555461"/>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5ACD031B" w14:textId="77777777" w:rsidR="00D33739" w:rsidRDefault="00D33739">
                                <w:pPr>
                                  <w:jc w:val="right"/>
                                  <w:rPr>
                                    <w:color w:val="7F7F7F" w:themeColor="text1" w:themeTint="80"/>
                                  </w:rPr>
                                </w:pPr>
                                <w:r>
                                  <w:rPr>
                                    <w:color w:val="7F7F7F" w:themeColor="text1" w:themeTint="80"/>
                                  </w:rPr>
                                  <w:t xml:space="preserve">     </w:t>
                                </w:r>
                              </w:p>
                            </w:sdtContent>
                          </w:sdt>
                          <w:p w14:paraId="05FD0EA2"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6B483D3" id="Grupo 231" o:spid="_x0000_s1092" style="position:absolute;margin-left:416.8pt;margin-top:0;width:468pt;height:25.2pt;z-index:2517145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">
              <v:rect id="Rectángulo 232" o:spid="_x0000_s109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" fillcolor="windowText" strokecolor="maroon" strokeweight="1pt"/>
              <v:shapetype id="_x0000_t202" coordsize="21600,21600" o:spt="202" path="m,l,21600r21600,l21600,xe">
                <v:stroke joinstyle="miter"/>
                <v:path gradientshapeok="t" o:connecttype="rect"/>
              </v:shapetype>
              <v:shape id="Cuadro de texto 233" o:spid="_x0000_s109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" filled="f" stroked="f" strokeweight=".5pt">
                <v:textbox inset=",,,0">
                  <w:txbxContent>
                    <w:sdt>
                      <w:sdtPr>
                        <w:rPr>
                          <w:color w:val="7F7F7F" w:themeColor="text1" w:themeTint="80"/>
                        </w:rPr>
                        <w:alias w:val="Fecha"/>
                        <w:tag w:val=""/>
                        <w:id w:val="2084555461"/>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5ACD031B" w14:textId="77777777" w:rsidR="00D33739" w:rsidRDefault="00D33739">
                          <w:pPr>
                            <w:jc w:val="right"/>
                            <w:rPr>
                              <w:color w:val="7F7F7F" w:themeColor="text1" w:themeTint="80"/>
                            </w:rPr>
                          </w:pPr>
                          <w:r>
                            <w:rPr>
                              <w:color w:val="7F7F7F" w:themeColor="text1" w:themeTint="80"/>
                            </w:rPr>
                            <w:t xml:space="preserve">     </w:t>
                          </w:r>
                        </w:p>
                      </w:sdtContent>
                    </w:sdt>
                    <w:p w14:paraId="05FD0EA2" w14:textId="77777777" w:rsidR="00D33739" w:rsidRDefault="00D33739">
                      <w:pPr>
                        <w:jc w:val="right"/>
                        <w:rPr>
                          <w:color w:val="808080" w:themeColor="background1" w:themeShade="80"/>
                        </w:rPr>
                      </w:pPr>
                    </w:p>
                  </w:txbxContent>
                </v:textbox>
              </v:shape>
              <w10:wrap type="square" anchorx="margin" anchory="margin"/>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2AB09" w14:textId="77777777" w:rsidR="00D33739" w:rsidRDefault="00D33739">
    <w:pPr>
      <w:pStyle w:val="Piedepgina"/>
    </w:pPr>
    <w:r w:rsidRPr="0051253E">
      <w:rPr>
        <w:noProof/>
        <w:color w:val="8496B0" w:themeColor="text2" w:themeTint="99"/>
        <w:spacing w:val="60"/>
        <w:sz w:val="24"/>
        <w:szCs w:val="24"/>
        <w:lang w:eastAsia="es-MX"/>
      </w:rPr>
      <mc:AlternateContent>
        <mc:Choice Requires="wps">
          <w:drawing>
            <wp:anchor distT="0" distB="0" distL="0" distR="0" simplePos="0" relativeHeight="251709440" behindDoc="0" locked="0" layoutInCell="1" allowOverlap="1" wp14:anchorId="71359FB2" wp14:editId="313C569E">
              <wp:simplePos x="0" y="0"/>
              <wp:positionH relativeFrom="rightMargin">
                <wp:posOffset>-45720</wp:posOffset>
              </wp:positionH>
              <wp:positionV relativeFrom="bottomMargin">
                <wp:posOffset>213995</wp:posOffset>
              </wp:positionV>
              <wp:extent cx="575945" cy="320040"/>
              <wp:effectExtent l="0" t="0" r="0" b="3810"/>
              <wp:wrapSquare wrapText="bothSides"/>
              <wp:docPr id="225" name="Rectángulo 225"/>
              <wp:cNvGraphicFramePr/>
              <a:graphic xmlns:a="http://schemas.openxmlformats.org/drawingml/2006/main">
                <a:graphicData uri="http://schemas.microsoft.com/office/word/2010/wordprocessingShape">
                  <wps:wsp>
                    <wps:cNvSpPr/>
                    <wps:spPr>
                      <a:xfrm>
                        <a:off x="0" y="0"/>
                        <a:ext cx="575945" cy="320040"/>
                      </a:xfrm>
                      <a:prstGeom prst="rect">
                        <a:avLst/>
                      </a:prstGeom>
                      <a:solidFill>
                        <a:srgbClr val="800000"/>
                      </a:solidFill>
                      <a:ln w="38100" cap="flat" cmpd="sng" algn="ctr">
                        <a:noFill/>
                        <a:prstDash val="solid"/>
                        <a:miter lim="800000"/>
                      </a:ln>
                      <a:effectLst/>
                    </wps:spPr>
                    <wps:txbx>
                      <w:txbxContent>
                        <w:p w14:paraId="7344897A" w14:textId="6EF6EC86"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163</w:t>
                          </w:r>
                          <w:r w:rsidRPr="009B15EB">
                            <w:rPr>
                              <w:rFonts w:ascii="Arial" w:hAnsi="Arial" w:cs="Arial"/>
                              <w:b/>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59FB2" id="Rectángulo 225" o:spid="_x0000_s1101" style="position:absolute;margin-left:-3.6pt;margin-top:16.85pt;width:45.35pt;height:25.2pt;z-index:25170944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" fillcolor="maroon" stroked="f" strokeweight="3pt">
              <v:textbox>
                <w:txbxContent>
                  <w:p w14:paraId="7344897A" w14:textId="6EF6EC86" w:rsidR="00D33739" w:rsidRPr="009B15EB" w:rsidRDefault="00D33739">
                    <w:pPr>
                      <w:jc w:val="right"/>
                      <w:rPr>
                        <w:rFonts w:ascii="Arial" w:hAnsi="Arial" w:cs="Arial"/>
                        <w:b/>
                        <w:color w:val="FFFFFF" w:themeColor="background1"/>
                        <w:sz w:val="28"/>
                        <w:szCs w:val="28"/>
                      </w:rPr>
                    </w:pPr>
                    <w:r w:rsidRPr="009B15EB">
                      <w:rPr>
                        <w:rFonts w:ascii="Arial" w:hAnsi="Arial" w:cs="Arial"/>
                        <w:b/>
                        <w:color w:val="FFFFFF" w:themeColor="background1"/>
                        <w:sz w:val="28"/>
                        <w:szCs w:val="28"/>
                      </w:rPr>
                      <w:fldChar w:fldCharType="begin"/>
                    </w:r>
                    <w:r w:rsidRPr="009B15EB">
                      <w:rPr>
                        <w:rFonts w:ascii="Arial" w:hAnsi="Arial" w:cs="Arial"/>
                        <w:b/>
                        <w:color w:val="FFFFFF" w:themeColor="background1"/>
                        <w:sz w:val="28"/>
                        <w:szCs w:val="28"/>
                      </w:rPr>
                      <w:instrText>PAGE   \* MERGEFORMAT</w:instrText>
                    </w:r>
                    <w:r w:rsidRPr="009B15EB">
                      <w:rPr>
                        <w:rFonts w:ascii="Arial" w:hAnsi="Arial" w:cs="Arial"/>
                        <w:b/>
                        <w:color w:val="FFFFFF" w:themeColor="background1"/>
                        <w:sz w:val="28"/>
                        <w:szCs w:val="28"/>
                      </w:rPr>
                      <w:fldChar w:fldCharType="separate"/>
                    </w:r>
                    <w:r w:rsidR="00DA1D30" w:rsidRPr="00DA1D30">
                      <w:rPr>
                        <w:rFonts w:ascii="Arial" w:hAnsi="Arial" w:cs="Arial"/>
                        <w:b/>
                        <w:noProof/>
                        <w:color w:val="FFFFFF" w:themeColor="background1"/>
                        <w:sz w:val="28"/>
                        <w:szCs w:val="28"/>
                        <w:lang w:val="es-ES"/>
                      </w:rPr>
                      <w:t>163</w:t>
                    </w:r>
                    <w:r w:rsidRPr="009B15EB">
                      <w:rPr>
                        <w:rFonts w:ascii="Arial" w:hAnsi="Arial" w:cs="Arial"/>
                        <w:b/>
                        <w:color w:val="FFFFFF" w:themeColor="background1"/>
                        <w:sz w:val="28"/>
                        <w:szCs w:val="28"/>
                      </w:rPr>
                      <w:fldChar w:fldCharType="end"/>
                    </w:r>
                  </w:p>
                </w:txbxContent>
              </v:textbox>
              <w10:wrap type="square" anchorx="margin" anchory="margin"/>
            </v:rect>
          </w:pict>
        </mc:Fallback>
      </mc:AlternateContent>
    </w:r>
    <w:r w:rsidRPr="00632BC5">
      <w:rPr>
        <w:rFonts w:ascii="Arial" w:hAnsi="Arial" w:cs="Arial"/>
        <w:b/>
        <w:noProof/>
        <w:color w:val="990000"/>
        <w:sz w:val="28"/>
        <w:lang w:eastAsia="es-MX"/>
      </w:rPr>
      <w:drawing>
        <wp:anchor distT="0" distB="0" distL="114300" distR="114300" simplePos="0" relativeHeight="251711488" behindDoc="1" locked="0" layoutInCell="1" allowOverlap="1" wp14:anchorId="72D3B50D" wp14:editId="3ED5A2C4">
          <wp:simplePos x="0" y="0"/>
          <wp:positionH relativeFrom="margin">
            <wp:posOffset>66675</wp:posOffset>
          </wp:positionH>
          <wp:positionV relativeFrom="paragraph">
            <wp:posOffset>-150495</wp:posOffset>
          </wp:positionV>
          <wp:extent cx="282575" cy="503555"/>
          <wp:effectExtent l="0" t="0" r="3175"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intana ro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575" cy="503555"/>
                  </a:xfrm>
                  <a:prstGeom prst="rect">
                    <a:avLst/>
                  </a:prstGeom>
                </pic:spPr>
              </pic:pic>
            </a:graphicData>
          </a:graphic>
          <wp14:sizeRelH relativeFrom="margin">
            <wp14:pctWidth>0</wp14:pctWidth>
          </wp14:sizeRelH>
          <wp14:sizeRelV relativeFrom="margin">
            <wp14:pctHeight>0</wp14:pctHeight>
          </wp14:sizeRelV>
        </wp:anchor>
      </w:drawing>
    </w:r>
    <w:r w:rsidRPr="0051253E">
      <w:rPr>
        <w:noProof/>
        <w:color w:val="808080" w:themeColor="background1" w:themeShade="80"/>
        <w:spacing w:val="60"/>
        <w:sz w:val="24"/>
        <w:szCs w:val="24"/>
        <w:lang w:eastAsia="es-MX"/>
      </w:rPr>
      <mc:AlternateContent>
        <mc:Choice Requires="wpg">
          <w:drawing>
            <wp:anchor distT="0" distB="0" distL="0" distR="0" simplePos="0" relativeHeight="251710464" behindDoc="0" locked="0" layoutInCell="1" allowOverlap="1" wp14:anchorId="24D21A89" wp14:editId="2B50D1BD">
              <wp:simplePos x="0" y="0"/>
              <wp:positionH relativeFrom="margin">
                <wp:align>right</wp:align>
              </wp:positionH>
              <mc:AlternateContent>
                <mc:Choice Requires="wp14">
                  <wp:positionV relativeFrom="bottomMargin">
                    <wp14:pctPosVOffset>20000</wp14:pctPosVOffset>
                  </wp:positionV>
                </mc:Choice>
                <mc:Fallback>
                  <wp:positionV relativeFrom="page">
                    <wp:posOffset>9553575</wp:posOffset>
                  </wp:positionV>
                </mc:Fallback>
              </mc:AlternateContent>
              <wp:extent cx="5943600" cy="320040"/>
              <wp:effectExtent l="0" t="0" r="26670" b="3810"/>
              <wp:wrapSquare wrapText="bothSides"/>
              <wp:docPr id="226" name="Grupo 226"/>
              <wp:cNvGraphicFramePr/>
              <a:graphic xmlns:a="http://schemas.openxmlformats.org/drawingml/2006/main">
                <a:graphicData uri="http://schemas.microsoft.com/office/word/2010/wordprocessingGroup">
                  <wpg:wgp>
                    <wpg:cNvGrpSpPr/>
                    <wpg:grpSpPr>
                      <a:xfrm>
                        <a:off x="0" y="0"/>
                        <a:ext cx="5943600" cy="320040"/>
                        <a:chOff x="0" y="0"/>
                        <a:chExt cx="5962650" cy="323843"/>
                      </a:xfrm>
                    </wpg:grpSpPr>
                    <wps:wsp>
                      <wps:cNvPr id="227" name="Rectángulo 227"/>
                      <wps:cNvSpPr/>
                      <wps:spPr>
                        <a:xfrm>
                          <a:off x="19050" y="0"/>
                          <a:ext cx="5943600" cy="18826"/>
                        </a:xfrm>
                        <a:prstGeom prst="rect">
                          <a:avLst/>
                        </a:prstGeom>
                        <a:solidFill>
                          <a:sysClr val="windowText" lastClr="000000"/>
                        </a:solidFill>
                        <a:ln w="1270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Cuadro de texto 228"/>
                      <wps:cNvSpPr txBox="1"/>
                      <wps:spPr>
                        <a:xfrm>
                          <a:off x="0" y="66675"/>
                          <a:ext cx="5943600" cy="257168"/>
                        </a:xfrm>
                        <a:prstGeom prst="rect">
                          <a:avLst/>
                        </a:prstGeom>
                        <a:noFill/>
                        <a:ln w="6350">
                          <a:noFill/>
                        </a:ln>
                        <a:effectLst/>
                      </wps:spPr>
                      <wps:txbx>
                        <w:txbxContent>
                          <w:sdt>
                            <w:sdtPr>
                              <w:rPr>
                                <w:color w:val="7F7F7F" w:themeColor="text1" w:themeTint="80"/>
                              </w:rPr>
                              <w:alias w:val="Fecha"/>
                              <w:tag w:val=""/>
                              <w:id w:val="-1619977275"/>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B8FDA82" w14:textId="77777777" w:rsidR="00D33739" w:rsidRDefault="00D33739">
                                <w:pPr>
                                  <w:jc w:val="right"/>
                                  <w:rPr>
                                    <w:color w:val="7F7F7F" w:themeColor="text1" w:themeTint="80"/>
                                  </w:rPr>
                                </w:pPr>
                                <w:r>
                                  <w:rPr>
                                    <w:color w:val="7F7F7F" w:themeColor="text1" w:themeTint="80"/>
                                  </w:rPr>
                                  <w:t xml:space="preserve">     </w:t>
                                </w:r>
                              </w:p>
                            </w:sdtContent>
                          </w:sdt>
                          <w:p w14:paraId="08BEB0CE" w14:textId="77777777" w:rsidR="00D33739" w:rsidRDefault="00D3373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4D21A89" id="Grupo 226" o:spid="_x0000_s1102" style="position:absolute;margin-left:416.8pt;margin-top:0;width:468pt;height:25.2pt;z-index:25171046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">
              <v:rect id="Rectángulo 227" o:spid="_x0000_s110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" fillcolor="windowText" strokecolor="maroon" strokeweight="1pt"/>
              <v:shapetype id="_x0000_t202" coordsize="21600,21600" o:spt="202" path="m,l,21600r21600,l21600,xe">
                <v:stroke joinstyle="miter"/>
                <v:path gradientshapeok="t" o:connecttype="rect"/>
              </v:shapetype>
              <v:shape id="Cuadro de texto 228" o:spid="_x0000_s110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" filled="f" stroked="f" strokeweight=".5pt">
                <v:textbox inset=",,,0">
                  <w:txbxContent>
                    <w:sdt>
                      <w:sdtPr>
                        <w:rPr>
                          <w:color w:val="7F7F7F" w:themeColor="text1" w:themeTint="80"/>
                        </w:rPr>
                        <w:alias w:val="Fecha"/>
                        <w:tag w:val=""/>
                        <w:id w:val="-1619977275"/>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6B8FDA82" w14:textId="77777777" w:rsidR="00D33739" w:rsidRDefault="00D33739">
                          <w:pPr>
                            <w:jc w:val="right"/>
                            <w:rPr>
                              <w:color w:val="7F7F7F" w:themeColor="text1" w:themeTint="80"/>
                            </w:rPr>
                          </w:pPr>
                          <w:r>
                            <w:rPr>
                              <w:color w:val="7F7F7F" w:themeColor="text1" w:themeTint="80"/>
                            </w:rPr>
                            <w:t xml:space="preserve">     </w:t>
                          </w:r>
                        </w:p>
                      </w:sdtContent>
                    </w:sdt>
                    <w:p w14:paraId="08BEB0CE" w14:textId="77777777" w:rsidR="00D33739" w:rsidRDefault="00D33739">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1E12" w14:textId="77777777" w:rsidR="00A26084" w:rsidRDefault="00A26084" w:rsidP="008A3AB5">
      <w:pPr>
        <w:spacing w:after="0" w:line="240" w:lineRule="auto"/>
      </w:pPr>
      <w:r>
        <w:separator/>
      </w:r>
    </w:p>
  </w:footnote>
  <w:footnote w:type="continuationSeparator" w:id="0">
    <w:p w14:paraId="2493C622" w14:textId="77777777" w:rsidR="00A26084" w:rsidRDefault="00A26084" w:rsidP="008A3AB5">
      <w:pPr>
        <w:spacing w:after="0" w:line="240" w:lineRule="auto"/>
      </w:pPr>
      <w:r>
        <w:continuationSeparator/>
      </w:r>
    </w:p>
  </w:footnote>
  <w:footnote w:id="1">
    <w:p w14:paraId="12BA8288" w14:textId="77777777" w:rsidR="00D33739" w:rsidRPr="00EE6CCE" w:rsidRDefault="00D33739" w:rsidP="0046336D">
      <w:pPr>
        <w:pStyle w:val="Textonotapie1"/>
        <w:jc w:val="both"/>
        <w:rPr>
          <w:sz w:val="14"/>
          <w:szCs w:val="14"/>
          <w:lang w:val="es-ES"/>
        </w:rPr>
      </w:pPr>
      <w:r w:rsidRPr="00EE6CCE">
        <w:rPr>
          <w:rStyle w:val="Refdenotaalpie"/>
          <w:sz w:val="14"/>
          <w:szCs w:val="14"/>
        </w:rPr>
        <w:footnoteRef/>
      </w:r>
      <w:r w:rsidRPr="00EE6CCE">
        <w:rPr>
          <w:sz w:val="14"/>
          <w:szCs w:val="14"/>
        </w:rPr>
        <w:t xml:space="preserve"> </w:t>
      </w:r>
      <w:r w:rsidRPr="00EE6CCE">
        <w:rPr>
          <w:sz w:val="14"/>
          <w:szCs w:val="14"/>
          <w:lang w:val="es-ES"/>
        </w:rPr>
        <w:t xml:space="preserve">Balance del Sector Público Presupuestario: diferencia entre los ingresos totales (corrientes y de capital) de los entes públicos incluidos en la Ley de Ingresos con excepción de los financiamientos y los </w:t>
      </w:r>
      <w:r w:rsidRPr="00872B59">
        <w:rPr>
          <w:sz w:val="14"/>
          <w:szCs w:val="14"/>
          <w:lang w:val="es-ES"/>
        </w:rPr>
        <w:t xml:space="preserve">gastos </w:t>
      </w:r>
      <w:r>
        <w:rPr>
          <w:sz w:val="14"/>
          <w:szCs w:val="14"/>
          <w:lang w:val="es-ES"/>
        </w:rPr>
        <w:t>totales</w:t>
      </w:r>
      <w:r w:rsidRPr="00EE6CCE">
        <w:rPr>
          <w:sz w:val="14"/>
          <w:szCs w:val="14"/>
          <w:lang w:val="es-ES"/>
        </w:rPr>
        <w:t xml:space="preserve"> (corrientes y de capital) de los entes públicos considerados en el Presupuesto de Egresos, con excepción de la amortización de la deuda.</w:t>
      </w:r>
    </w:p>
  </w:footnote>
  <w:footnote w:id="2">
    <w:p w14:paraId="182E46B8" w14:textId="77777777" w:rsidR="00D33739" w:rsidRPr="00EE6CCE" w:rsidRDefault="00D33739" w:rsidP="0046336D">
      <w:pPr>
        <w:pStyle w:val="Textonotapie1"/>
        <w:jc w:val="both"/>
        <w:rPr>
          <w:sz w:val="14"/>
          <w:szCs w:val="14"/>
          <w:lang w:val="es-ES"/>
        </w:rPr>
      </w:pPr>
      <w:r w:rsidRPr="00EE6CCE">
        <w:rPr>
          <w:rStyle w:val="Refdenotaalpie"/>
          <w:sz w:val="14"/>
          <w:szCs w:val="14"/>
        </w:rPr>
        <w:footnoteRef/>
      </w:r>
      <w:r w:rsidRPr="00EE6CCE">
        <w:rPr>
          <w:sz w:val="14"/>
          <w:szCs w:val="14"/>
        </w:rPr>
        <w:t xml:space="preserve"> </w:t>
      </w:r>
      <w:r w:rsidRPr="00EE6CCE">
        <w:rPr>
          <w:sz w:val="14"/>
          <w:szCs w:val="14"/>
          <w:lang w:val="es-ES"/>
        </w:rPr>
        <w:t>Balance Primario del Sector Público Presupuestario: diferencia entre los ingresos totales de los entes públicos incluidos en la Ley de Ingresos con excepción de los financiamientos y los gastos totales de los entes públicos considerados en el Presupuesto de Egresos, excluyendo de estos últimos, las erogaciones asociadas al costo financiero y a la amortización de la deuda.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30EED" w14:textId="77777777" w:rsidR="00D33739" w:rsidRDefault="00D33739">
    <w:pPr>
      <w:pStyle w:val="Encabezado"/>
    </w:pPr>
    <w:r>
      <w:rPr>
        <w:noProof/>
        <w:lang w:eastAsia="es-MX"/>
      </w:rPr>
      <mc:AlternateContent>
        <mc:Choice Requires="wpg">
          <w:drawing>
            <wp:anchor distT="0" distB="0" distL="114300" distR="114300" simplePos="0" relativeHeight="251662336" behindDoc="0" locked="0" layoutInCell="1" allowOverlap="1" wp14:anchorId="6473C60E" wp14:editId="4881F72E">
              <wp:simplePos x="0" y="0"/>
              <wp:positionH relativeFrom="margin">
                <wp:posOffset>3598</wp:posOffset>
              </wp:positionH>
              <wp:positionV relativeFrom="page">
                <wp:posOffset>372533</wp:posOffset>
              </wp:positionV>
              <wp:extent cx="3263900" cy="304800"/>
              <wp:effectExtent l="0" t="0" r="31750" b="0"/>
              <wp:wrapNone/>
              <wp:docPr id="16" name="Grupo 16"/>
              <wp:cNvGraphicFramePr/>
              <a:graphic xmlns:a="http://schemas.openxmlformats.org/drawingml/2006/main">
                <a:graphicData uri="http://schemas.microsoft.com/office/word/2010/wordprocessingGroup">
                  <wpg:wgp>
                    <wpg:cNvGrpSpPr/>
                    <wpg:grpSpPr>
                      <a:xfrm>
                        <a:off x="0" y="0"/>
                        <a:ext cx="3263900" cy="304800"/>
                        <a:chOff x="0" y="-17781"/>
                        <a:chExt cx="1542415" cy="304800"/>
                      </a:xfrm>
                    </wpg:grpSpPr>
                    <wpg:grpSp>
                      <wpg:cNvPr id="4" name="Grupo 4"/>
                      <wpg:cNvGrpSpPr/>
                      <wpg:grpSpPr>
                        <a:xfrm>
                          <a:off x="0" y="0"/>
                          <a:ext cx="1542415" cy="252000"/>
                          <a:chOff x="0" y="0"/>
                          <a:chExt cx="1542415" cy="252000"/>
                        </a:xfrm>
                      </wpg:grpSpPr>
                      <wps:wsp>
                        <wps:cNvPr id="3" name="Paralelogramo 3"/>
                        <wps:cNvSpPr/>
                        <wps:spPr>
                          <a:xfrm>
                            <a:off x="30480" y="0"/>
                            <a:ext cx="1511935" cy="251460"/>
                          </a:xfrm>
                          <a:prstGeom prst="parallelogram">
                            <a:avLst>
                              <a:gd name="adj" fmla="val 49732"/>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7D3CB" w14:textId="77777777" w:rsidR="00D33739" w:rsidRPr="00B87EFD" w:rsidRDefault="00D33739" w:rsidP="00490FFA">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ectángulo 5"/>
                        <wps:cNvSpPr/>
                        <wps:spPr>
                          <a:xfrm>
                            <a:off x="0" y="0"/>
                            <a:ext cx="304800" cy="252000"/>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Cuadro de texto 11"/>
                      <wps:cNvSpPr txBox="1"/>
                      <wps:spPr>
                        <a:xfrm>
                          <a:off x="7620" y="-17781"/>
                          <a:ext cx="1391855" cy="304800"/>
                        </a:xfrm>
                        <a:prstGeom prst="rect">
                          <a:avLst/>
                        </a:prstGeom>
                        <a:noFill/>
                        <a:ln w="6350">
                          <a:noFill/>
                        </a:ln>
                      </wps:spPr>
                      <wps:txbx>
                        <w:txbxContent>
                          <w:p w14:paraId="2401DD94" w14:textId="77777777" w:rsidR="00D33739" w:rsidRPr="00A459DF" w:rsidRDefault="00D33739" w:rsidP="00A459D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3C60E" id="Grupo 16" o:spid="_x0000_s1037" style="position:absolute;margin-left:.3pt;margin-top:29.35pt;width:257pt;height:24pt;z-index:251662336;mso-position-horizontal-relative:margin;mso-position-vertical-relative:page;mso-width-relative:margin;mso-height-relative:margin" coordorigin=",-177" coordsize="1542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">
              <v:group id="Grupo 4" o:spid="_x0000_s1038" style="position:absolute;width:15424;height:2520" coordsize="1542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3" o:spid="_x0000_s1039" type="#_x0000_t7" style="position:absolute;left:304;width:15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" adj="1787" fillcolor="maroon" strokecolor="maroon" strokeweight="1pt">
                  <v:textbox>
                    <w:txbxContent>
                      <w:p w14:paraId="13A7D3CB" w14:textId="77777777" w:rsidR="00D33739" w:rsidRPr="00B87EFD" w:rsidRDefault="00D33739" w:rsidP="00490FFA">
                        <w:pPr>
                          <w:jc w:val="center"/>
                          <w:rPr>
                            <w:rFonts w:ascii="Arial" w:hAnsi="Arial" w:cs="Arial"/>
                            <w:b/>
                          </w:rPr>
                        </w:pPr>
                      </w:p>
                    </w:txbxContent>
                  </v:textbox>
                </v:shape>
                <v:rect id="Rectángulo 5" o:spid="_x0000_s1040" style="position:absolute;width:304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" fillcolor="maroon" strokecolor="maroon" strokeweight="1pt"/>
              </v:group>
              <v:shapetype id="_x0000_t202" coordsize="21600,21600" o:spt="202" path="m,l,21600r21600,l21600,xe">
                <v:stroke joinstyle="miter"/>
                <v:path gradientshapeok="t" o:connecttype="rect"/>
              </v:shapetype>
              <v:shape id="Cuadro de texto 11" o:spid="_x0000_s1041" type="#_x0000_t202" style="position:absolute;left:76;top:-177;width:1391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401DD94" w14:textId="77777777" w:rsidR="00D33739" w:rsidRPr="00A459DF" w:rsidRDefault="00D33739" w:rsidP="00A459D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v:textbox>
              </v:shape>
              <w10:wrap anchorx="margin" anchory="page"/>
            </v:group>
          </w:pict>
        </mc:Fallback>
      </mc:AlternateContent>
    </w:r>
    <w:r>
      <w:rPr>
        <w:noProof/>
        <w:lang w:eastAsia="es-MX"/>
      </w:rPr>
      <mc:AlternateContent>
        <mc:Choice Requires="wps">
          <w:drawing>
            <wp:anchor distT="0" distB="0" distL="114300" distR="114300" simplePos="0" relativeHeight="251652096" behindDoc="0" locked="0" layoutInCell="1" allowOverlap="1" wp14:anchorId="3CF46F5C" wp14:editId="0860F97D">
              <wp:simplePos x="0" y="0"/>
              <wp:positionH relativeFrom="column">
                <wp:posOffset>1308100</wp:posOffset>
              </wp:positionH>
              <wp:positionV relativeFrom="paragraph">
                <wp:posOffset>121285</wp:posOffset>
              </wp:positionV>
              <wp:extent cx="4320000" cy="251460"/>
              <wp:effectExtent l="0" t="0" r="23495" b="15240"/>
              <wp:wrapNone/>
              <wp:docPr id="15" name="Rectángulo 15"/>
              <wp:cNvGraphicFramePr/>
              <a:graphic xmlns:a="http://schemas.openxmlformats.org/drawingml/2006/main">
                <a:graphicData uri="http://schemas.microsoft.com/office/word/2010/wordprocessingShape">
                  <wps:wsp>
                    <wps:cNvSpPr/>
                    <wps:spPr>
                      <a:xfrm>
                        <a:off x="0" y="0"/>
                        <a:ext cx="4320000" cy="251460"/>
                      </a:xfrm>
                      <a:prstGeom prst="rect">
                        <a:avLst/>
                      </a:prstGeom>
                      <a:solidFill>
                        <a:schemeClr val="bg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FA6CA" w14:textId="77777777" w:rsidR="00D33739" w:rsidRPr="00A459DF" w:rsidRDefault="00D33739" w:rsidP="00B740EB">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6F3E5BD6" w14:textId="77777777" w:rsidR="00D33739" w:rsidRPr="00B740EB" w:rsidRDefault="00D33739" w:rsidP="00B8627A">
                          <w:pPr>
                            <w:jc w:val="right"/>
                            <w:rPr>
                              <w:rFonts w:ascii="Arial" w:hAnsi="Arial" w:cs="Arial"/>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F46F5C" id="Rectángulo 15" o:spid="_x0000_s1042" style="position:absolute;margin-left:103pt;margin-top:9.55pt;width:340.15pt;height:19.8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" fillcolor="#e7e6e6 [3214]" strokecolor="#f2f2f2 [3052]" strokeweight="1pt">
              <v:textbox>
                <w:txbxContent>
                  <w:p w14:paraId="2ECFA6CA" w14:textId="77777777" w:rsidR="00D33739" w:rsidRPr="00A459DF" w:rsidRDefault="00D33739" w:rsidP="00B740EB">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6F3E5BD6" w14:textId="77777777" w:rsidR="00D33739" w:rsidRPr="00B740EB" w:rsidRDefault="00D33739" w:rsidP="00B8627A">
                    <w:pPr>
                      <w:jc w:val="right"/>
                      <w:rPr>
                        <w:rFonts w:ascii="Arial" w:hAnsi="Arial" w:cs="Arial"/>
                        <w14:textOutline w14:w="9525" w14:cap="rnd" w14:cmpd="sng" w14:algn="ctr">
                          <w14:solidFill>
                            <w14:srgbClr w14:val="000000"/>
                          </w14:solidFill>
                          <w14:prstDash w14:val="solid"/>
                          <w14:bevel/>
                        </w14:textOutline>
                      </w:rPr>
                    </w:pPr>
                  </w:p>
                </w:txbxContent>
              </v:textbox>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7AFC4" w14:textId="77777777" w:rsidR="00D33739" w:rsidRDefault="00D33739" w:rsidP="009D1AEF">
    <w:pPr>
      <w:pStyle w:val="Encabezado"/>
    </w:pPr>
    <w:r>
      <w:rPr>
        <w:noProof/>
        <w:lang w:eastAsia="es-MX"/>
      </w:rPr>
      <mc:AlternateContent>
        <mc:Choice Requires="wps">
          <w:drawing>
            <wp:anchor distT="0" distB="0" distL="114300" distR="114300" simplePos="0" relativeHeight="251706368" behindDoc="0" locked="0" layoutInCell="1" allowOverlap="1" wp14:anchorId="4C7484E5" wp14:editId="2D1B2840">
              <wp:simplePos x="0" y="0"/>
              <wp:positionH relativeFrom="margin">
                <wp:posOffset>1237615</wp:posOffset>
              </wp:positionH>
              <wp:positionV relativeFrom="paragraph">
                <wp:posOffset>86995</wp:posOffset>
              </wp:positionV>
              <wp:extent cx="4319905" cy="276225"/>
              <wp:effectExtent l="0" t="0" r="23495" b="28575"/>
              <wp:wrapNone/>
              <wp:docPr id="219" name="Rectángulo 219"/>
              <wp:cNvGraphicFramePr/>
              <a:graphic xmlns:a="http://schemas.openxmlformats.org/drawingml/2006/main">
                <a:graphicData uri="http://schemas.microsoft.com/office/word/2010/wordprocessingShape">
                  <wps:wsp>
                    <wps:cNvSpPr/>
                    <wps:spPr>
                      <a:xfrm>
                        <a:off x="0" y="0"/>
                        <a:ext cx="4319905" cy="276225"/>
                      </a:xfrm>
                      <a:prstGeom prst="rect">
                        <a:avLst/>
                      </a:prstGeom>
                      <a:solidFill>
                        <a:schemeClr val="bg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274FC" w14:textId="77777777" w:rsidR="00D33739" w:rsidRPr="00A459DF" w:rsidRDefault="00D33739" w:rsidP="009D1AEF">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0BFEC835" w14:textId="77777777" w:rsidR="00D33739" w:rsidRPr="00B740EB" w:rsidRDefault="00D33739" w:rsidP="009D1AEF">
                          <w:pPr>
                            <w:jc w:val="right"/>
                            <w:rPr>
                              <w:rFonts w:ascii="Arial" w:hAnsi="Arial" w:cs="Arial"/>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484E5" id="Rectángulo 219" o:spid="_x0000_s1095" style="position:absolute;margin-left:97.45pt;margin-top:6.85pt;width:340.15pt;height:21.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" fillcolor="#e7e6e6 [3214]" strokecolor="#f2f2f2 [3052]" strokeweight="1pt">
              <v:textbox>
                <w:txbxContent>
                  <w:p w14:paraId="527274FC" w14:textId="77777777" w:rsidR="00D33739" w:rsidRPr="00A459DF" w:rsidRDefault="00D33739" w:rsidP="009D1AEF">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0BFEC835" w14:textId="77777777" w:rsidR="00D33739" w:rsidRPr="00B740EB" w:rsidRDefault="00D33739" w:rsidP="009D1AEF">
                    <w:pPr>
                      <w:jc w:val="right"/>
                      <w:rPr>
                        <w:rFonts w:ascii="Arial" w:hAnsi="Arial" w:cs="Arial"/>
                        <w14:textOutline w14:w="9525" w14:cap="rnd" w14:cmpd="sng" w14:algn="ctr">
                          <w14:solidFill>
                            <w14:srgbClr w14:val="000000"/>
                          </w14:solidFill>
                          <w14:prstDash w14:val="solid"/>
                          <w14:bevel/>
                        </w14:textOutline>
                      </w:rPr>
                    </w:pPr>
                  </w:p>
                </w:txbxContent>
              </v:textbox>
              <w10:wrap anchorx="margin"/>
            </v:rect>
          </w:pict>
        </mc:Fallback>
      </mc:AlternateContent>
    </w:r>
    <w:r>
      <w:rPr>
        <w:noProof/>
        <w:lang w:eastAsia="es-MX"/>
      </w:rPr>
      <mc:AlternateContent>
        <mc:Choice Requires="wpg">
          <w:drawing>
            <wp:anchor distT="0" distB="0" distL="114300" distR="114300" simplePos="0" relativeHeight="251707392" behindDoc="0" locked="0" layoutInCell="1" allowOverlap="1" wp14:anchorId="05E3D7AD" wp14:editId="10D5B2B6">
              <wp:simplePos x="0" y="0"/>
              <wp:positionH relativeFrom="margin">
                <wp:posOffset>0</wp:posOffset>
              </wp:positionH>
              <wp:positionV relativeFrom="page">
                <wp:posOffset>360680</wp:posOffset>
              </wp:positionV>
              <wp:extent cx="3263900" cy="304800"/>
              <wp:effectExtent l="0" t="0" r="31750" b="0"/>
              <wp:wrapNone/>
              <wp:docPr id="220" name="Grupo 220"/>
              <wp:cNvGraphicFramePr/>
              <a:graphic xmlns:a="http://schemas.openxmlformats.org/drawingml/2006/main">
                <a:graphicData uri="http://schemas.microsoft.com/office/word/2010/wordprocessingGroup">
                  <wpg:wgp>
                    <wpg:cNvGrpSpPr/>
                    <wpg:grpSpPr>
                      <a:xfrm>
                        <a:off x="0" y="0"/>
                        <a:ext cx="3263900" cy="304800"/>
                        <a:chOff x="0" y="-10161"/>
                        <a:chExt cx="1542415" cy="304800"/>
                      </a:xfrm>
                    </wpg:grpSpPr>
                    <wpg:grpSp>
                      <wpg:cNvPr id="221" name="Grupo 221"/>
                      <wpg:cNvGrpSpPr/>
                      <wpg:grpSpPr>
                        <a:xfrm>
                          <a:off x="0" y="0"/>
                          <a:ext cx="1542415" cy="252000"/>
                          <a:chOff x="0" y="0"/>
                          <a:chExt cx="1542415" cy="252000"/>
                        </a:xfrm>
                      </wpg:grpSpPr>
                      <wps:wsp>
                        <wps:cNvPr id="222" name="Paralelogramo 222"/>
                        <wps:cNvSpPr/>
                        <wps:spPr>
                          <a:xfrm>
                            <a:off x="30480" y="0"/>
                            <a:ext cx="1511935" cy="251460"/>
                          </a:xfrm>
                          <a:prstGeom prst="parallelogram">
                            <a:avLst>
                              <a:gd name="adj" fmla="val 49732"/>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D7A24" w14:textId="77777777" w:rsidR="00D33739" w:rsidRPr="00B87EFD" w:rsidRDefault="00D33739" w:rsidP="009D1AEF">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Rectángulo 223"/>
                        <wps:cNvSpPr/>
                        <wps:spPr>
                          <a:xfrm>
                            <a:off x="0" y="0"/>
                            <a:ext cx="304800" cy="252000"/>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Cuadro de texto 224"/>
                      <wps:cNvSpPr txBox="1"/>
                      <wps:spPr>
                        <a:xfrm>
                          <a:off x="7620" y="-10161"/>
                          <a:ext cx="1391855" cy="304800"/>
                        </a:xfrm>
                        <a:prstGeom prst="rect">
                          <a:avLst/>
                        </a:prstGeom>
                        <a:noFill/>
                        <a:ln w="6350">
                          <a:noFill/>
                        </a:ln>
                      </wps:spPr>
                      <wps:txbx>
                        <w:txbxContent>
                          <w:p w14:paraId="2E98EF67" w14:textId="77777777" w:rsidR="00D33739" w:rsidRPr="00A459DF" w:rsidRDefault="00D33739" w:rsidP="009D1AE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3D7AD" id="Grupo 220" o:spid="_x0000_s1096" style="position:absolute;margin-left:0;margin-top:28.4pt;width:257pt;height:24pt;z-index:251707392;mso-position-horizontal-relative:margin;mso-position-vertical-relative:page;mso-width-relative:margin;mso-height-relative:margin" coordorigin=",-101" coordsize="1542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">
              <v:group id="Grupo 221" o:spid="_x0000_s1097" style="position:absolute;width:15424;height:2520" coordsize="1542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222" o:spid="_x0000_s1098" type="#_x0000_t7" style="position:absolute;left:304;width:15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" adj="1787" fillcolor="maroon" strokecolor="maroon" strokeweight="1pt">
                  <v:textbox>
                    <w:txbxContent>
                      <w:p w14:paraId="5EDD7A24" w14:textId="77777777" w:rsidR="00D33739" w:rsidRPr="00B87EFD" w:rsidRDefault="00D33739" w:rsidP="009D1AEF">
                        <w:pPr>
                          <w:jc w:val="center"/>
                          <w:rPr>
                            <w:rFonts w:ascii="Arial" w:hAnsi="Arial" w:cs="Arial"/>
                            <w:b/>
                          </w:rPr>
                        </w:pPr>
                      </w:p>
                    </w:txbxContent>
                  </v:textbox>
                </v:shape>
                <v:rect id="Rectángulo 223" o:spid="_x0000_s1099" style="position:absolute;width:304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" fillcolor="maroon" strokecolor="maroon" strokeweight="1pt"/>
              </v:group>
              <v:shapetype id="_x0000_t202" coordsize="21600,21600" o:spt="202" path="m,l,21600r21600,l21600,xe">
                <v:stroke joinstyle="miter"/>
                <v:path gradientshapeok="t" o:connecttype="rect"/>
              </v:shapetype>
              <v:shape id="Cuadro de texto 224" o:spid="_x0000_s1100" type="#_x0000_t202" style="position:absolute;left:76;top:-101;width:1391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2E98EF67" w14:textId="77777777" w:rsidR="00D33739" w:rsidRPr="00A459DF" w:rsidRDefault="00D33739" w:rsidP="009D1AE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v:textbox>
              </v:shape>
              <w10:wrap anchorx="margin" anchory="page"/>
            </v:group>
          </w:pict>
        </mc:Fallback>
      </mc:AlternateContent>
    </w:r>
  </w:p>
  <w:p w14:paraId="5D3EBC9B" w14:textId="77777777" w:rsidR="00D33739" w:rsidRDefault="00D33739">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402AA" w14:textId="77777777" w:rsidR="00D33739" w:rsidRDefault="00D33739" w:rsidP="009D1AEF">
    <w:pPr>
      <w:pStyle w:val="Encabezado"/>
    </w:pPr>
  </w:p>
  <w:p w14:paraId="06871877" w14:textId="77777777" w:rsidR="00D33739" w:rsidRDefault="00D33739">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8F41C" w14:textId="77777777" w:rsidR="00D33739" w:rsidRDefault="00D33739" w:rsidP="009D1AEF">
    <w:pPr>
      <w:pStyle w:val="Encabezado"/>
    </w:pPr>
    <w:r>
      <w:rPr>
        <w:noProof/>
        <w:lang w:eastAsia="es-MX"/>
      </w:rPr>
      <mc:AlternateContent>
        <mc:Choice Requires="wps">
          <w:drawing>
            <wp:anchor distT="0" distB="0" distL="114300" distR="114300" simplePos="0" relativeHeight="251720704" behindDoc="0" locked="0" layoutInCell="1" allowOverlap="1" wp14:anchorId="7F87B3AD" wp14:editId="1404FA46">
              <wp:simplePos x="0" y="0"/>
              <wp:positionH relativeFrom="margin">
                <wp:posOffset>1237615</wp:posOffset>
              </wp:positionH>
              <wp:positionV relativeFrom="paragraph">
                <wp:posOffset>86995</wp:posOffset>
              </wp:positionV>
              <wp:extent cx="4319905" cy="276225"/>
              <wp:effectExtent l="0" t="0" r="23495" b="28575"/>
              <wp:wrapNone/>
              <wp:docPr id="246" name="Rectángulo 246"/>
              <wp:cNvGraphicFramePr/>
              <a:graphic xmlns:a="http://schemas.openxmlformats.org/drawingml/2006/main">
                <a:graphicData uri="http://schemas.microsoft.com/office/word/2010/wordprocessingShape">
                  <wps:wsp>
                    <wps:cNvSpPr/>
                    <wps:spPr>
                      <a:xfrm>
                        <a:off x="0" y="0"/>
                        <a:ext cx="4319905" cy="276225"/>
                      </a:xfrm>
                      <a:prstGeom prst="rect">
                        <a:avLst/>
                      </a:prstGeom>
                      <a:solidFill>
                        <a:schemeClr val="bg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E7C3A" w14:textId="77777777" w:rsidR="00D33739" w:rsidRPr="00A459DF" w:rsidRDefault="00D33739" w:rsidP="009D1AEF">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3C80B9AD" w14:textId="77777777" w:rsidR="00D33739" w:rsidRPr="00B740EB" w:rsidRDefault="00D33739" w:rsidP="009D1AEF">
                          <w:pPr>
                            <w:jc w:val="right"/>
                            <w:rPr>
                              <w:rFonts w:ascii="Arial" w:hAnsi="Arial" w:cs="Arial"/>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7B3AD" id="Rectángulo 246" o:spid="_x0000_s1108" style="position:absolute;margin-left:97.45pt;margin-top:6.85pt;width:340.1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" fillcolor="#e7e6e6 [3214]" strokecolor="#f2f2f2 [3052]" strokeweight="1pt">
              <v:textbox>
                <w:txbxContent>
                  <w:p w14:paraId="70CE7C3A" w14:textId="77777777" w:rsidR="00D33739" w:rsidRPr="00A459DF" w:rsidRDefault="00D33739" w:rsidP="009D1AEF">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3C80B9AD" w14:textId="77777777" w:rsidR="00D33739" w:rsidRPr="00B740EB" w:rsidRDefault="00D33739" w:rsidP="009D1AEF">
                    <w:pPr>
                      <w:jc w:val="right"/>
                      <w:rPr>
                        <w:rFonts w:ascii="Arial" w:hAnsi="Arial" w:cs="Arial"/>
                        <w14:textOutline w14:w="9525" w14:cap="rnd" w14:cmpd="sng" w14:algn="ctr">
                          <w14:solidFill>
                            <w14:srgbClr w14:val="000000"/>
                          </w14:solidFill>
                          <w14:prstDash w14:val="solid"/>
                          <w14:bevel/>
                        </w14:textOutline>
                      </w:rPr>
                    </w:pPr>
                  </w:p>
                </w:txbxContent>
              </v:textbox>
              <w10:wrap anchorx="margin"/>
            </v:rect>
          </w:pict>
        </mc:Fallback>
      </mc:AlternateContent>
    </w:r>
    <w:r>
      <w:rPr>
        <w:noProof/>
        <w:lang w:eastAsia="es-MX"/>
      </w:rPr>
      <mc:AlternateContent>
        <mc:Choice Requires="wpg">
          <w:drawing>
            <wp:anchor distT="0" distB="0" distL="114300" distR="114300" simplePos="0" relativeHeight="251721728" behindDoc="0" locked="0" layoutInCell="1" allowOverlap="1" wp14:anchorId="1E01FDD0" wp14:editId="4D72D8BF">
              <wp:simplePos x="0" y="0"/>
              <wp:positionH relativeFrom="margin">
                <wp:posOffset>0</wp:posOffset>
              </wp:positionH>
              <wp:positionV relativeFrom="page">
                <wp:posOffset>360680</wp:posOffset>
              </wp:positionV>
              <wp:extent cx="3263900" cy="304800"/>
              <wp:effectExtent l="0" t="0" r="31750" b="0"/>
              <wp:wrapNone/>
              <wp:docPr id="247" name="Grupo 247"/>
              <wp:cNvGraphicFramePr/>
              <a:graphic xmlns:a="http://schemas.openxmlformats.org/drawingml/2006/main">
                <a:graphicData uri="http://schemas.microsoft.com/office/word/2010/wordprocessingGroup">
                  <wpg:wgp>
                    <wpg:cNvGrpSpPr/>
                    <wpg:grpSpPr>
                      <a:xfrm>
                        <a:off x="0" y="0"/>
                        <a:ext cx="3263900" cy="304800"/>
                        <a:chOff x="0" y="-10161"/>
                        <a:chExt cx="1542415" cy="304800"/>
                      </a:xfrm>
                    </wpg:grpSpPr>
                    <wpg:grpSp>
                      <wpg:cNvPr id="248" name="Grupo 248"/>
                      <wpg:cNvGrpSpPr/>
                      <wpg:grpSpPr>
                        <a:xfrm>
                          <a:off x="0" y="0"/>
                          <a:ext cx="1542415" cy="252000"/>
                          <a:chOff x="0" y="0"/>
                          <a:chExt cx="1542415" cy="252000"/>
                        </a:xfrm>
                      </wpg:grpSpPr>
                      <wps:wsp>
                        <wps:cNvPr id="249" name="Paralelogramo 249"/>
                        <wps:cNvSpPr/>
                        <wps:spPr>
                          <a:xfrm>
                            <a:off x="30480" y="0"/>
                            <a:ext cx="1511935" cy="251460"/>
                          </a:xfrm>
                          <a:prstGeom prst="parallelogram">
                            <a:avLst>
                              <a:gd name="adj" fmla="val 49732"/>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EDBF4" w14:textId="77777777" w:rsidR="00D33739" w:rsidRPr="00B87EFD" w:rsidRDefault="00D33739" w:rsidP="009D1AEF">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Rectángulo 250"/>
                        <wps:cNvSpPr/>
                        <wps:spPr>
                          <a:xfrm>
                            <a:off x="0" y="0"/>
                            <a:ext cx="304800" cy="252000"/>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Cuadro de texto 251"/>
                      <wps:cNvSpPr txBox="1"/>
                      <wps:spPr>
                        <a:xfrm>
                          <a:off x="7620" y="-10161"/>
                          <a:ext cx="1391855" cy="304800"/>
                        </a:xfrm>
                        <a:prstGeom prst="rect">
                          <a:avLst/>
                        </a:prstGeom>
                        <a:noFill/>
                        <a:ln w="6350">
                          <a:noFill/>
                        </a:ln>
                      </wps:spPr>
                      <wps:txbx>
                        <w:txbxContent>
                          <w:p w14:paraId="7279ED56" w14:textId="77777777" w:rsidR="00D33739" w:rsidRPr="00A459DF" w:rsidRDefault="00D33739" w:rsidP="009D1AE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01FDD0" id="Grupo 247" o:spid="_x0000_s1109" style="position:absolute;margin-left:0;margin-top:28.4pt;width:257pt;height:24pt;z-index:251721728;mso-position-horizontal-relative:margin;mso-position-vertical-relative:page;mso-width-relative:margin;mso-height-relative:margin" coordorigin=",-101" coordsize="1542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">
              <v:group id="Grupo 248" o:spid="_x0000_s1110" style="position:absolute;width:15424;height:2520" coordsize="1542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249" o:spid="_x0000_s1111" type="#_x0000_t7" style="position:absolute;left:304;width:15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" adj="1787" fillcolor="maroon" strokecolor="maroon" strokeweight="1pt">
                  <v:textbox>
                    <w:txbxContent>
                      <w:p w14:paraId="4AAEDBF4" w14:textId="77777777" w:rsidR="00D33739" w:rsidRPr="00B87EFD" w:rsidRDefault="00D33739" w:rsidP="009D1AEF">
                        <w:pPr>
                          <w:jc w:val="center"/>
                          <w:rPr>
                            <w:rFonts w:ascii="Arial" w:hAnsi="Arial" w:cs="Arial"/>
                            <w:b/>
                          </w:rPr>
                        </w:pPr>
                      </w:p>
                    </w:txbxContent>
                  </v:textbox>
                </v:shape>
                <v:rect id="Rectángulo 250" o:spid="_x0000_s1112" style="position:absolute;width:304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" fillcolor="maroon" strokecolor="maroon" strokeweight="1pt"/>
              </v:group>
              <v:shapetype id="_x0000_t202" coordsize="21600,21600" o:spt="202" path="m,l,21600r21600,l21600,xe">
                <v:stroke joinstyle="miter"/>
                <v:path gradientshapeok="t" o:connecttype="rect"/>
              </v:shapetype>
              <v:shape id="Cuadro de texto 251" o:spid="_x0000_s1113" type="#_x0000_t202" style="position:absolute;left:76;top:-101;width:1391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7279ED56" w14:textId="77777777" w:rsidR="00D33739" w:rsidRPr="00A459DF" w:rsidRDefault="00D33739" w:rsidP="009D1AE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v:textbox>
              </v:shape>
              <w10:wrap anchorx="margin" anchory="page"/>
            </v:group>
          </w:pict>
        </mc:Fallback>
      </mc:AlternateContent>
    </w:r>
  </w:p>
  <w:p w14:paraId="2F49CD16" w14:textId="77777777" w:rsidR="00D33739" w:rsidRDefault="00D33739">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FD48A" w14:textId="333EB04F" w:rsidR="00DA1D30" w:rsidRDefault="00DA1D30" w:rsidP="009D1AEF">
    <w:pPr>
      <w:pStyle w:val="Encabezado"/>
    </w:pPr>
  </w:p>
  <w:p w14:paraId="39796C81" w14:textId="77777777" w:rsidR="00DA1D30" w:rsidRDefault="00DA1D3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EA7C5" w14:textId="77777777" w:rsidR="00D33739" w:rsidRDefault="00D3373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66503" w14:textId="77777777" w:rsidR="00D33739" w:rsidRDefault="00D33739">
    <w:pPr>
      <w:pStyle w:val="Encabezado"/>
    </w:pPr>
    <w:r>
      <w:rPr>
        <w:noProof/>
        <w:lang w:eastAsia="es-MX"/>
      </w:rPr>
      <mc:AlternateContent>
        <mc:Choice Requires="wpg">
          <w:drawing>
            <wp:anchor distT="0" distB="0" distL="114300" distR="114300" simplePos="0" relativeHeight="251682816" behindDoc="0" locked="0" layoutInCell="1" allowOverlap="1" wp14:anchorId="1DC4F9F3" wp14:editId="28B595C1">
              <wp:simplePos x="0" y="0"/>
              <wp:positionH relativeFrom="margin">
                <wp:posOffset>3598</wp:posOffset>
              </wp:positionH>
              <wp:positionV relativeFrom="page">
                <wp:posOffset>372533</wp:posOffset>
              </wp:positionV>
              <wp:extent cx="3263900" cy="304800"/>
              <wp:effectExtent l="0" t="0" r="31750" b="0"/>
              <wp:wrapNone/>
              <wp:docPr id="942" name="Grupo 942"/>
              <wp:cNvGraphicFramePr/>
              <a:graphic xmlns:a="http://schemas.openxmlformats.org/drawingml/2006/main">
                <a:graphicData uri="http://schemas.microsoft.com/office/word/2010/wordprocessingGroup">
                  <wpg:wgp>
                    <wpg:cNvGrpSpPr/>
                    <wpg:grpSpPr>
                      <a:xfrm>
                        <a:off x="0" y="0"/>
                        <a:ext cx="3263900" cy="304800"/>
                        <a:chOff x="0" y="-17781"/>
                        <a:chExt cx="1542415" cy="304800"/>
                      </a:xfrm>
                    </wpg:grpSpPr>
                    <wpg:grpSp>
                      <wpg:cNvPr id="943" name="Grupo 943"/>
                      <wpg:cNvGrpSpPr/>
                      <wpg:grpSpPr>
                        <a:xfrm>
                          <a:off x="0" y="0"/>
                          <a:ext cx="1542415" cy="252000"/>
                          <a:chOff x="0" y="0"/>
                          <a:chExt cx="1542415" cy="252000"/>
                        </a:xfrm>
                      </wpg:grpSpPr>
                      <wps:wsp>
                        <wps:cNvPr id="944" name="Paralelogramo 944"/>
                        <wps:cNvSpPr/>
                        <wps:spPr>
                          <a:xfrm>
                            <a:off x="30480" y="0"/>
                            <a:ext cx="1511935" cy="251460"/>
                          </a:xfrm>
                          <a:prstGeom prst="parallelogram">
                            <a:avLst>
                              <a:gd name="adj" fmla="val 49732"/>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9D2AD" w14:textId="77777777" w:rsidR="00D33739" w:rsidRPr="00B87EFD" w:rsidRDefault="00D33739" w:rsidP="00490FFA">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5" name="Rectángulo 945"/>
                        <wps:cNvSpPr/>
                        <wps:spPr>
                          <a:xfrm>
                            <a:off x="0" y="0"/>
                            <a:ext cx="304800" cy="252000"/>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6" name="Cuadro de texto 946"/>
                      <wps:cNvSpPr txBox="1"/>
                      <wps:spPr>
                        <a:xfrm>
                          <a:off x="7620" y="-17781"/>
                          <a:ext cx="1391855" cy="304800"/>
                        </a:xfrm>
                        <a:prstGeom prst="rect">
                          <a:avLst/>
                        </a:prstGeom>
                        <a:noFill/>
                        <a:ln w="6350">
                          <a:noFill/>
                        </a:ln>
                      </wps:spPr>
                      <wps:txbx>
                        <w:txbxContent>
                          <w:p w14:paraId="53A1D502" w14:textId="77777777" w:rsidR="00D33739" w:rsidRPr="00A459DF" w:rsidRDefault="00D33739" w:rsidP="00A459D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C4F9F3" id="Grupo 942" o:spid="_x0000_s1050" style="position:absolute;margin-left:.3pt;margin-top:29.35pt;width:257pt;height:24pt;z-index:251682816;mso-position-horizontal-relative:margin;mso-position-vertical-relative:page;mso-width-relative:margin;mso-height-relative:margin" coordorigin=",-177" coordsize="1542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">
              <v:group id="Grupo 943" o:spid="_x0000_s1051" style="position:absolute;width:15424;height:2520" coordsize="1542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944" o:spid="_x0000_s1052" type="#_x0000_t7" style="position:absolute;left:304;width:15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" adj="1787" fillcolor="maroon" strokecolor="maroon" strokeweight="1pt">
                  <v:textbox>
                    <w:txbxContent>
                      <w:p w14:paraId="2E79D2AD" w14:textId="77777777" w:rsidR="00D33739" w:rsidRPr="00B87EFD" w:rsidRDefault="00D33739" w:rsidP="00490FFA">
                        <w:pPr>
                          <w:jc w:val="center"/>
                          <w:rPr>
                            <w:rFonts w:ascii="Arial" w:hAnsi="Arial" w:cs="Arial"/>
                            <w:b/>
                          </w:rPr>
                        </w:pPr>
                      </w:p>
                    </w:txbxContent>
                  </v:textbox>
                </v:shape>
                <v:rect id="Rectángulo 945" o:spid="_x0000_s1053" style="position:absolute;width:304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" fillcolor="maroon" strokecolor="maroon" strokeweight="1pt"/>
              </v:group>
              <v:shapetype id="_x0000_t202" coordsize="21600,21600" o:spt="202" path="m,l,21600r21600,l21600,xe">
                <v:stroke joinstyle="miter"/>
                <v:path gradientshapeok="t" o:connecttype="rect"/>
              </v:shapetype>
              <v:shape id="Cuadro de texto 946" o:spid="_x0000_s1054" type="#_x0000_t202" style="position:absolute;left:76;top:-177;width:1391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cfxwAAANwAAAAPAAAAZHJzL2Rvd25yZXYueG1sRI9Pa8JA&#10;FMTvBb/D8oTemo3S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ClF1x/HAAAA3AAA&#10;AA8AAAAAAAAAAAAAAAAABwIAAGRycy9kb3ducmV2LnhtbFBLBQYAAAAAAwADALcAAAD7AgAAAAA=&#10;" filled="f" stroked="f" strokeweight=".5pt">
                <v:textbox>
                  <w:txbxContent>
                    <w:p w14:paraId="53A1D502" w14:textId="77777777" w:rsidR="00D33739" w:rsidRPr="00A459DF" w:rsidRDefault="00D33739" w:rsidP="00A459D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v:textbox>
              </v:shape>
              <w10:wrap anchorx="margin" anchory="page"/>
            </v:group>
          </w:pict>
        </mc:Fallback>
      </mc:AlternateContent>
    </w:r>
    <w:r>
      <w:rPr>
        <w:noProof/>
        <w:lang w:eastAsia="es-MX"/>
      </w:rPr>
      <mc:AlternateContent>
        <mc:Choice Requires="wps">
          <w:drawing>
            <wp:anchor distT="0" distB="0" distL="114300" distR="114300" simplePos="0" relativeHeight="251681792" behindDoc="0" locked="0" layoutInCell="1" allowOverlap="1" wp14:anchorId="593EC29C" wp14:editId="57BCCF09">
              <wp:simplePos x="0" y="0"/>
              <wp:positionH relativeFrom="column">
                <wp:posOffset>1308100</wp:posOffset>
              </wp:positionH>
              <wp:positionV relativeFrom="paragraph">
                <wp:posOffset>121285</wp:posOffset>
              </wp:positionV>
              <wp:extent cx="4320000" cy="251460"/>
              <wp:effectExtent l="0" t="0" r="23495" b="15240"/>
              <wp:wrapNone/>
              <wp:docPr id="947" name="Rectángulo 947"/>
              <wp:cNvGraphicFramePr/>
              <a:graphic xmlns:a="http://schemas.openxmlformats.org/drawingml/2006/main">
                <a:graphicData uri="http://schemas.microsoft.com/office/word/2010/wordprocessingShape">
                  <wps:wsp>
                    <wps:cNvSpPr/>
                    <wps:spPr>
                      <a:xfrm>
                        <a:off x="0" y="0"/>
                        <a:ext cx="4320000" cy="251460"/>
                      </a:xfrm>
                      <a:prstGeom prst="rect">
                        <a:avLst/>
                      </a:prstGeom>
                      <a:solidFill>
                        <a:schemeClr val="bg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4109F" w14:textId="77777777" w:rsidR="00D33739" w:rsidRPr="00A459DF" w:rsidRDefault="00D33739" w:rsidP="00B740EB">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69AE8D09" w14:textId="77777777" w:rsidR="00D33739" w:rsidRPr="00B740EB" w:rsidRDefault="00D33739" w:rsidP="00B8627A">
                          <w:pPr>
                            <w:jc w:val="right"/>
                            <w:rPr>
                              <w:rFonts w:ascii="Arial" w:hAnsi="Arial" w:cs="Arial"/>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3EC29C" id="Rectángulo 947" o:spid="_x0000_s1055" style="position:absolute;margin-left:103pt;margin-top:9.55pt;width:340.15pt;height:19.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" fillcolor="#e7e6e6 [3214]" strokecolor="#f2f2f2 [3052]" strokeweight="1pt">
              <v:textbox>
                <w:txbxContent>
                  <w:p w14:paraId="7274109F" w14:textId="77777777" w:rsidR="00D33739" w:rsidRPr="00A459DF" w:rsidRDefault="00D33739" w:rsidP="00B740EB">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69AE8D09" w14:textId="77777777" w:rsidR="00D33739" w:rsidRPr="00B740EB" w:rsidRDefault="00D33739" w:rsidP="00B8627A">
                    <w:pPr>
                      <w:jc w:val="right"/>
                      <w:rPr>
                        <w:rFonts w:ascii="Arial" w:hAnsi="Arial" w:cs="Arial"/>
                        <w14:textOutline w14:w="9525" w14:cap="rnd" w14:cmpd="sng" w14:algn="ctr">
                          <w14:solidFill>
                            <w14:srgbClr w14:val="000000"/>
                          </w14:solidFill>
                          <w14:prstDash w14:val="solid"/>
                          <w14:bevel/>
                        </w14:textOutline>
                      </w:rP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8C3C" w14:textId="77777777" w:rsidR="00D33739" w:rsidRDefault="00D33739">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DA7A0" w14:textId="77777777" w:rsidR="00D33739" w:rsidRDefault="00D33739">
    <w:pPr>
      <w:pStyle w:val="Encabezado"/>
    </w:pPr>
    <w:r>
      <w:rPr>
        <w:noProof/>
        <w:lang w:eastAsia="es-MX"/>
      </w:rPr>
      <mc:AlternateContent>
        <mc:Choice Requires="wpg">
          <w:drawing>
            <wp:anchor distT="0" distB="0" distL="114300" distR="114300" simplePos="0" relativeHeight="251689984" behindDoc="0" locked="0" layoutInCell="1" allowOverlap="1" wp14:anchorId="4AEDFC90" wp14:editId="26FEF68F">
              <wp:simplePos x="0" y="0"/>
              <wp:positionH relativeFrom="margin">
                <wp:posOffset>3175</wp:posOffset>
              </wp:positionH>
              <wp:positionV relativeFrom="page">
                <wp:posOffset>394970</wp:posOffset>
              </wp:positionV>
              <wp:extent cx="3263900" cy="304800"/>
              <wp:effectExtent l="0" t="0" r="31750" b="0"/>
              <wp:wrapNone/>
              <wp:docPr id="953" name="Grupo 953"/>
              <wp:cNvGraphicFramePr/>
              <a:graphic xmlns:a="http://schemas.openxmlformats.org/drawingml/2006/main">
                <a:graphicData uri="http://schemas.microsoft.com/office/word/2010/wordprocessingGroup">
                  <wpg:wgp>
                    <wpg:cNvGrpSpPr/>
                    <wpg:grpSpPr>
                      <a:xfrm>
                        <a:off x="0" y="0"/>
                        <a:ext cx="3263900" cy="304800"/>
                        <a:chOff x="0" y="-17781"/>
                        <a:chExt cx="1542415" cy="304800"/>
                      </a:xfrm>
                    </wpg:grpSpPr>
                    <wpg:grpSp>
                      <wpg:cNvPr id="954" name="Grupo 954"/>
                      <wpg:cNvGrpSpPr/>
                      <wpg:grpSpPr>
                        <a:xfrm>
                          <a:off x="0" y="0"/>
                          <a:ext cx="1542415" cy="252000"/>
                          <a:chOff x="0" y="0"/>
                          <a:chExt cx="1542415" cy="252000"/>
                        </a:xfrm>
                      </wpg:grpSpPr>
                      <wps:wsp>
                        <wps:cNvPr id="955" name="Paralelogramo 3"/>
                        <wps:cNvSpPr/>
                        <wps:spPr>
                          <a:xfrm>
                            <a:off x="30480" y="0"/>
                            <a:ext cx="1511935" cy="251460"/>
                          </a:xfrm>
                          <a:prstGeom prst="parallelogram">
                            <a:avLst>
                              <a:gd name="adj" fmla="val 49732"/>
                            </a:avLst>
                          </a:prstGeom>
                          <a:solidFill>
                            <a:srgbClr val="800000"/>
                          </a:solidFill>
                          <a:ln w="12700" cap="flat" cmpd="sng" algn="ctr">
                            <a:solidFill>
                              <a:srgbClr val="800000"/>
                            </a:solidFill>
                            <a:prstDash val="solid"/>
                            <a:miter lim="800000"/>
                          </a:ln>
                          <a:effectLst/>
                        </wps:spPr>
                        <wps:txbx>
                          <w:txbxContent>
                            <w:p w14:paraId="14607EE4" w14:textId="77777777" w:rsidR="00D33739" w:rsidRPr="00B87EFD" w:rsidRDefault="00D33739" w:rsidP="00490FFA">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6" name="Rectángulo 956"/>
                        <wps:cNvSpPr/>
                        <wps:spPr>
                          <a:xfrm>
                            <a:off x="0" y="0"/>
                            <a:ext cx="304800" cy="252000"/>
                          </a:xfrm>
                          <a:prstGeom prst="rect">
                            <a:avLst/>
                          </a:prstGeom>
                          <a:solidFill>
                            <a:srgbClr val="800000"/>
                          </a:solidFill>
                          <a:ln w="1270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7" name="Cuadro de texto 11"/>
                      <wps:cNvSpPr txBox="1"/>
                      <wps:spPr>
                        <a:xfrm>
                          <a:off x="7620" y="-17781"/>
                          <a:ext cx="1391855" cy="304800"/>
                        </a:xfrm>
                        <a:prstGeom prst="rect">
                          <a:avLst/>
                        </a:prstGeom>
                        <a:noFill/>
                        <a:ln w="6350">
                          <a:noFill/>
                        </a:ln>
                      </wps:spPr>
                      <wps:txbx>
                        <w:txbxContent>
                          <w:p w14:paraId="72AD3ECE" w14:textId="77777777" w:rsidR="00D33739" w:rsidRPr="00A459DF" w:rsidRDefault="00D33739" w:rsidP="00A459D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EDFC90" id="Grupo 953" o:spid="_x0000_s1063" style="position:absolute;margin-left:.25pt;margin-top:31.1pt;width:257pt;height:24pt;z-index:251689984;mso-position-horizontal-relative:margin;mso-position-vertical-relative:page;mso-width-relative:margin;mso-height-relative:margin" coordorigin=",-177" coordsize="1542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">
              <v:group id="Grupo 954" o:spid="_x0000_s1064" style="position:absolute;width:15424;height:2520" coordsize="1542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3" o:spid="_x0000_s1065" type="#_x0000_t7" style="position:absolute;left:304;width:15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" adj="1787" fillcolor="maroon" strokecolor="maroon" strokeweight="1pt">
                  <v:textbox>
                    <w:txbxContent>
                      <w:p w14:paraId="14607EE4" w14:textId="77777777" w:rsidR="00D33739" w:rsidRPr="00B87EFD" w:rsidRDefault="00D33739" w:rsidP="00490FFA">
                        <w:pPr>
                          <w:jc w:val="center"/>
                          <w:rPr>
                            <w:rFonts w:ascii="Arial" w:hAnsi="Arial" w:cs="Arial"/>
                            <w:b/>
                          </w:rPr>
                        </w:pPr>
                      </w:p>
                    </w:txbxContent>
                  </v:textbox>
                </v:shape>
                <v:rect id="Rectángulo 956" o:spid="_x0000_s1066" style="position:absolute;width:304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" fillcolor="maroon" strokecolor="maroon" strokeweight="1pt"/>
              </v:group>
              <v:shapetype id="_x0000_t202" coordsize="21600,21600" o:spt="202" path="m,l,21600r21600,l21600,xe">
                <v:stroke joinstyle="miter"/>
                <v:path gradientshapeok="t" o:connecttype="rect"/>
              </v:shapetype>
              <v:shape id="Cuadro de texto 11" o:spid="_x0000_s1067" type="#_x0000_t202" style="position:absolute;left:76;top:-177;width:1391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RZ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xe4nQlHQK6uAAAA//8DAFBLAQItABQABgAIAAAAIQDb4fbL7gAAAIUBAAATAAAAAAAA&#10;AAAAAAAAAAAAAABbQ29udGVudF9UeXBlc10ueG1sUEsBAi0AFAAGAAgAAAAhAFr0LFu/AAAAFQEA&#10;AAsAAAAAAAAAAAAAAAAAHwEAAF9yZWxzLy5yZWxzUEsBAi0AFAAGAAgAAAAhAMPQ5FnHAAAA3AAA&#10;AA8AAAAAAAAAAAAAAAAABwIAAGRycy9kb3ducmV2LnhtbFBLBQYAAAAAAwADALcAAAD7AgAAAAA=&#10;" filled="f" stroked="f" strokeweight=".5pt">
                <v:textbox>
                  <w:txbxContent>
                    <w:p w14:paraId="72AD3ECE" w14:textId="77777777" w:rsidR="00D33739" w:rsidRPr="00A459DF" w:rsidRDefault="00D33739" w:rsidP="00A459D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v:textbox>
              </v:shape>
              <w10:wrap anchorx="margin" anchory="page"/>
            </v:group>
          </w:pict>
        </mc:Fallback>
      </mc:AlternateContent>
    </w:r>
    <w:r>
      <w:rPr>
        <w:noProof/>
        <w:lang w:eastAsia="es-MX"/>
      </w:rPr>
      <mc:AlternateContent>
        <mc:Choice Requires="wps">
          <w:drawing>
            <wp:anchor distT="0" distB="0" distL="114300" distR="114300" simplePos="0" relativeHeight="251688960" behindDoc="0" locked="0" layoutInCell="1" allowOverlap="1" wp14:anchorId="1E45820D" wp14:editId="6B9AE5BE">
              <wp:simplePos x="0" y="0"/>
              <wp:positionH relativeFrom="column">
                <wp:posOffset>1310640</wp:posOffset>
              </wp:positionH>
              <wp:positionV relativeFrom="paragraph">
                <wp:posOffset>119380</wp:posOffset>
              </wp:positionV>
              <wp:extent cx="4319905" cy="288000"/>
              <wp:effectExtent l="0" t="0" r="23495" b="17145"/>
              <wp:wrapNone/>
              <wp:docPr id="958" name="Rectángulo 958"/>
              <wp:cNvGraphicFramePr/>
              <a:graphic xmlns:a="http://schemas.openxmlformats.org/drawingml/2006/main">
                <a:graphicData uri="http://schemas.microsoft.com/office/word/2010/wordprocessingShape">
                  <wps:wsp>
                    <wps:cNvSpPr/>
                    <wps:spPr>
                      <a:xfrm>
                        <a:off x="0" y="0"/>
                        <a:ext cx="4319905" cy="288000"/>
                      </a:xfrm>
                      <a:prstGeom prst="rect">
                        <a:avLst/>
                      </a:prstGeom>
                      <a:solidFill>
                        <a:srgbClr val="E7E6E6"/>
                      </a:solidFill>
                      <a:ln w="12700" cap="flat" cmpd="sng" algn="ctr">
                        <a:solidFill>
                          <a:sysClr val="window" lastClr="FFFFFF">
                            <a:lumMod val="95000"/>
                          </a:sysClr>
                        </a:solidFill>
                        <a:prstDash val="solid"/>
                        <a:miter lim="800000"/>
                      </a:ln>
                      <a:effectLst/>
                    </wps:spPr>
                    <wps:txbx>
                      <w:txbxContent>
                        <w:p w14:paraId="31181C46" w14:textId="77777777" w:rsidR="00D33739" w:rsidRPr="00A459DF" w:rsidRDefault="00D33739" w:rsidP="00B740EB">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sidRPr="00A459DF">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w:t>
                          </w: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2</w:t>
                          </w:r>
                        </w:p>
                        <w:p w14:paraId="0501745D" w14:textId="77777777" w:rsidR="00D33739" w:rsidRPr="00B740EB" w:rsidRDefault="00D33739" w:rsidP="00B8627A">
                          <w:pPr>
                            <w:jc w:val="right"/>
                            <w:rPr>
                              <w:rFonts w:ascii="Arial" w:hAnsi="Arial" w:cs="Arial"/>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5820D" id="Rectángulo 958" o:spid="_x0000_s1068" style="position:absolute;margin-left:103.2pt;margin-top:9.4pt;width:340.15pt;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" fillcolor="#e7e6e6" strokecolor="#f2f2f2" strokeweight="1pt">
              <v:textbox>
                <w:txbxContent>
                  <w:p w14:paraId="31181C46" w14:textId="77777777" w:rsidR="00D33739" w:rsidRPr="00A459DF" w:rsidRDefault="00D33739" w:rsidP="00B740EB">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sidRPr="00A459DF">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w:t>
                    </w: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2</w:t>
                    </w:r>
                  </w:p>
                  <w:p w14:paraId="0501745D" w14:textId="77777777" w:rsidR="00D33739" w:rsidRPr="00B740EB" w:rsidRDefault="00D33739" w:rsidP="00B8627A">
                    <w:pPr>
                      <w:jc w:val="right"/>
                      <w:rPr>
                        <w:rFonts w:ascii="Arial" w:hAnsi="Arial" w:cs="Arial"/>
                        <w14:textOutline w14:w="9525" w14:cap="rnd" w14:cmpd="sng" w14:algn="ctr">
                          <w14:solidFill>
                            <w14:srgbClr w14:val="000000"/>
                          </w14:solidFill>
                          <w14:prstDash w14:val="solid"/>
                          <w14:bevel/>
                        </w14:textOutline>
                      </w:rP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68450" w14:textId="77777777" w:rsidR="00D33739" w:rsidRDefault="00D33739" w:rsidP="009D1AEF">
    <w:pPr>
      <w:pStyle w:val="Encabezado"/>
    </w:pPr>
    <w:r>
      <w:rPr>
        <w:noProof/>
        <w:lang w:eastAsia="es-MX"/>
      </w:rPr>
      <mc:AlternateContent>
        <mc:Choice Requires="wps">
          <w:drawing>
            <wp:anchor distT="0" distB="0" distL="114300" distR="114300" simplePos="0" relativeHeight="251664384" behindDoc="0" locked="0" layoutInCell="1" allowOverlap="1" wp14:anchorId="6FDC4AF9" wp14:editId="71351968">
              <wp:simplePos x="0" y="0"/>
              <wp:positionH relativeFrom="margin">
                <wp:posOffset>1237615</wp:posOffset>
              </wp:positionH>
              <wp:positionV relativeFrom="paragraph">
                <wp:posOffset>86995</wp:posOffset>
              </wp:positionV>
              <wp:extent cx="4319905" cy="276225"/>
              <wp:effectExtent l="0" t="0" r="23495" b="28575"/>
              <wp:wrapNone/>
              <wp:docPr id="25" name="Rectángulo 25"/>
              <wp:cNvGraphicFramePr/>
              <a:graphic xmlns:a="http://schemas.openxmlformats.org/drawingml/2006/main">
                <a:graphicData uri="http://schemas.microsoft.com/office/word/2010/wordprocessingShape">
                  <wps:wsp>
                    <wps:cNvSpPr/>
                    <wps:spPr>
                      <a:xfrm>
                        <a:off x="0" y="0"/>
                        <a:ext cx="4319905" cy="276225"/>
                      </a:xfrm>
                      <a:prstGeom prst="rect">
                        <a:avLst/>
                      </a:prstGeom>
                      <a:solidFill>
                        <a:schemeClr val="bg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5F959" w14:textId="77777777" w:rsidR="00D33739" w:rsidRPr="00A459DF" w:rsidRDefault="00D33739" w:rsidP="009D1AEF">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3F6BC29E" w14:textId="77777777" w:rsidR="00D33739" w:rsidRPr="00B740EB" w:rsidRDefault="00D33739" w:rsidP="009D1AEF">
                          <w:pPr>
                            <w:jc w:val="right"/>
                            <w:rPr>
                              <w:rFonts w:ascii="Arial" w:hAnsi="Arial" w:cs="Arial"/>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C4AF9" id="Rectángulo 25" o:spid="_x0000_s1073" style="position:absolute;margin-left:97.45pt;margin-top:6.85pt;width:340.15pt;height:2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" fillcolor="#e7e6e6 [3214]" strokecolor="#f2f2f2 [3052]" strokeweight="1pt">
              <v:textbox>
                <w:txbxContent>
                  <w:p w14:paraId="68F5F959" w14:textId="77777777" w:rsidR="00D33739" w:rsidRPr="00A459DF" w:rsidRDefault="00D33739" w:rsidP="009D1AEF">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3F6BC29E" w14:textId="77777777" w:rsidR="00D33739" w:rsidRPr="00B740EB" w:rsidRDefault="00D33739" w:rsidP="009D1AEF">
                    <w:pPr>
                      <w:jc w:val="right"/>
                      <w:rPr>
                        <w:rFonts w:ascii="Arial" w:hAnsi="Arial" w:cs="Arial"/>
                        <w14:textOutline w14:w="9525" w14:cap="rnd" w14:cmpd="sng" w14:algn="ctr">
                          <w14:solidFill>
                            <w14:srgbClr w14:val="000000"/>
                          </w14:solidFill>
                          <w14:prstDash w14:val="solid"/>
                          <w14:bevel/>
                        </w14:textOutline>
                      </w:rPr>
                    </w:pPr>
                  </w:p>
                </w:txbxContent>
              </v:textbox>
              <w10:wrap anchorx="margin"/>
            </v:rect>
          </w:pict>
        </mc:Fallback>
      </mc:AlternateContent>
    </w:r>
    <w:r>
      <w:rPr>
        <w:noProof/>
        <w:lang w:eastAsia="es-MX"/>
      </w:rPr>
      <mc:AlternateContent>
        <mc:Choice Requires="wpg">
          <w:drawing>
            <wp:anchor distT="0" distB="0" distL="114300" distR="114300" simplePos="0" relativeHeight="251665408" behindDoc="0" locked="0" layoutInCell="1" allowOverlap="1" wp14:anchorId="1D1C9ACD" wp14:editId="6D6B733A">
              <wp:simplePos x="0" y="0"/>
              <wp:positionH relativeFrom="margin">
                <wp:posOffset>0</wp:posOffset>
              </wp:positionH>
              <wp:positionV relativeFrom="page">
                <wp:posOffset>360680</wp:posOffset>
              </wp:positionV>
              <wp:extent cx="3263900" cy="304800"/>
              <wp:effectExtent l="0" t="0" r="31750" b="0"/>
              <wp:wrapNone/>
              <wp:docPr id="10" name="Grupo 10"/>
              <wp:cNvGraphicFramePr/>
              <a:graphic xmlns:a="http://schemas.openxmlformats.org/drawingml/2006/main">
                <a:graphicData uri="http://schemas.microsoft.com/office/word/2010/wordprocessingGroup">
                  <wpg:wgp>
                    <wpg:cNvGrpSpPr/>
                    <wpg:grpSpPr>
                      <a:xfrm>
                        <a:off x="0" y="0"/>
                        <a:ext cx="3263900" cy="304800"/>
                        <a:chOff x="0" y="-10161"/>
                        <a:chExt cx="1542415" cy="304800"/>
                      </a:xfrm>
                    </wpg:grpSpPr>
                    <wpg:grpSp>
                      <wpg:cNvPr id="19" name="Grupo 19"/>
                      <wpg:cNvGrpSpPr/>
                      <wpg:grpSpPr>
                        <a:xfrm>
                          <a:off x="0" y="0"/>
                          <a:ext cx="1542415" cy="252000"/>
                          <a:chOff x="0" y="0"/>
                          <a:chExt cx="1542415" cy="252000"/>
                        </a:xfrm>
                      </wpg:grpSpPr>
                      <wps:wsp>
                        <wps:cNvPr id="20" name="Paralelogramo 20"/>
                        <wps:cNvSpPr/>
                        <wps:spPr>
                          <a:xfrm>
                            <a:off x="30480" y="0"/>
                            <a:ext cx="1511935" cy="251460"/>
                          </a:xfrm>
                          <a:prstGeom prst="parallelogram">
                            <a:avLst>
                              <a:gd name="adj" fmla="val 49732"/>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6EE6E" w14:textId="77777777" w:rsidR="00D33739" w:rsidRPr="00B87EFD" w:rsidRDefault="00D33739" w:rsidP="009D1AEF">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ectángulo 23"/>
                        <wps:cNvSpPr/>
                        <wps:spPr>
                          <a:xfrm>
                            <a:off x="0" y="0"/>
                            <a:ext cx="304800" cy="252000"/>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Cuadro de texto 24"/>
                      <wps:cNvSpPr txBox="1"/>
                      <wps:spPr>
                        <a:xfrm>
                          <a:off x="7620" y="-10161"/>
                          <a:ext cx="1391855" cy="304800"/>
                        </a:xfrm>
                        <a:prstGeom prst="rect">
                          <a:avLst/>
                        </a:prstGeom>
                        <a:noFill/>
                        <a:ln w="6350">
                          <a:noFill/>
                        </a:ln>
                      </wps:spPr>
                      <wps:txbx>
                        <w:txbxContent>
                          <w:p w14:paraId="2330A24B" w14:textId="77777777" w:rsidR="00D33739" w:rsidRPr="00A459DF" w:rsidRDefault="00D33739" w:rsidP="009D1AE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C9ACD" id="Grupo 10" o:spid="_x0000_s1074" style="position:absolute;margin-left:0;margin-top:28.4pt;width:257pt;height:24pt;z-index:251665408;mso-position-horizontal-relative:margin;mso-position-vertical-relative:page;mso-width-relative:margin;mso-height-relative:margin" coordorigin=",-101" coordsize="1542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">
              <v:group id="Grupo 19" o:spid="_x0000_s1075" style="position:absolute;width:15424;height:2520" coordsize="1542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20" o:spid="_x0000_s1076" type="#_x0000_t7" style="position:absolute;left:304;width:15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" adj="1787" fillcolor="maroon" strokecolor="maroon" strokeweight="1pt">
                  <v:textbox>
                    <w:txbxContent>
                      <w:p w14:paraId="2E06EE6E" w14:textId="77777777" w:rsidR="00D33739" w:rsidRPr="00B87EFD" w:rsidRDefault="00D33739" w:rsidP="009D1AEF">
                        <w:pPr>
                          <w:jc w:val="center"/>
                          <w:rPr>
                            <w:rFonts w:ascii="Arial" w:hAnsi="Arial" w:cs="Arial"/>
                            <w:b/>
                          </w:rPr>
                        </w:pPr>
                      </w:p>
                    </w:txbxContent>
                  </v:textbox>
                </v:shape>
                <v:rect id="Rectángulo 23" o:spid="_x0000_s1077" style="position:absolute;width:304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" fillcolor="maroon" strokecolor="maroon" strokeweight="1pt"/>
              </v:group>
              <v:shapetype id="_x0000_t202" coordsize="21600,21600" o:spt="202" path="m,l,21600r21600,l21600,xe">
                <v:stroke joinstyle="miter"/>
                <v:path gradientshapeok="t" o:connecttype="rect"/>
              </v:shapetype>
              <v:shape id="Cuadro de texto 24" o:spid="_x0000_s1078" type="#_x0000_t202" style="position:absolute;left:76;top:-101;width:1391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330A24B" w14:textId="77777777" w:rsidR="00D33739" w:rsidRPr="00A459DF" w:rsidRDefault="00D33739" w:rsidP="009D1AE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v:textbox>
              </v:shape>
              <w10:wrap anchorx="margin" anchory="page"/>
            </v:group>
          </w:pict>
        </mc:Fallback>
      </mc:AlternateContent>
    </w:r>
  </w:p>
  <w:p w14:paraId="0D4EDC4A" w14:textId="77777777" w:rsidR="00D33739" w:rsidRDefault="00D33739">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75DE1" w14:textId="77777777" w:rsidR="00D33739" w:rsidRDefault="00D33739" w:rsidP="009D1AEF">
    <w:pPr>
      <w:pStyle w:val="Encabezado"/>
    </w:pPr>
  </w:p>
  <w:p w14:paraId="34C95928" w14:textId="77777777" w:rsidR="00D33739" w:rsidRDefault="00D33739">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8D184" w14:textId="77777777" w:rsidR="00D33739" w:rsidRDefault="00D33739" w:rsidP="009D1AEF">
    <w:pPr>
      <w:pStyle w:val="Encabezado"/>
    </w:pPr>
    <w:r>
      <w:rPr>
        <w:noProof/>
        <w:lang w:eastAsia="es-MX"/>
      </w:rPr>
      <mc:AlternateContent>
        <mc:Choice Requires="wps">
          <w:drawing>
            <wp:anchor distT="0" distB="0" distL="114300" distR="114300" simplePos="0" relativeHeight="251696128" behindDoc="0" locked="0" layoutInCell="1" allowOverlap="1" wp14:anchorId="56A3A2AC" wp14:editId="5EA487A9">
              <wp:simplePos x="0" y="0"/>
              <wp:positionH relativeFrom="margin">
                <wp:posOffset>1237615</wp:posOffset>
              </wp:positionH>
              <wp:positionV relativeFrom="paragraph">
                <wp:posOffset>86995</wp:posOffset>
              </wp:positionV>
              <wp:extent cx="4319905" cy="276225"/>
              <wp:effectExtent l="0" t="0" r="23495" b="28575"/>
              <wp:wrapNone/>
              <wp:docPr id="196" name="Rectángulo 196"/>
              <wp:cNvGraphicFramePr/>
              <a:graphic xmlns:a="http://schemas.openxmlformats.org/drawingml/2006/main">
                <a:graphicData uri="http://schemas.microsoft.com/office/word/2010/wordprocessingShape">
                  <wps:wsp>
                    <wps:cNvSpPr/>
                    <wps:spPr>
                      <a:xfrm>
                        <a:off x="0" y="0"/>
                        <a:ext cx="4319905" cy="276225"/>
                      </a:xfrm>
                      <a:prstGeom prst="rect">
                        <a:avLst/>
                      </a:prstGeom>
                      <a:solidFill>
                        <a:schemeClr val="bg2"/>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A9407" w14:textId="77777777" w:rsidR="00D33739" w:rsidRPr="00A459DF" w:rsidRDefault="00D33739" w:rsidP="009D1AEF">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62CDCB6C" w14:textId="77777777" w:rsidR="00D33739" w:rsidRPr="00B740EB" w:rsidRDefault="00D33739" w:rsidP="009D1AEF">
                          <w:pPr>
                            <w:jc w:val="right"/>
                            <w:rPr>
                              <w:rFonts w:ascii="Arial" w:hAnsi="Arial" w:cs="Arial"/>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3A2AC" id="Rectángulo 196" o:spid="_x0000_s1082" style="position:absolute;margin-left:97.45pt;margin-top:6.85pt;width:340.15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" fillcolor="#e7e6e6 [3214]" strokecolor="#f2f2f2 [3052]" strokeweight="1pt">
              <v:textbox>
                <w:txbxContent>
                  <w:p w14:paraId="7ABA9407" w14:textId="77777777" w:rsidR="00D33739" w:rsidRPr="00A459DF" w:rsidRDefault="00D33739" w:rsidP="009D1AEF">
                    <w:pPr>
                      <w:jc w:val="right"/>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pPr>
                    <w:r>
                      <w:rPr>
                        <w:rFonts w:ascii="Arial" w:hAnsi="Arial" w:cs="Arial"/>
                        <w:color w:val="0D0D0D" w:themeColor="text1" w:themeTint="F2"/>
                        <w:sz w:val="24"/>
                        <w:szCs w:val="24"/>
                        <w14:textOutline w14:w="9525" w14:cap="rnd" w14:cmpd="sng" w14:algn="ctr">
                          <w14:solidFill>
                            <w14:schemeClr w14:val="tx1">
                              <w14:lumMod w14:val="95000"/>
                              <w14:lumOff w14:val="5000"/>
                            </w14:schemeClr>
                          </w14:solidFill>
                          <w14:prstDash w14:val="solid"/>
                          <w14:bevel/>
                        </w14:textOutline>
                      </w:rPr>
                      <w:t>Cuenta Pública 2022</w:t>
                    </w:r>
                  </w:p>
                  <w:p w14:paraId="62CDCB6C" w14:textId="77777777" w:rsidR="00D33739" w:rsidRPr="00B740EB" w:rsidRDefault="00D33739" w:rsidP="009D1AEF">
                    <w:pPr>
                      <w:jc w:val="right"/>
                      <w:rPr>
                        <w:rFonts w:ascii="Arial" w:hAnsi="Arial" w:cs="Arial"/>
                        <w14:textOutline w14:w="9525" w14:cap="rnd" w14:cmpd="sng" w14:algn="ctr">
                          <w14:solidFill>
                            <w14:srgbClr w14:val="000000"/>
                          </w14:solidFill>
                          <w14:prstDash w14:val="solid"/>
                          <w14:bevel/>
                        </w14:textOutline>
                      </w:rPr>
                    </w:pPr>
                  </w:p>
                </w:txbxContent>
              </v:textbox>
              <w10:wrap anchorx="margin"/>
            </v:rect>
          </w:pict>
        </mc:Fallback>
      </mc:AlternateContent>
    </w:r>
    <w:r>
      <w:rPr>
        <w:noProof/>
        <w:lang w:eastAsia="es-MX"/>
      </w:rPr>
      <mc:AlternateContent>
        <mc:Choice Requires="wpg">
          <w:drawing>
            <wp:anchor distT="0" distB="0" distL="114300" distR="114300" simplePos="0" relativeHeight="251697152" behindDoc="0" locked="0" layoutInCell="1" allowOverlap="1" wp14:anchorId="68F53CCD" wp14:editId="232A7F95">
              <wp:simplePos x="0" y="0"/>
              <wp:positionH relativeFrom="margin">
                <wp:posOffset>0</wp:posOffset>
              </wp:positionH>
              <wp:positionV relativeFrom="page">
                <wp:posOffset>360680</wp:posOffset>
              </wp:positionV>
              <wp:extent cx="3263900" cy="304800"/>
              <wp:effectExtent l="0" t="0" r="31750" b="0"/>
              <wp:wrapNone/>
              <wp:docPr id="197" name="Grupo 197"/>
              <wp:cNvGraphicFramePr/>
              <a:graphic xmlns:a="http://schemas.openxmlformats.org/drawingml/2006/main">
                <a:graphicData uri="http://schemas.microsoft.com/office/word/2010/wordprocessingGroup">
                  <wpg:wgp>
                    <wpg:cNvGrpSpPr/>
                    <wpg:grpSpPr>
                      <a:xfrm>
                        <a:off x="0" y="0"/>
                        <a:ext cx="3263900" cy="304800"/>
                        <a:chOff x="0" y="-10161"/>
                        <a:chExt cx="1542415" cy="304800"/>
                      </a:xfrm>
                    </wpg:grpSpPr>
                    <wpg:grpSp>
                      <wpg:cNvPr id="198" name="Grupo 198"/>
                      <wpg:cNvGrpSpPr/>
                      <wpg:grpSpPr>
                        <a:xfrm>
                          <a:off x="0" y="0"/>
                          <a:ext cx="1542415" cy="252000"/>
                          <a:chOff x="0" y="0"/>
                          <a:chExt cx="1542415" cy="252000"/>
                        </a:xfrm>
                      </wpg:grpSpPr>
                      <wps:wsp>
                        <wps:cNvPr id="199" name="Paralelogramo 199"/>
                        <wps:cNvSpPr/>
                        <wps:spPr>
                          <a:xfrm>
                            <a:off x="30480" y="0"/>
                            <a:ext cx="1511935" cy="251460"/>
                          </a:xfrm>
                          <a:prstGeom prst="parallelogram">
                            <a:avLst>
                              <a:gd name="adj" fmla="val 49732"/>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CD86F" w14:textId="77777777" w:rsidR="00D33739" w:rsidRPr="00B87EFD" w:rsidRDefault="00D33739" w:rsidP="009D1AEF">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ctángulo 200"/>
                        <wps:cNvSpPr/>
                        <wps:spPr>
                          <a:xfrm>
                            <a:off x="0" y="0"/>
                            <a:ext cx="304800" cy="252000"/>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 name="Cuadro de texto 201"/>
                      <wps:cNvSpPr txBox="1"/>
                      <wps:spPr>
                        <a:xfrm>
                          <a:off x="7620" y="-10161"/>
                          <a:ext cx="1391855" cy="304800"/>
                        </a:xfrm>
                        <a:prstGeom prst="rect">
                          <a:avLst/>
                        </a:prstGeom>
                        <a:noFill/>
                        <a:ln w="6350">
                          <a:noFill/>
                        </a:ln>
                      </wps:spPr>
                      <wps:txbx>
                        <w:txbxContent>
                          <w:p w14:paraId="4084179A" w14:textId="77777777" w:rsidR="00D33739" w:rsidRPr="00A459DF" w:rsidRDefault="00D33739" w:rsidP="009D1AE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F53CCD" id="Grupo 197" o:spid="_x0000_s1083" style="position:absolute;margin-left:0;margin-top:28.4pt;width:257pt;height:24pt;z-index:251697152;mso-position-horizontal-relative:margin;mso-position-vertical-relative:page;mso-width-relative:margin;mso-height-relative:margin" coordorigin=",-101" coordsize="1542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">
              <v:group id="Grupo 198" o:spid="_x0000_s1084" style="position:absolute;width:15424;height:2520" coordsize="15424,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99" o:spid="_x0000_s1085" type="#_x0000_t7" style="position:absolute;left:304;width:15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" adj="1787" fillcolor="maroon" strokecolor="maroon" strokeweight="1pt">
                  <v:textbox>
                    <w:txbxContent>
                      <w:p w14:paraId="221CD86F" w14:textId="77777777" w:rsidR="00D33739" w:rsidRPr="00B87EFD" w:rsidRDefault="00D33739" w:rsidP="009D1AEF">
                        <w:pPr>
                          <w:jc w:val="center"/>
                          <w:rPr>
                            <w:rFonts w:ascii="Arial" w:hAnsi="Arial" w:cs="Arial"/>
                            <w:b/>
                          </w:rPr>
                        </w:pPr>
                      </w:p>
                    </w:txbxContent>
                  </v:textbox>
                </v:shape>
                <v:rect id="Rectángulo 200" o:spid="_x0000_s1086" style="position:absolute;width:304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" fillcolor="maroon" strokecolor="maroon" strokeweight="1pt"/>
              </v:group>
              <v:shapetype id="_x0000_t202" coordsize="21600,21600" o:spt="202" path="m,l,21600r21600,l21600,xe">
                <v:stroke joinstyle="miter"/>
                <v:path gradientshapeok="t" o:connecttype="rect"/>
              </v:shapetype>
              <v:shape id="Cuadro de texto 201" o:spid="_x0000_s1087" type="#_x0000_t202" style="position:absolute;left:76;top:-101;width:1391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4084179A" w14:textId="77777777" w:rsidR="00D33739" w:rsidRPr="00A459DF" w:rsidRDefault="00D33739" w:rsidP="009D1AEF">
                      <w:pPr>
                        <w:rPr>
                          <w:rFonts w:ascii="Arial" w:hAnsi="Arial" w:cs="Arial"/>
                          <w:b/>
                          <w:color w:val="FFFFFF" w:themeColor="background1"/>
                          <w:sz w:val="24"/>
                          <w:szCs w:val="24"/>
                          <w14:textOutline w14:w="9525" w14:cap="rnd" w14:cmpd="sng" w14:algn="ctr">
                            <w14:solidFill>
                              <w14:schemeClr w14:val="bg1"/>
                            </w14:solidFill>
                            <w14:prstDash w14:val="solid"/>
                            <w14:bevel/>
                          </w14:textOutline>
                        </w:rPr>
                      </w:pPr>
                      <w:r w:rsidRPr="00A459DF">
                        <w:rPr>
                          <w:rFonts w:ascii="Arial" w:hAnsi="Arial" w:cs="Arial"/>
                          <w:color w:val="FFFFFF" w:themeColor="background1"/>
                          <w:sz w:val="24"/>
                          <w:szCs w:val="24"/>
                          <w14:textOutline w14:w="9525" w14:cap="rnd" w14:cmpd="sng" w14:algn="ctr">
                            <w14:solidFill>
                              <w14:schemeClr w14:val="bg1"/>
                            </w14:solidFill>
                            <w14:prstDash w14:val="solid"/>
                            <w14:bevel/>
                          </w14:textOutline>
                        </w:rPr>
                        <w:t>Informe General Ejecutivo</w:t>
                      </w:r>
                    </w:p>
                  </w:txbxContent>
                </v:textbox>
              </v:shape>
              <w10:wrap anchorx="margin" anchory="page"/>
            </v:group>
          </w:pict>
        </mc:Fallback>
      </mc:AlternateContent>
    </w:r>
  </w:p>
  <w:p w14:paraId="5F4A88CC" w14:textId="77777777" w:rsidR="00D33739" w:rsidRDefault="00D33739">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41E9" w14:textId="77777777" w:rsidR="00D33739" w:rsidRDefault="00D33739" w:rsidP="009D1AEF">
    <w:pPr>
      <w:pStyle w:val="Encabezado"/>
    </w:pPr>
  </w:p>
  <w:p w14:paraId="4F44526C" w14:textId="77777777" w:rsidR="00D33739" w:rsidRDefault="00D337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B38"/>
    <w:multiLevelType w:val="hybridMultilevel"/>
    <w:tmpl w:val="062E5C40"/>
    <w:lvl w:ilvl="0" w:tplc="69F0BB44">
      <w:start w:val="1"/>
      <w:numFmt w:val="upperLetter"/>
      <w:lvlText w:val="%1."/>
      <w:lvlJc w:val="left"/>
      <w:pPr>
        <w:ind w:left="720" w:hanging="360"/>
      </w:pPr>
      <w:rPr>
        <w:rFonts w:eastAsia="Arial"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37614"/>
    <w:multiLevelType w:val="hybridMultilevel"/>
    <w:tmpl w:val="10B8B6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353AF"/>
    <w:multiLevelType w:val="multilevel"/>
    <w:tmpl w:val="4EDE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62FEE"/>
    <w:multiLevelType w:val="hybridMultilevel"/>
    <w:tmpl w:val="A31867F8"/>
    <w:lvl w:ilvl="0" w:tplc="0428B450">
      <w:start w:val="1"/>
      <w:numFmt w:val="upperRoman"/>
      <w:lvlText w:val="%1."/>
      <w:lvlJc w:val="left"/>
      <w:pPr>
        <w:ind w:left="720" w:hanging="360"/>
      </w:pPr>
      <w:rPr>
        <w:rFonts w:ascii="Arial" w:eastAsia="Arial" w:hAnsi="Arial" w:cs="Arial" w:hint="default"/>
        <w:b/>
        <w:bCs/>
        <w:i w:val="0"/>
        <w:spacing w:val="0"/>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847B56"/>
    <w:multiLevelType w:val="hybridMultilevel"/>
    <w:tmpl w:val="20A24EBC"/>
    <w:lvl w:ilvl="0" w:tplc="080A000D">
      <w:start w:val="1"/>
      <w:numFmt w:val="bullet"/>
      <w:lvlText w:val=""/>
      <w:lvlJc w:val="left"/>
      <w:pPr>
        <w:ind w:left="795" w:hanging="360"/>
      </w:pPr>
      <w:rPr>
        <w:rFonts w:ascii="Wingdings" w:hAnsi="Wingdings"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5" w15:restartNumberingAfterBreak="0">
    <w:nsid w:val="118C5917"/>
    <w:multiLevelType w:val="hybridMultilevel"/>
    <w:tmpl w:val="1778C0A0"/>
    <w:lvl w:ilvl="0" w:tplc="75EC390E">
      <w:start w:val="2"/>
      <w:numFmt w:val="upp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2FF6C1E"/>
    <w:multiLevelType w:val="hybridMultilevel"/>
    <w:tmpl w:val="3708B67A"/>
    <w:lvl w:ilvl="0" w:tplc="080A0015">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CB75B5"/>
    <w:multiLevelType w:val="hybridMultilevel"/>
    <w:tmpl w:val="CD524030"/>
    <w:lvl w:ilvl="0" w:tplc="080A000B">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8" w15:restartNumberingAfterBreak="0">
    <w:nsid w:val="30BA0122"/>
    <w:multiLevelType w:val="hybridMultilevel"/>
    <w:tmpl w:val="32E01B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6C2663"/>
    <w:multiLevelType w:val="hybridMultilevel"/>
    <w:tmpl w:val="D47E92EC"/>
    <w:lvl w:ilvl="0" w:tplc="080A0001">
      <w:start w:val="1"/>
      <w:numFmt w:val="bullet"/>
      <w:lvlText w:val=""/>
      <w:lvlJc w:val="left"/>
      <w:pPr>
        <w:ind w:left="1344" w:hanging="360"/>
      </w:pPr>
      <w:rPr>
        <w:rFonts w:ascii="Symbol" w:hAnsi="Symbol" w:hint="default"/>
      </w:rPr>
    </w:lvl>
    <w:lvl w:ilvl="1" w:tplc="080A0003" w:tentative="1">
      <w:start w:val="1"/>
      <w:numFmt w:val="bullet"/>
      <w:lvlText w:val="o"/>
      <w:lvlJc w:val="left"/>
      <w:pPr>
        <w:ind w:left="2064" w:hanging="360"/>
      </w:pPr>
      <w:rPr>
        <w:rFonts w:ascii="Courier New" w:hAnsi="Courier New" w:cs="Courier New" w:hint="default"/>
      </w:rPr>
    </w:lvl>
    <w:lvl w:ilvl="2" w:tplc="080A0005" w:tentative="1">
      <w:start w:val="1"/>
      <w:numFmt w:val="bullet"/>
      <w:lvlText w:val=""/>
      <w:lvlJc w:val="left"/>
      <w:pPr>
        <w:ind w:left="2784" w:hanging="360"/>
      </w:pPr>
      <w:rPr>
        <w:rFonts w:ascii="Wingdings" w:hAnsi="Wingdings" w:hint="default"/>
      </w:rPr>
    </w:lvl>
    <w:lvl w:ilvl="3" w:tplc="080A0001" w:tentative="1">
      <w:start w:val="1"/>
      <w:numFmt w:val="bullet"/>
      <w:lvlText w:val=""/>
      <w:lvlJc w:val="left"/>
      <w:pPr>
        <w:ind w:left="3504" w:hanging="360"/>
      </w:pPr>
      <w:rPr>
        <w:rFonts w:ascii="Symbol" w:hAnsi="Symbol" w:hint="default"/>
      </w:rPr>
    </w:lvl>
    <w:lvl w:ilvl="4" w:tplc="080A0003" w:tentative="1">
      <w:start w:val="1"/>
      <w:numFmt w:val="bullet"/>
      <w:lvlText w:val="o"/>
      <w:lvlJc w:val="left"/>
      <w:pPr>
        <w:ind w:left="4224" w:hanging="360"/>
      </w:pPr>
      <w:rPr>
        <w:rFonts w:ascii="Courier New" w:hAnsi="Courier New" w:cs="Courier New" w:hint="default"/>
      </w:rPr>
    </w:lvl>
    <w:lvl w:ilvl="5" w:tplc="080A0005" w:tentative="1">
      <w:start w:val="1"/>
      <w:numFmt w:val="bullet"/>
      <w:lvlText w:val=""/>
      <w:lvlJc w:val="left"/>
      <w:pPr>
        <w:ind w:left="4944" w:hanging="360"/>
      </w:pPr>
      <w:rPr>
        <w:rFonts w:ascii="Wingdings" w:hAnsi="Wingdings" w:hint="default"/>
      </w:rPr>
    </w:lvl>
    <w:lvl w:ilvl="6" w:tplc="080A0001" w:tentative="1">
      <w:start w:val="1"/>
      <w:numFmt w:val="bullet"/>
      <w:lvlText w:val=""/>
      <w:lvlJc w:val="left"/>
      <w:pPr>
        <w:ind w:left="5664" w:hanging="360"/>
      </w:pPr>
      <w:rPr>
        <w:rFonts w:ascii="Symbol" w:hAnsi="Symbol" w:hint="default"/>
      </w:rPr>
    </w:lvl>
    <w:lvl w:ilvl="7" w:tplc="080A0003" w:tentative="1">
      <w:start w:val="1"/>
      <w:numFmt w:val="bullet"/>
      <w:lvlText w:val="o"/>
      <w:lvlJc w:val="left"/>
      <w:pPr>
        <w:ind w:left="6384" w:hanging="360"/>
      </w:pPr>
      <w:rPr>
        <w:rFonts w:ascii="Courier New" w:hAnsi="Courier New" w:cs="Courier New" w:hint="default"/>
      </w:rPr>
    </w:lvl>
    <w:lvl w:ilvl="8" w:tplc="080A0005" w:tentative="1">
      <w:start w:val="1"/>
      <w:numFmt w:val="bullet"/>
      <w:lvlText w:val=""/>
      <w:lvlJc w:val="left"/>
      <w:pPr>
        <w:ind w:left="7104" w:hanging="360"/>
      </w:pPr>
      <w:rPr>
        <w:rFonts w:ascii="Wingdings" w:hAnsi="Wingdings" w:hint="default"/>
      </w:rPr>
    </w:lvl>
  </w:abstractNum>
  <w:abstractNum w:abstractNumId="10" w15:restartNumberingAfterBreak="0">
    <w:nsid w:val="343643FA"/>
    <w:multiLevelType w:val="hybridMultilevel"/>
    <w:tmpl w:val="304AD354"/>
    <w:lvl w:ilvl="0" w:tplc="080A000F">
      <w:start w:val="1"/>
      <w:numFmt w:val="decimal"/>
      <w:lvlText w:val="%1."/>
      <w:lvlJc w:val="left"/>
      <w:pPr>
        <w:ind w:left="1647" w:hanging="360"/>
      </w:pPr>
      <w:rPr>
        <w:rFonts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11" w15:restartNumberingAfterBreak="0">
    <w:nsid w:val="35C45708"/>
    <w:multiLevelType w:val="hybridMultilevel"/>
    <w:tmpl w:val="BE8CA098"/>
    <w:lvl w:ilvl="0" w:tplc="F9DE45B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BB00602"/>
    <w:multiLevelType w:val="hybridMultilevel"/>
    <w:tmpl w:val="424844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193ECC"/>
    <w:multiLevelType w:val="hybridMultilevel"/>
    <w:tmpl w:val="3F46EE68"/>
    <w:lvl w:ilvl="0" w:tplc="B7F48B8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4BCA3EA5"/>
    <w:multiLevelType w:val="hybridMultilevel"/>
    <w:tmpl w:val="EEAA8B50"/>
    <w:lvl w:ilvl="0" w:tplc="080A000D">
      <w:start w:val="1"/>
      <w:numFmt w:val="bullet"/>
      <w:lvlText w:val=""/>
      <w:lvlJc w:val="left"/>
      <w:pPr>
        <w:ind w:left="1795" w:hanging="360"/>
      </w:pPr>
      <w:rPr>
        <w:rFonts w:ascii="Wingdings" w:hAnsi="Wingdings" w:hint="default"/>
      </w:rPr>
    </w:lvl>
    <w:lvl w:ilvl="1" w:tplc="080A0003" w:tentative="1">
      <w:start w:val="1"/>
      <w:numFmt w:val="bullet"/>
      <w:lvlText w:val="o"/>
      <w:lvlJc w:val="left"/>
      <w:pPr>
        <w:ind w:left="2515" w:hanging="360"/>
      </w:pPr>
      <w:rPr>
        <w:rFonts w:ascii="Courier New" w:hAnsi="Courier New" w:cs="Courier New" w:hint="default"/>
      </w:rPr>
    </w:lvl>
    <w:lvl w:ilvl="2" w:tplc="080A0005" w:tentative="1">
      <w:start w:val="1"/>
      <w:numFmt w:val="bullet"/>
      <w:lvlText w:val=""/>
      <w:lvlJc w:val="left"/>
      <w:pPr>
        <w:ind w:left="3235" w:hanging="360"/>
      </w:pPr>
      <w:rPr>
        <w:rFonts w:ascii="Wingdings" w:hAnsi="Wingdings" w:hint="default"/>
      </w:rPr>
    </w:lvl>
    <w:lvl w:ilvl="3" w:tplc="080A0001" w:tentative="1">
      <w:start w:val="1"/>
      <w:numFmt w:val="bullet"/>
      <w:lvlText w:val=""/>
      <w:lvlJc w:val="left"/>
      <w:pPr>
        <w:ind w:left="3955" w:hanging="360"/>
      </w:pPr>
      <w:rPr>
        <w:rFonts w:ascii="Symbol" w:hAnsi="Symbol" w:hint="default"/>
      </w:rPr>
    </w:lvl>
    <w:lvl w:ilvl="4" w:tplc="080A0003" w:tentative="1">
      <w:start w:val="1"/>
      <w:numFmt w:val="bullet"/>
      <w:lvlText w:val="o"/>
      <w:lvlJc w:val="left"/>
      <w:pPr>
        <w:ind w:left="4675" w:hanging="360"/>
      </w:pPr>
      <w:rPr>
        <w:rFonts w:ascii="Courier New" w:hAnsi="Courier New" w:cs="Courier New" w:hint="default"/>
      </w:rPr>
    </w:lvl>
    <w:lvl w:ilvl="5" w:tplc="080A0005" w:tentative="1">
      <w:start w:val="1"/>
      <w:numFmt w:val="bullet"/>
      <w:lvlText w:val=""/>
      <w:lvlJc w:val="left"/>
      <w:pPr>
        <w:ind w:left="5395" w:hanging="360"/>
      </w:pPr>
      <w:rPr>
        <w:rFonts w:ascii="Wingdings" w:hAnsi="Wingdings" w:hint="default"/>
      </w:rPr>
    </w:lvl>
    <w:lvl w:ilvl="6" w:tplc="080A0001" w:tentative="1">
      <w:start w:val="1"/>
      <w:numFmt w:val="bullet"/>
      <w:lvlText w:val=""/>
      <w:lvlJc w:val="left"/>
      <w:pPr>
        <w:ind w:left="6115" w:hanging="360"/>
      </w:pPr>
      <w:rPr>
        <w:rFonts w:ascii="Symbol" w:hAnsi="Symbol" w:hint="default"/>
      </w:rPr>
    </w:lvl>
    <w:lvl w:ilvl="7" w:tplc="080A0003" w:tentative="1">
      <w:start w:val="1"/>
      <w:numFmt w:val="bullet"/>
      <w:lvlText w:val="o"/>
      <w:lvlJc w:val="left"/>
      <w:pPr>
        <w:ind w:left="6835" w:hanging="360"/>
      </w:pPr>
      <w:rPr>
        <w:rFonts w:ascii="Courier New" w:hAnsi="Courier New" w:cs="Courier New" w:hint="default"/>
      </w:rPr>
    </w:lvl>
    <w:lvl w:ilvl="8" w:tplc="080A0005" w:tentative="1">
      <w:start w:val="1"/>
      <w:numFmt w:val="bullet"/>
      <w:lvlText w:val=""/>
      <w:lvlJc w:val="left"/>
      <w:pPr>
        <w:ind w:left="7555" w:hanging="360"/>
      </w:pPr>
      <w:rPr>
        <w:rFonts w:ascii="Wingdings" w:hAnsi="Wingdings" w:hint="default"/>
      </w:rPr>
    </w:lvl>
  </w:abstractNum>
  <w:abstractNum w:abstractNumId="15" w15:restartNumberingAfterBreak="0">
    <w:nsid w:val="4F720B2E"/>
    <w:multiLevelType w:val="hybridMultilevel"/>
    <w:tmpl w:val="2E84FC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7E17F3"/>
    <w:multiLevelType w:val="hybridMultilevel"/>
    <w:tmpl w:val="40FA1578"/>
    <w:lvl w:ilvl="0" w:tplc="0CA0C736">
      <w:start w:val="1"/>
      <w:numFmt w:val="upperLetter"/>
      <w:lvlText w:val="%1."/>
      <w:lvlJc w:val="left"/>
      <w:pPr>
        <w:ind w:left="1300" w:hanging="360"/>
      </w:pPr>
      <w:rPr>
        <w:rFonts w:eastAsia="Times New Roman" w:hint="default"/>
        <w:b w:val="0"/>
        <w:u w:val="none"/>
      </w:rPr>
    </w:lvl>
    <w:lvl w:ilvl="1" w:tplc="080A0019" w:tentative="1">
      <w:start w:val="1"/>
      <w:numFmt w:val="lowerLetter"/>
      <w:lvlText w:val="%2."/>
      <w:lvlJc w:val="left"/>
      <w:pPr>
        <w:ind w:left="2020" w:hanging="360"/>
      </w:pPr>
    </w:lvl>
    <w:lvl w:ilvl="2" w:tplc="080A001B" w:tentative="1">
      <w:start w:val="1"/>
      <w:numFmt w:val="lowerRoman"/>
      <w:lvlText w:val="%3."/>
      <w:lvlJc w:val="right"/>
      <w:pPr>
        <w:ind w:left="2740" w:hanging="180"/>
      </w:pPr>
    </w:lvl>
    <w:lvl w:ilvl="3" w:tplc="080A000F" w:tentative="1">
      <w:start w:val="1"/>
      <w:numFmt w:val="decimal"/>
      <w:lvlText w:val="%4."/>
      <w:lvlJc w:val="left"/>
      <w:pPr>
        <w:ind w:left="3460" w:hanging="360"/>
      </w:pPr>
    </w:lvl>
    <w:lvl w:ilvl="4" w:tplc="080A0019" w:tentative="1">
      <w:start w:val="1"/>
      <w:numFmt w:val="lowerLetter"/>
      <w:lvlText w:val="%5."/>
      <w:lvlJc w:val="left"/>
      <w:pPr>
        <w:ind w:left="4180" w:hanging="360"/>
      </w:pPr>
    </w:lvl>
    <w:lvl w:ilvl="5" w:tplc="080A001B" w:tentative="1">
      <w:start w:val="1"/>
      <w:numFmt w:val="lowerRoman"/>
      <w:lvlText w:val="%6."/>
      <w:lvlJc w:val="right"/>
      <w:pPr>
        <w:ind w:left="4900" w:hanging="180"/>
      </w:pPr>
    </w:lvl>
    <w:lvl w:ilvl="6" w:tplc="080A000F" w:tentative="1">
      <w:start w:val="1"/>
      <w:numFmt w:val="decimal"/>
      <w:lvlText w:val="%7."/>
      <w:lvlJc w:val="left"/>
      <w:pPr>
        <w:ind w:left="5620" w:hanging="360"/>
      </w:pPr>
    </w:lvl>
    <w:lvl w:ilvl="7" w:tplc="080A0019" w:tentative="1">
      <w:start w:val="1"/>
      <w:numFmt w:val="lowerLetter"/>
      <w:lvlText w:val="%8."/>
      <w:lvlJc w:val="left"/>
      <w:pPr>
        <w:ind w:left="6340" w:hanging="360"/>
      </w:pPr>
    </w:lvl>
    <w:lvl w:ilvl="8" w:tplc="080A001B" w:tentative="1">
      <w:start w:val="1"/>
      <w:numFmt w:val="lowerRoman"/>
      <w:lvlText w:val="%9."/>
      <w:lvlJc w:val="right"/>
      <w:pPr>
        <w:ind w:left="7060" w:hanging="180"/>
      </w:pPr>
    </w:lvl>
  </w:abstractNum>
  <w:abstractNum w:abstractNumId="17" w15:restartNumberingAfterBreak="0">
    <w:nsid w:val="5C4A41F1"/>
    <w:multiLevelType w:val="hybridMultilevel"/>
    <w:tmpl w:val="0056563C"/>
    <w:lvl w:ilvl="0" w:tplc="A42E2794">
      <w:start w:val="1"/>
      <w:numFmt w:val="upperRoman"/>
      <w:pStyle w:val="TDC2"/>
      <w:lvlText w:val="%1."/>
      <w:lvlJc w:val="left"/>
      <w:pPr>
        <w:ind w:left="940" w:hanging="720"/>
      </w:pPr>
      <w:rPr>
        <w:rFonts w:eastAsiaTheme="minorHAnsi" w:hint="default"/>
        <w:b w:val="0"/>
        <w:u w:val="none"/>
      </w:rPr>
    </w:lvl>
    <w:lvl w:ilvl="1" w:tplc="080A0019" w:tentative="1">
      <w:start w:val="1"/>
      <w:numFmt w:val="lowerLetter"/>
      <w:lvlText w:val="%2."/>
      <w:lvlJc w:val="left"/>
      <w:pPr>
        <w:ind w:left="1300" w:hanging="360"/>
      </w:pPr>
    </w:lvl>
    <w:lvl w:ilvl="2" w:tplc="080A001B" w:tentative="1">
      <w:start w:val="1"/>
      <w:numFmt w:val="lowerRoman"/>
      <w:lvlText w:val="%3."/>
      <w:lvlJc w:val="right"/>
      <w:pPr>
        <w:ind w:left="2020" w:hanging="180"/>
      </w:pPr>
    </w:lvl>
    <w:lvl w:ilvl="3" w:tplc="080A000F" w:tentative="1">
      <w:start w:val="1"/>
      <w:numFmt w:val="decimal"/>
      <w:lvlText w:val="%4."/>
      <w:lvlJc w:val="left"/>
      <w:pPr>
        <w:ind w:left="2740" w:hanging="360"/>
      </w:pPr>
    </w:lvl>
    <w:lvl w:ilvl="4" w:tplc="080A0019" w:tentative="1">
      <w:start w:val="1"/>
      <w:numFmt w:val="lowerLetter"/>
      <w:lvlText w:val="%5."/>
      <w:lvlJc w:val="left"/>
      <w:pPr>
        <w:ind w:left="3460" w:hanging="360"/>
      </w:pPr>
    </w:lvl>
    <w:lvl w:ilvl="5" w:tplc="080A001B" w:tentative="1">
      <w:start w:val="1"/>
      <w:numFmt w:val="lowerRoman"/>
      <w:lvlText w:val="%6."/>
      <w:lvlJc w:val="right"/>
      <w:pPr>
        <w:ind w:left="4180" w:hanging="180"/>
      </w:pPr>
    </w:lvl>
    <w:lvl w:ilvl="6" w:tplc="080A000F" w:tentative="1">
      <w:start w:val="1"/>
      <w:numFmt w:val="decimal"/>
      <w:lvlText w:val="%7."/>
      <w:lvlJc w:val="left"/>
      <w:pPr>
        <w:ind w:left="4900" w:hanging="360"/>
      </w:pPr>
    </w:lvl>
    <w:lvl w:ilvl="7" w:tplc="080A0019" w:tentative="1">
      <w:start w:val="1"/>
      <w:numFmt w:val="lowerLetter"/>
      <w:lvlText w:val="%8."/>
      <w:lvlJc w:val="left"/>
      <w:pPr>
        <w:ind w:left="5620" w:hanging="360"/>
      </w:pPr>
    </w:lvl>
    <w:lvl w:ilvl="8" w:tplc="080A001B" w:tentative="1">
      <w:start w:val="1"/>
      <w:numFmt w:val="lowerRoman"/>
      <w:lvlText w:val="%9."/>
      <w:lvlJc w:val="right"/>
      <w:pPr>
        <w:ind w:left="6340" w:hanging="180"/>
      </w:pPr>
    </w:lvl>
  </w:abstractNum>
  <w:abstractNum w:abstractNumId="18" w15:restartNumberingAfterBreak="0">
    <w:nsid w:val="5D721FFB"/>
    <w:multiLevelType w:val="hybridMultilevel"/>
    <w:tmpl w:val="A2D8B042"/>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D7E6E6F"/>
    <w:multiLevelType w:val="hybridMultilevel"/>
    <w:tmpl w:val="21E6D33A"/>
    <w:lvl w:ilvl="0" w:tplc="080A0015">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F9A51EA"/>
    <w:multiLevelType w:val="hybridMultilevel"/>
    <w:tmpl w:val="68F4D15C"/>
    <w:lvl w:ilvl="0" w:tplc="EAB837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036466E"/>
    <w:multiLevelType w:val="hybridMultilevel"/>
    <w:tmpl w:val="52D070C8"/>
    <w:lvl w:ilvl="0" w:tplc="4796DB6A">
      <w:start w:val="1"/>
      <w:numFmt w:val="bullet"/>
      <w:pStyle w:val="VIETAFLECHA"/>
      <w:lvlText w:val=""/>
      <w:lvlJc w:val="left"/>
      <w:pPr>
        <w:ind w:left="3791" w:hanging="360"/>
      </w:pPr>
      <w:rPr>
        <w:rFonts w:ascii="Wingdings" w:hAnsi="Wingdings" w:hint="default"/>
      </w:rPr>
    </w:lvl>
    <w:lvl w:ilvl="1" w:tplc="0C0A0003" w:tentative="1">
      <w:start w:val="1"/>
      <w:numFmt w:val="bullet"/>
      <w:lvlText w:val="o"/>
      <w:lvlJc w:val="left"/>
      <w:pPr>
        <w:ind w:left="4511" w:hanging="360"/>
      </w:pPr>
      <w:rPr>
        <w:rFonts w:ascii="Courier New" w:hAnsi="Courier New" w:cs="Courier New" w:hint="default"/>
      </w:rPr>
    </w:lvl>
    <w:lvl w:ilvl="2" w:tplc="0C0A0005" w:tentative="1">
      <w:start w:val="1"/>
      <w:numFmt w:val="bullet"/>
      <w:lvlText w:val=""/>
      <w:lvlJc w:val="left"/>
      <w:pPr>
        <w:ind w:left="5231" w:hanging="360"/>
      </w:pPr>
      <w:rPr>
        <w:rFonts w:ascii="Wingdings" w:hAnsi="Wingdings" w:hint="default"/>
      </w:rPr>
    </w:lvl>
    <w:lvl w:ilvl="3" w:tplc="0C0A0001" w:tentative="1">
      <w:start w:val="1"/>
      <w:numFmt w:val="bullet"/>
      <w:lvlText w:val=""/>
      <w:lvlJc w:val="left"/>
      <w:pPr>
        <w:ind w:left="5951" w:hanging="360"/>
      </w:pPr>
      <w:rPr>
        <w:rFonts w:ascii="Symbol" w:hAnsi="Symbol" w:hint="default"/>
      </w:rPr>
    </w:lvl>
    <w:lvl w:ilvl="4" w:tplc="0C0A0003" w:tentative="1">
      <w:start w:val="1"/>
      <w:numFmt w:val="bullet"/>
      <w:lvlText w:val="o"/>
      <w:lvlJc w:val="left"/>
      <w:pPr>
        <w:ind w:left="6671" w:hanging="360"/>
      </w:pPr>
      <w:rPr>
        <w:rFonts w:ascii="Courier New" w:hAnsi="Courier New" w:cs="Courier New" w:hint="default"/>
      </w:rPr>
    </w:lvl>
    <w:lvl w:ilvl="5" w:tplc="0C0A0005" w:tentative="1">
      <w:start w:val="1"/>
      <w:numFmt w:val="bullet"/>
      <w:lvlText w:val=""/>
      <w:lvlJc w:val="left"/>
      <w:pPr>
        <w:ind w:left="7391" w:hanging="360"/>
      </w:pPr>
      <w:rPr>
        <w:rFonts w:ascii="Wingdings" w:hAnsi="Wingdings" w:hint="default"/>
      </w:rPr>
    </w:lvl>
    <w:lvl w:ilvl="6" w:tplc="0C0A0001" w:tentative="1">
      <w:start w:val="1"/>
      <w:numFmt w:val="bullet"/>
      <w:lvlText w:val=""/>
      <w:lvlJc w:val="left"/>
      <w:pPr>
        <w:ind w:left="8111" w:hanging="360"/>
      </w:pPr>
      <w:rPr>
        <w:rFonts w:ascii="Symbol" w:hAnsi="Symbol" w:hint="default"/>
      </w:rPr>
    </w:lvl>
    <w:lvl w:ilvl="7" w:tplc="0C0A0003" w:tentative="1">
      <w:start w:val="1"/>
      <w:numFmt w:val="bullet"/>
      <w:lvlText w:val="o"/>
      <w:lvlJc w:val="left"/>
      <w:pPr>
        <w:ind w:left="8831" w:hanging="360"/>
      </w:pPr>
      <w:rPr>
        <w:rFonts w:ascii="Courier New" w:hAnsi="Courier New" w:cs="Courier New" w:hint="default"/>
      </w:rPr>
    </w:lvl>
    <w:lvl w:ilvl="8" w:tplc="0C0A0005" w:tentative="1">
      <w:start w:val="1"/>
      <w:numFmt w:val="bullet"/>
      <w:lvlText w:val=""/>
      <w:lvlJc w:val="left"/>
      <w:pPr>
        <w:ind w:left="9551" w:hanging="360"/>
      </w:pPr>
      <w:rPr>
        <w:rFonts w:ascii="Wingdings" w:hAnsi="Wingdings" w:hint="default"/>
      </w:rPr>
    </w:lvl>
  </w:abstractNum>
  <w:abstractNum w:abstractNumId="22" w15:restartNumberingAfterBreak="0">
    <w:nsid w:val="62E82CF2"/>
    <w:multiLevelType w:val="hybridMultilevel"/>
    <w:tmpl w:val="FCDE6B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253D02"/>
    <w:multiLevelType w:val="hybridMultilevel"/>
    <w:tmpl w:val="04FA6B8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526501"/>
    <w:multiLevelType w:val="hybridMultilevel"/>
    <w:tmpl w:val="89087844"/>
    <w:lvl w:ilvl="0" w:tplc="414EA29C">
      <w:start w:val="1"/>
      <w:numFmt w:val="upperLetter"/>
      <w:pStyle w:val="TDC3"/>
      <w:lvlText w:val="%1."/>
      <w:lvlJc w:val="left"/>
      <w:pPr>
        <w:ind w:left="1004" w:hanging="360"/>
      </w:pPr>
      <w:rPr>
        <w:rFonts w:ascii="Arial" w:eastAsiaTheme="minorHAnsi" w:hAnsi="Arial" w:cs="Arial" w:hint="default"/>
        <w:b w:val="0"/>
        <w:u w:val="none"/>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5" w15:restartNumberingAfterBreak="0">
    <w:nsid w:val="68572916"/>
    <w:multiLevelType w:val="hybridMultilevel"/>
    <w:tmpl w:val="E724D1E0"/>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6A7E2DF3"/>
    <w:multiLevelType w:val="hybridMultilevel"/>
    <w:tmpl w:val="CF3CE854"/>
    <w:lvl w:ilvl="0" w:tplc="822C4810">
      <w:start w:val="1"/>
      <w:numFmt w:val="upperLetter"/>
      <w:lvlText w:val="%1."/>
      <w:lvlJc w:val="left"/>
      <w:pPr>
        <w:ind w:left="1004" w:hanging="360"/>
      </w:pPr>
      <w:rPr>
        <w:rFonts w:ascii="Arial" w:eastAsiaTheme="minorHAnsi" w:hAnsi="Arial" w:cs="Arial" w:hint="default"/>
        <w:b w:val="0"/>
        <w:u w:val="none"/>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15:restartNumberingAfterBreak="0">
    <w:nsid w:val="6EC07BB1"/>
    <w:multiLevelType w:val="hybridMultilevel"/>
    <w:tmpl w:val="05AAB410"/>
    <w:lvl w:ilvl="0" w:tplc="080A0001">
      <w:start w:val="1"/>
      <w:numFmt w:val="bullet"/>
      <w:lvlText w:val=""/>
      <w:lvlJc w:val="left"/>
      <w:pPr>
        <w:ind w:left="2206" w:hanging="360"/>
      </w:pPr>
      <w:rPr>
        <w:rFonts w:ascii="Symbol" w:hAnsi="Symbol" w:hint="default"/>
      </w:rPr>
    </w:lvl>
    <w:lvl w:ilvl="1" w:tplc="080A0003" w:tentative="1">
      <w:start w:val="1"/>
      <w:numFmt w:val="bullet"/>
      <w:lvlText w:val="o"/>
      <w:lvlJc w:val="left"/>
      <w:pPr>
        <w:ind w:left="2926" w:hanging="360"/>
      </w:pPr>
      <w:rPr>
        <w:rFonts w:ascii="Courier New" w:hAnsi="Courier New" w:cs="Courier New" w:hint="default"/>
      </w:rPr>
    </w:lvl>
    <w:lvl w:ilvl="2" w:tplc="080A0005" w:tentative="1">
      <w:start w:val="1"/>
      <w:numFmt w:val="bullet"/>
      <w:lvlText w:val=""/>
      <w:lvlJc w:val="left"/>
      <w:pPr>
        <w:ind w:left="3646" w:hanging="360"/>
      </w:pPr>
      <w:rPr>
        <w:rFonts w:ascii="Wingdings" w:hAnsi="Wingdings" w:hint="default"/>
      </w:rPr>
    </w:lvl>
    <w:lvl w:ilvl="3" w:tplc="080A0001" w:tentative="1">
      <w:start w:val="1"/>
      <w:numFmt w:val="bullet"/>
      <w:lvlText w:val=""/>
      <w:lvlJc w:val="left"/>
      <w:pPr>
        <w:ind w:left="4366" w:hanging="360"/>
      </w:pPr>
      <w:rPr>
        <w:rFonts w:ascii="Symbol" w:hAnsi="Symbol" w:hint="default"/>
      </w:rPr>
    </w:lvl>
    <w:lvl w:ilvl="4" w:tplc="080A0003" w:tentative="1">
      <w:start w:val="1"/>
      <w:numFmt w:val="bullet"/>
      <w:lvlText w:val="o"/>
      <w:lvlJc w:val="left"/>
      <w:pPr>
        <w:ind w:left="5086" w:hanging="360"/>
      </w:pPr>
      <w:rPr>
        <w:rFonts w:ascii="Courier New" w:hAnsi="Courier New" w:cs="Courier New" w:hint="default"/>
      </w:rPr>
    </w:lvl>
    <w:lvl w:ilvl="5" w:tplc="080A0005" w:tentative="1">
      <w:start w:val="1"/>
      <w:numFmt w:val="bullet"/>
      <w:lvlText w:val=""/>
      <w:lvlJc w:val="left"/>
      <w:pPr>
        <w:ind w:left="5806" w:hanging="360"/>
      </w:pPr>
      <w:rPr>
        <w:rFonts w:ascii="Wingdings" w:hAnsi="Wingdings" w:hint="default"/>
      </w:rPr>
    </w:lvl>
    <w:lvl w:ilvl="6" w:tplc="080A0001" w:tentative="1">
      <w:start w:val="1"/>
      <w:numFmt w:val="bullet"/>
      <w:lvlText w:val=""/>
      <w:lvlJc w:val="left"/>
      <w:pPr>
        <w:ind w:left="6526" w:hanging="360"/>
      </w:pPr>
      <w:rPr>
        <w:rFonts w:ascii="Symbol" w:hAnsi="Symbol" w:hint="default"/>
      </w:rPr>
    </w:lvl>
    <w:lvl w:ilvl="7" w:tplc="080A0003" w:tentative="1">
      <w:start w:val="1"/>
      <w:numFmt w:val="bullet"/>
      <w:lvlText w:val="o"/>
      <w:lvlJc w:val="left"/>
      <w:pPr>
        <w:ind w:left="7246" w:hanging="360"/>
      </w:pPr>
      <w:rPr>
        <w:rFonts w:ascii="Courier New" w:hAnsi="Courier New" w:cs="Courier New" w:hint="default"/>
      </w:rPr>
    </w:lvl>
    <w:lvl w:ilvl="8" w:tplc="080A0005" w:tentative="1">
      <w:start w:val="1"/>
      <w:numFmt w:val="bullet"/>
      <w:lvlText w:val=""/>
      <w:lvlJc w:val="left"/>
      <w:pPr>
        <w:ind w:left="7966" w:hanging="360"/>
      </w:pPr>
      <w:rPr>
        <w:rFonts w:ascii="Wingdings" w:hAnsi="Wingdings" w:hint="default"/>
      </w:rPr>
    </w:lvl>
  </w:abstractNum>
  <w:abstractNum w:abstractNumId="28" w15:restartNumberingAfterBreak="0">
    <w:nsid w:val="735C605C"/>
    <w:multiLevelType w:val="hybridMultilevel"/>
    <w:tmpl w:val="E4CCFF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2322A4"/>
    <w:multiLevelType w:val="hybridMultilevel"/>
    <w:tmpl w:val="5F803E2E"/>
    <w:lvl w:ilvl="0" w:tplc="EE12ACDE">
      <w:start w:val="1"/>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AC2A68"/>
    <w:multiLevelType w:val="hybridMultilevel"/>
    <w:tmpl w:val="42CE5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861060"/>
    <w:multiLevelType w:val="hybridMultilevel"/>
    <w:tmpl w:val="92646E3C"/>
    <w:lvl w:ilvl="0" w:tplc="CF5EC1B0">
      <w:start w:val="1"/>
      <w:numFmt w:val="upperLetter"/>
      <w:lvlText w:val="%1."/>
      <w:lvlJc w:val="left"/>
      <w:pPr>
        <w:ind w:left="580" w:hanging="360"/>
      </w:pPr>
      <w:rPr>
        <w:rFonts w:eastAsiaTheme="minorHAnsi" w:hint="default"/>
        <w:b w:val="0"/>
        <w:u w:val="none"/>
      </w:rPr>
    </w:lvl>
    <w:lvl w:ilvl="1" w:tplc="080A0019" w:tentative="1">
      <w:start w:val="1"/>
      <w:numFmt w:val="lowerLetter"/>
      <w:lvlText w:val="%2."/>
      <w:lvlJc w:val="left"/>
      <w:pPr>
        <w:ind w:left="1300" w:hanging="360"/>
      </w:pPr>
    </w:lvl>
    <w:lvl w:ilvl="2" w:tplc="080A001B" w:tentative="1">
      <w:start w:val="1"/>
      <w:numFmt w:val="lowerRoman"/>
      <w:lvlText w:val="%3."/>
      <w:lvlJc w:val="right"/>
      <w:pPr>
        <w:ind w:left="2020" w:hanging="180"/>
      </w:pPr>
    </w:lvl>
    <w:lvl w:ilvl="3" w:tplc="080A000F" w:tentative="1">
      <w:start w:val="1"/>
      <w:numFmt w:val="decimal"/>
      <w:lvlText w:val="%4."/>
      <w:lvlJc w:val="left"/>
      <w:pPr>
        <w:ind w:left="2740" w:hanging="360"/>
      </w:pPr>
    </w:lvl>
    <w:lvl w:ilvl="4" w:tplc="080A0019" w:tentative="1">
      <w:start w:val="1"/>
      <w:numFmt w:val="lowerLetter"/>
      <w:lvlText w:val="%5."/>
      <w:lvlJc w:val="left"/>
      <w:pPr>
        <w:ind w:left="3460" w:hanging="360"/>
      </w:pPr>
    </w:lvl>
    <w:lvl w:ilvl="5" w:tplc="080A001B" w:tentative="1">
      <w:start w:val="1"/>
      <w:numFmt w:val="lowerRoman"/>
      <w:lvlText w:val="%6."/>
      <w:lvlJc w:val="right"/>
      <w:pPr>
        <w:ind w:left="4180" w:hanging="180"/>
      </w:pPr>
    </w:lvl>
    <w:lvl w:ilvl="6" w:tplc="080A000F" w:tentative="1">
      <w:start w:val="1"/>
      <w:numFmt w:val="decimal"/>
      <w:lvlText w:val="%7."/>
      <w:lvlJc w:val="left"/>
      <w:pPr>
        <w:ind w:left="4900" w:hanging="360"/>
      </w:pPr>
    </w:lvl>
    <w:lvl w:ilvl="7" w:tplc="080A0019" w:tentative="1">
      <w:start w:val="1"/>
      <w:numFmt w:val="lowerLetter"/>
      <w:lvlText w:val="%8."/>
      <w:lvlJc w:val="left"/>
      <w:pPr>
        <w:ind w:left="5620" w:hanging="360"/>
      </w:pPr>
    </w:lvl>
    <w:lvl w:ilvl="8" w:tplc="080A001B" w:tentative="1">
      <w:start w:val="1"/>
      <w:numFmt w:val="lowerRoman"/>
      <w:lvlText w:val="%9."/>
      <w:lvlJc w:val="right"/>
      <w:pPr>
        <w:ind w:left="6340" w:hanging="180"/>
      </w:pPr>
    </w:lvl>
  </w:abstractNum>
  <w:abstractNum w:abstractNumId="32" w15:restartNumberingAfterBreak="0">
    <w:nsid w:val="7E6B1943"/>
    <w:multiLevelType w:val="multilevel"/>
    <w:tmpl w:val="6220FC70"/>
    <w:lvl w:ilvl="0">
      <w:start w:val="1"/>
      <w:numFmt w:val="upperLetter"/>
      <w:lvlText w:val="%1."/>
      <w:lvlJc w:val="left"/>
      <w:pPr>
        <w:ind w:left="851" w:hanging="425"/>
      </w:pPr>
      <w:rPr>
        <w:rFonts w:hint="default"/>
        <w:lang w:val="es-ES" w:eastAsia="es-ES" w:bidi="es-ES"/>
      </w:rPr>
    </w:lvl>
    <w:lvl w:ilvl="1">
      <w:start w:val="3"/>
      <w:numFmt w:val="upperRoman"/>
      <w:lvlText w:val="%1.%2."/>
      <w:lvlJc w:val="left"/>
      <w:pPr>
        <w:ind w:left="851" w:hanging="425"/>
      </w:pPr>
      <w:rPr>
        <w:rFonts w:ascii="Arial" w:eastAsia="Arial" w:hAnsi="Arial" w:cs="Arial" w:hint="default"/>
        <w:b/>
        <w:bCs/>
        <w:spacing w:val="-2"/>
        <w:w w:val="100"/>
        <w:sz w:val="22"/>
        <w:szCs w:val="22"/>
        <w:lang w:val="es-ES" w:eastAsia="es-ES" w:bidi="es-ES"/>
      </w:rPr>
    </w:lvl>
    <w:lvl w:ilvl="2">
      <w:start w:val="1"/>
      <w:numFmt w:val="upperLetter"/>
      <w:lvlText w:val="%3."/>
      <w:lvlJc w:val="left"/>
      <w:pPr>
        <w:ind w:left="2540" w:hanging="361"/>
      </w:pPr>
      <w:rPr>
        <w:rFonts w:ascii="Arial" w:eastAsia="Arial" w:hAnsi="Arial" w:cs="Arial" w:hint="default"/>
        <w:b/>
        <w:bCs/>
        <w:spacing w:val="-2"/>
        <w:w w:val="100"/>
        <w:sz w:val="24"/>
        <w:szCs w:val="24"/>
        <w:lang w:val="es-ES" w:eastAsia="es-ES" w:bidi="es-ES"/>
      </w:rPr>
    </w:lvl>
    <w:lvl w:ilvl="3">
      <w:numFmt w:val="bullet"/>
      <w:lvlText w:val=""/>
      <w:lvlJc w:val="left"/>
      <w:pPr>
        <w:ind w:left="2888" w:hanging="360"/>
      </w:pPr>
      <w:rPr>
        <w:rFonts w:ascii="Symbol" w:eastAsia="Symbol" w:hAnsi="Symbol" w:cs="Symbol" w:hint="default"/>
        <w:w w:val="100"/>
        <w:sz w:val="24"/>
        <w:szCs w:val="24"/>
        <w:lang w:val="es-ES" w:eastAsia="es-ES" w:bidi="es-ES"/>
      </w:rPr>
    </w:lvl>
    <w:lvl w:ilvl="4">
      <w:numFmt w:val="bullet"/>
      <w:lvlText w:val="•"/>
      <w:lvlJc w:val="left"/>
      <w:pPr>
        <w:ind w:left="5115" w:hanging="360"/>
      </w:pPr>
      <w:rPr>
        <w:rFonts w:hint="default"/>
        <w:lang w:val="es-ES" w:eastAsia="es-ES" w:bidi="es-ES"/>
      </w:rPr>
    </w:lvl>
    <w:lvl w:ilvl="5">
      <w:numFmt w:val="bullet"/>
      <w:lvlText w:val="•"/>
      <w:lvlJc w:val="left"/>
      <w:pPr>
        <w:ind w:left="6225" w:hanging="360"/>
      </w:pPr>
      <w:rPr>
        <w:rFonts w:hint="default"/>
        <w:lang w:val="es-ES" w:eastAsia="es-ES" w:bidi="es-ES"/>
      </w:rPr>
    </w:lvl>
    <w:lvl w:ilvl="6">
      <w:numFmt w:val="bullet"/>
      <w:lvlText w:val="•"/>
      <w:lvlJc w:val="left"/>
      <w:pPr>
        <w:ind w:left="7335" w:hanging="360"/>
      </w:pPr>
      <w:rPr>
        <w:rFonts w:hint="default"/>
        <w:lang w:val="es-ES" w:eastAsia="es-ES" w:bidi="es-ES"/>
      </w:rPr>
    </w:lvl>
    <w:lvl w:ilvl="7">
      <w:numFmt w:val="bullet"/>
      <w:lvlText w:val="•"/>
      <w:lvlJc w:val="left"/>
      <w:pPr>
        <w:ind w:left="8445" w:hanging="360"/>
      </w:pPr>
      <w:rPr>
        <w:rFonts w:hint="default"/>
        <w:lang w:val="es-ES" w:eastAsia="es-ES" w:bidi="es-ES"/>
      </w:rPr>
    </w:lvl>
    <w:lvl w:ilvl="8">
      <w:numFmt w:val="bullet"/>
      <w:lvlText w:val="•"/>
      <w:lvlJc w:val="left"/>
      <w:pPr>
        <w:ind w:left="9555" w:hanging="360"/>
      </w:pPr>
      <w:rPr>
        <w:rFonts w:hint="default"/>
        <w:lang w:val="es-ES" w:eastAsia="es-ES" w:bidi="es-ES"/>
      </w:rPr>
    </w:lvl>
  </w:abstractNum>
  <w:abstractNum w:abstractNumId="33" w15:restartNumberingAfterBreak="0">
    <w:nsid w:val="7E6C52CF"/>
    <w:multiLevelType w:val="hybridMultilevel"/>
    <w:tmpl w:val="C198601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CE09AB"/>
    <w:multiLevelType w:val="hybridMultilevel"/>
    <w:tmpl w:val="D47045E0"/>
    <w:lvl w:ilvl="0" w:tplc="080A0001">
      <w:start w:val="1"/>
      <w:numFmt w:val="bullet"/>
      <w:lvlText w:val=""/>
      <w:lvlJc w:val="left"/>
      <w:pPr>
        <w:ind w:left="2204" w:hanging="360"/>
      </w:pPr>
      <w:rPr>
        <w:rFonts w:ascii="Symbol" w:hAnsi="Symbol" w:hint="default"/>
      </w:rPr>
    </w:lvl>
    <w:lvl w:ilvl="1" w:tplc="080A0003" w:tentative="1">
      <w:start w:val="1"/>
      <w:numFmt w:val="bullet"/>
      <w:lvlText w:val="o"/>
      <w:lvlJc w:val="left"/>
      <w:pPr>
        <w:ind w:left="2924" w:hanging="360"/>
      </w:pPr>
      <w:rPr>
        <w:rFonts w:ascii="Courier New" w:hAnsi="Courier New" w:cs="Courier New" w:hint="default"/>
      </w:rPr>
    </w:lvl>
    <w:lvl w:ilvl="2" w:tplc="080A0005" w:tentative="1">
      <w:start w:val="1"/>
      <w:numFmt w:val="bullet"/>
      <w:lvlText w:val=""/>
      <w:lvlJc w:val="left"/>
      <w:pPr>
        <w:ind w:left="3644" w:hanging="360"/>
      </w:pPr>
      <w:rPr>
        <w:rFonts w:ascii="Wingdings" w:hAnsi="Wingdings" w:hint="default"/>
      </w:rPr>
    </w:lvl>
    <w:lvl w:ilvl="3" w:tplc="080A0001" w:tentative="1">
      <w:start w:val="1"/>
      <w:numFmt w:val="bullet"/>
      <w:lvlText w:val=""/>
      <w:lvlJc w:val="left"/>
      <w:pPr>
        <w:ind w:left="4364" w:hanging="360"/>
      </w:pPr>
      <w:rPr>
        <w:rFonts w:ascii="Symbol" w:hAnsi="Symbol" w:hint="default"/>
      </w:rPr>
    </w:lvl>
    <w:lvl w:ilvl="4" w:tplc="080A0003" w:tentative="1">
      <w:start w:val="1"/>
      <w:numFmt w:val="bullet"/>
      <w:lvlText w:val="o"/>
      <w:lvlJc w:val="left"/>
      <w:pPr>
        <w:ind w:left="5084" w:hanging="360"/>
      </w:pPr>
      <w:rPr>
        <w:rFonts w:ascii="Courier New" w:hAnsi="Courier New" w:cs="Courier New" w:hint="default"/>
      </w:rPr>
    </w:lvl>
    <w:lvl w:ilvl="5" w:tplc="080A0005" w:tentative="1">
      <w:start w:val="1"/>
      <w:numFmt w:val="bullet"/>
      <w:lvlText w:val=""/>
      <w:lvlJc w:val="left"/>
      <w:pPr>
        <w:ind w:left="5804" w:hanging="360"/>
      </w:pPr>
      <w:rPr>
        <w:rFonts w:ascii="Wingdings" w:hAnsi="Wingdings" w:hint="default"/>
      </w:rPr>
    </w:lvl>
    <w:lvl w:ilvl="6" w:tplc="080A0001" w:tentative="1">
      <w:start w:val="1"/>
      <w:numFmt w:val="bullet"/>
      <w:lvlText w:val=""/>
      <w:lvlJc w:val="left"/>
      <w:pPr>
        <w:ind w:left="6524" w:hanging="360"/>
      </w:pPr>
      <w:rPr>
        <w:rFonts w:ascii="Symbol" w:hAnsi="Symbol" w:hint="default"/>
      </w:rPr>
    </w:lvl>
    <w:lvl w:ilvl="7" w:tplc="080A0003" w:tentative="1">
      <w:start w:val="1"/>
      <w:numFmt w:val="bullet"/>
      <w:lvlText w:val="o"/>
      <w:lvlJc w:val="left"/>
      <w:pPr>
        <w:ind w:left="7244" w:hanging="360"/>
      </w:pPr>
      <w:rPr>
        <w:rFonts w:ascii="Courier New" w:hAnsi="Courier New" w:cs="Courier New" w:hint="default"/>
      </w:rPr>
    </w:lvl>
    <w:lvl w:ilvl="8" w:tplc="080A0005" w:tentative="1">
      <w:start w:val="1"/>
      <w:numFmt w:val="bullet"/>
      <w:lvlText w:val=""/>
      <w:lvlJc w:val="left"/>
      <w:pPr>
        <w:ind w:left="7964" w:hanging="360"/>
      </w:pPr>
      <w:rPr>
        <w:rFonts w:ascii="Wingdings" w:hAnsi="Wingdings" w:hint="default"/>
      </w:rPr>
    </w:lvl>
  </w:abstractNum>
  <w:num w:numId="1">
    <w:abstractNumId w:val="33"/>
  </w:num>
  <w:num w:numId="2">
    <w:abstractNumId w:val="6"/>
  </w:num>
  <w:num w:numId="3">
    <w:abstractNumId w:val="4"/>
  </w:num>
  <w:num w:numId="4">
    <w:abstractNumId w:val="14"/>
  </w:num>
  <w:num w:numId="5">
    <w:abstractNumId w:val="10"/>
  </w:num>
  <w:num w:numId="6">
    <w:abstractNumId w:val="20"/>
  </w:num>
  <w:num w:numId="7">
    <w:abstractNumId w:val="25"/>
  </w:num>
  <w:num w:numId="8">
    <w:abstractNumId w:val="19"/>
  </w:num>
  <w:num w:numId="9">
    <w:abstractNumId w:val="13"/>
  </w:num>
  <w:num w:numId="10">
    <w:abstractNumId w:val="32"/>
  </w:num>
  <w:num w:numId="11">
    <w:abstractNumId w:val="28"/>
  </w:num>
  <w:num w:numId="12">
    <w:abstractNumId w:val="30"/>
  </w:num>
  <w:num w:numId="13">
    <w:abstractNumId w:val="1"/>
  </w:num>
  <w:num w:numId="14">
    <w:abstractNumId w:val="22"/>
  </w:num>
  <w:num w:numId="15">
    <w:abstractNumId w:val="3"/>
  </w:num>
  <w:num w:numId="16">
    <w:abstractNumId w:val="29"/>
  </w:num>
  <w:num w:numId="17">
    <w:abstractNumId w:val="23"/>
  </w:num>
  <w:num w:numId="18">
    <w:abstractNumId w:val="7"/>
  </w:num>
  <w:num w:numId="19">
    <w:abstractNumId w:val="9"/>
  </w:num>
  <w:num w:numId="20">
    <w:abstractNumId w:val="5"/>
  </w:num>
  <w:num w:numId="21">
    <w:abstractNumId w:val="34"/>
  </w:num>
  <w:num w:numId="22">
    <w:abstractNumId w:val="18"/>
  </w:num>
  <w:num w:numId="23">
    <w:abstractNumId w:val="8"/>
  </w:num>
  <w:num w:numId="24">
    <w:abstractNumId w:val="15"/>
  </w:num>
  <w:num w:numId="25">
    <w:abstractNumId w:val="2"/>
  </w:num>
  <w:num w:numId="26">
    <w:abstractNumId w:val="11"/>
  </w:num>
  <w:num w:numId="27">
    <w:abstractNumId w:val="21"/>
  </w:num>
  <w:num w:numId="28">
    <w:abstractNumId w:val="12"/>
  </w:num>
  <w:num w:numId="29">
    <w:abstractNumId w:val="27"/>
  </w:num>
  <w:num w:numId="30">
    <w:abstractNumId w:val="17"/>
  </w:num>
  <w:num w:numId="31">
    <w:abstractNumId w:val="24"/>
  </w:num>
  <w:num w:numId="32">
    <w:abstractNumId w:val="26"/>
  </w:num>
  <w:num w:numId="33">
    <w:abstractNumId w:val="0"/>
  </w:num>
  <w:num w:numId="34">
    <w:abstractNumId w:val="31"/>
  </w:num>
  <w:num w:numId="35">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225"/>
    <w:rsid w:val="00010B53"/>
    <w:rsid w:val="000111AE"/>
    <w:rsid w:val="000140EE"/>
    <w:rsid w:val="0002183C"/>
    <w:rsid w:val="00023929"/>
    <w:rsid w:val="00027247"/>
    <w:rsid w:val="00030260"/>
    <w:rsid w:val="00032301"/>
    <w:rsid w:val="00034451"/>
    <w:rsid w:val="000374BD"/>
    <w:rsid w:val="000433FF"/>
    <w:rsid w:val="00050296"/>
    <w:rsid w:val="00051603"/>
    <w:rsid w:val="000517E1"/>
    <w:rsid w:val="00051CD4"/>
    <w:rsid w:val="00054C3B"/>
    <w:rsid w:val="00055BB6"/>
    <w:rsid w:val="000578F7"/>
    <w:rsid w:val="000632F2"/>
    <w:rsid w:val="0006449D"/>
    <w:rsid w:val="000649FA"/>
    <w:rsid w:val="00065285"/>
    <w:rsid w:val="000740A2"/>
    <w:rsid w:val="00074C5E"/>
    <w:rsid w:val="000763E9"/>
    <w:rsid w:val="00076527"/>
    <w:rsid w:val="000817B1"/>
    <w:rsid w:val="00082B18"/>
    <w:rsid w:val="0008438F"/>
    <w:rsid w:val="0008552B"/>
    <w:rsid w:val="00086CA4"/>
    <w:rsid w:val="00091A7B"/>
    <w:rsid w:val="00095EEC"/>
    <w:rsid w:val="000A52AA"/>
    <w:rsid w:val="000B74B0"/>
    <w:rsid w:val="000C1C29"/>
    <w:rsid w:val="000C5952"/>
    <w:rsid w:val="000D3F26"/>
    <w:rsid w:val="000E1126"/>
    <w:rsid w:val="000E350E"/>
    <w:rsid w:val="000E55D3"/>
    <w:rsid w:val="000E6470"/>
    <w:rsid w:val="000E741B"/>
    <w:rsid w:val="001004B0"/>
    <w:rsid w:val="00101B57"/>
    <w:rsid w:val="00107E08"/>
    <w:rsid w:val="00112A86"/>
    <w:rsid w:val="001146CE"/>
    <w:rsid w:val="00115FD5"/>
    <w:rsid w:val="00116EB1"/>
    <w:rsid w:val="00117737"/>
    <w:rsid w:val="00122C03"/>
    <w:rsid w:val="00123A64"/>
    <w:rsid w:val="00124818"/>
    <w:rsid w:val="00132015"/>
    <w:rsid w:val="001359FE"/>
    <w:rsid w:val="001376C7"/>
    <w:rsid w:val="001435BA"/>
    <w:rsid w:val="00145270"/>
    <w:rsid w:val="001466A3"/>
    <w:rsid w:val="00146CED"/>
    <w:rsid w:val="001478BD"/>
    <w:rsid w:val="001501B3"/>
    <w:rsid w:val="001533DE"/>
    <w:rsid w:val="00153A7F"/>
    <w:rsid w:val="00156241"/>
    <w:rsid w:val="0015688A"/>
    <w:rsid w:val="0016178A"/>
    <w:rsid w:val="00167346"/>
    <w:rsid w:val="0017277C"/>
    <w:rsid w:val="0017337E"/>
    <w:rsid w:val="00173BE3"/>
    <w:rsid w:val="00174C6E"/>
    <w:rsid w:val="00176382"/>
    <w:rsid w:val="00176A8F"/>
    <w:rsid w:val="00177F95"/>
    <w:rsid w:val="0018101B"/>
    <w:rsid w:val="00181BC4"/>
    <w:rsid w:val="001850CA"/>
    <w:rsid w:val="0018789F"/>
    <w:rsid w:val="00192871"/>
    <w:rsid w:val="00194335"/>
    <w:rsid w:val="001A3734"/>
    <w:rsid w:val="001A4C79"/>
    <w:rsid w:val="001B1D02"/>
    <w:rsid w:val="001B45A5"/>
    <w:rsid w:val="001B4CB6"/>
    <w:rsid w:val="001B6DAE"/>
    <w:rsid w:val="001C1CE4"/>
    <w:rsid w:val="001C431D"/>
    <w:rsid w:val="001C7D5F"/>
    <w:rsid w:val="001D15DF"/>
    <w:rsid w:val="001D1FEF"/>
    <w:rsid w:val="001D2E8A"/>
    <w:rsid w:val="001D4516"/>
    <w:rsid w:val="001D75AD"/>
    <w:rsid w:val="001E130C"/>
    <w:rsid w:val="001E2500"/>
    <w:rsid w:val="001F02EC"/>
    <w:rsid w:val="001F38BB"/>
    <w:rsid w:val="001F49A3"/>
    <w:rsid w:val="001F57A7"/>
    <w:rsid w:val="001F5B93"/>
    <w:rsid w:val="00200662"/>
    <w:rsid w:val="00203AF2"/>
    <w:rsid w:val="00204440"/>
    <w:rsid w:val="0020687F"/>
    <w:rsid w:val="00210539"/>
    <w:rsid w:val="00210A21"/>
    <w:rsid w:val="00212684"/>
    <w:rsid w:val="00215A85"/>
    <w:rsid w:val="002312F4"/>
    <w:rsid w:val="00235C7F"/>
    <w:rsid w:val="002419D9"/>
    <w:rsid w:val="002420A1"/>
    <w:rsid w:val="00243107"/>
    <w:rsid w:val="0024327E"/>
    <w:rsid w:val="0024619B"/>
    <w:rsid w:val="0024719E"/>
    <w:rsid w:val="00254886"/>
    <w:rsid w:val="002552FD"/>
    <w:rsid w:val="00255504"/>
    <w:rsid w:val="0025731E"/>
    <w:rsid w:val="00260938"/>
    <w:rsid w:val="002641A5"/>
    <w:rsid w:val="00264F6C"/>
    <w:rsid w:val="00265EC0"/>
    <w:rsid w:val="00276E6F"/>
    <w:rsid w:val="00277913"/>
    <w:rsid w:val="00282D2B"/>
    <w:rsid w:val="00282D44"/>
    <w:rsid w:val="0028541B"/>
    <w:rsid w:val="00286145"/>
    <w:rsid w:val="002861C1"/>
    <w:rsid w:val="002863E8"/>
    <w:rsid w:val="002960E0"/>
    <w:rsid w:val="00297AAE"/>
    <w:rsid w:val="002A244C"/>
    <w:rsid w:val="002A31A2"/>
    <w:rsid w:val="002A66B2"/>
    <w:rsid w:val="002C0C78"/>
    <w:rsid w:val="002C321B"/>
    <w:rsid w:val="002C324E"/>
    <w:rsid w:val="002C6740"/>
    <w:rsid w:val="002D1A3C"/>
    <w:rsid w:val="002D3219"/>
    <w:rsid w:val="002D4596"/>
    <w:rsid w:val="002E1C3D"/>
    <w:rsid w:val="002E45F3"/>
    <w:rsid w:val="002F0C59"/>
    <w:rsid w:val="002F1E0F"/>
    <w:rsid w:val="002F7495"/>
    <w:rsid w:val="002F7D4F"/>
    <w:rsid w:val="00300219"/>
    <w:rsid w:val="00306D89"/>
    <w:rsid w:val="003170FD"/>
    <w:rsid w:val="00322D1A"/>
    <w:rsid w:val="003310EE"/>
    <w:rsid w:val="00335849"/>
    <w:rsid w:val="00340170"/>
    <w:rsid w:val="00341DE3"/>
    <w:rsid w:val="003461C9"/>
    <w:rsid w:val="00350A94"/>
    <w:rsid w:val="0035128F"/>
    <w:rsid w:val="00354622"/>
    <w:rsid w:val="00356FCE"/>
    <w:rsid w:val="0036060C"/>
    <w:rsid w:val="003611E0"/>
    <w:rsid w:val="00365E6E"/>
    <w:rsid w:val="00370F45"/>
    <w:rsid w:val="00370FF1"/>
    <w:rsid w:val="00371BA5"/>
    <w:rsid w:val="0037494B"/>
    <w:rsid w:val="003774BF"/>
    <w:rsid w:val="00380478"/>
    <w:rsid w:val="00382312"/>
    <w:rsid w:val="00382E8B"/>
    <w:rsid w:val="00385729"/>
    <w:rsid w:val="00391259"/>
    <w:rsid w:val="00393026"/>
    <w:rsid w:val="00394641"/>
    <w:rsid w:val="003960BD"/>
    <w:rsid w:val="00397739"/>
    <w:rsid w:val="003A3ED1"/>
    <w:rsid w:val="003B65F0"/>
    <w:rsid w:val="003B7378"/>
    <w:rsid w:val="003C0FBF"/>
    <w:rsid w:val="003C200D"/>
    <w:rsid w:val="003C2585"/>
    <w:rsid w:val="003C4EAC"/>
    <w:rsid w:val="003C541F"/>
    <w:rsid w:val="003C7E5E"/>
    <w:rsid w:val="003D1ACC"/>
    <w:rsid w:val="003D6DE6"/>
    <w:rsid w:val="003E1D90"/>
    <w:rsid w:val="003E6199"/>
    <w:rsid w:val="003F1444"/>
    <w:rsid w:val="003F3E97"/>
    <w:rsid w:val="003F4EFB"/>
    <w:rsid w:val="00401B5D"/>
    <w:rsid w:val="00402532"/>
    <w:rsid w:val="0040795F"/>
    <w:rsid w:val="00407CE3"/>
    <w:rsid w:val="00412F1A"/>
    <w:rsid w:val="00413308"/>
    <w:rsid w:val="00414495"/>
    <w:rsid w:val="004148CA"/>
    <w:rsid w:val="00414DED"/>
    <w:rsid w:val="00420ECB"/>
    <w:rsid w:val="004256D7"/>
    <w:rsid w:val="00426DA0"/>
    <w:rsid w:val="00430916"/>
    <w:rsid w:val="00441108"/>
    <w:rsid w:val="00441916"/>
    <w:rsid w:val="004426FE"/>
    <w:rsid w:val="00443E3F"/>
    <w:rsid w:val="00447D14"/>
    <w:rsid w:val="00450CEB"/>
    <w:rsid w:val="004539EE"/>
    <w:rsid w:val="004545CF"/>
    <w:rsid w:val="00460CE2"/>
    <w:rsid w:val="00461E8B"/>
    <w:rsid w:val="0046336D"/>
    <w:rsid w:val="00463BC2"/>
    <w:rsid w:val="00467AE7"/>
    <w:rsid w:val="0047593D"/>
    <w:rsid w:val="00480219"/>
    <w:rsid w:val="00490FFA"/>
    <w:rsid w:val="0049629C"/>
    <w:rsid w:val="004A346D"/>
    <w:rsid w:val="004A3B80"/>
    <w:rsid w:val="004A600D"/>
    <w:rsid w:val="004A7970"/>
    <w:rsid w:val="004A7AF4"/>
    <w:rsid w:val="004B413F"/>
    <w:rsid w:val="004B4A89"/>
    <w:rsid w:val="004C15E2"/>
    <w:rsid w:val="004C2335"/>
    <w:rsid w:val="004C29E3"/>
    <w:rsid w:val="004C3348"/>
    <w:rsid w:val="004C5AC8"/>
    <w:rsid w:val="004D2AAD"/>
    <w:rsid w:val="004D7113"/>
    <w:rsid w:val="004D7E67"/>
    <w:rsid w:val="004E1BA0"/>
    <w:rsid w:val="004E2392"/>
    <w:rsid w:val="004E23D0"/>
    <w:rsid w:val="004E67A5"/>
    <w:rsid w:val="004F20A8"/>
    <w:rsid w:val="004F6332"/>
    <w:rsid w:val="00501183"/>
    <w:rsid w:val="00501682"/>
    <w:rsid w:val="0050178A"/>
    <w:rsid w:val="0050314D"/>
    <w:rsid w:val="0050585D"/>
    <w:rsid w:val="0051253E"/>
    <w:rsid w:val="00513C3E"/>
    <w:rsid w:val="005170CB"/>
    <w:rsid w:val="00521A0B"/>
    <w:rsid w:val="00524078"/>
    <w:rsid w:val="00525BB3"/>
    <w:rsid w:val="00530141"/>
    <w:rsid w:val="0053403E"/>
    <w:rsid w:val="005400EE"/>
    <w:rsid w:val="00542933"/>
    <w:rsid w:val="00542B56"/>
    <w:rsid w:val="00543D07"/>
    <w:rsid w:val="005440E8"/>
    <w:rsid w:val="005470E4"/>
    <w:rsid w:val="00560179"/>
    <w:rsid w:val="00561423"/>
    <w:rsid w:val="0056159C"/>
    <w:rsid w:val="005639DC"/>
    <w:rsid w:val="00565B8A"/>
    <w:rsid w:val="005811D8"/>
    <w:rsid w:val="00582EC3"/>
    <w:rsid w:val="0058345D"/>
    <w:rsid w:val="00585D3F"/>
    <w:rsid w:val="00590EA6"/>
    <w:rsid w:val="00591EBF"/>
    <w:rsid w:val="00591EC6"/>
    <w:rsid w:val="0059497B"/>
    <w:rsid w:val="005A087C"/>
    <w:rsid w:val="005B0B0D"/>
    <w:rsid w:val="005B0EA9"/>
    <w:rsid w:val="005B21BB"/>
    <w:rsid w:val="005B2706"/>
    <w:rsid w:val="005B70DE"/>
    <w:rsid w:val="005C2451"/>
    <w:rsid w:val="005C6BFE"/>
    <w:rsid w:val="005C7263"/>
    <w:rsid w:val="005D1A5D"/>
    <w:rsid w:val="005D2E5D"/>
    <w:rsid w:val="005D2F12"/>
    <w:rsid w:val="005D5F34"/>
    <w:rsid w:val="005D7C6E"/>
    <w:rsid w:val="005E0038"/>
    <w:rsid w:val="005E03DC"/>
    <w:rsid w:val="005E1F0D"/>
    <w:rsid w:val="005E3843"/>
    <w:rsid w:val="005E3854"/>
    <w:rsid w:val="005E3D70"/>
    <w:rsid w:val="005F0D5E"/>
    <w:rsid w:val="005F2283"/>
    <w:rsid w:val="005F6A33"/>
    <w:rsid w:val="006004B7"/>
    <w:rsid w:val="00602767"/>
    <w:rsid w:val="00604E3E"/>
    <w:rsid w:val="00605B43"/>
    <w:rsid w:val="006101AF"/>
    <w:rsid w:val="00615045"/>
    <w:rsid w:val="0061721C"/>
    <w:rsid w:val="00620272"/>
    <w:rsid w:val="00621CE8"/>
    <w:rsid w:val="006268C4"/>
    <w:rsid w:val="0062735B"/>
    <w:rsid w:val="00627A3A"/>
    <w:rsid w:val="00630886"/>
    <w:rsid w:val="0063316F"/>
    <w:rsid w:val="006362BB"/>
    <w:rsid w:val="00637E19"/>
    <w:rsid w:val="00641F73"/>
    <w:rsid w:val="00643B7B"/>
    <w:rsid w:val="00645C5B"/>
    <w:rsid w:val="006463C3"/>
    <w:rsid w:val="00646522"/>
    <w:rsid w:val="00650B95"/>
    <w:rsid w:val="006520B5"/>
    <w:rsid w:val="0065440C"/>
    <w:rsid w:val="0065588F"/>
    <w:rsid w:val="006640FF"/>
    <w:rsid w:val="0066439E"/>
    <w:rsid w:val="00665D2D"/>
    <w:rsid w:val="0066600C"/>
    <w:rsid w:val="0066603F"/>
    <w:rsid w:val="00667C61"/>
    <w:rsid w:val="00670B5B"/>
    <w:rsid w:val="00672151"/>
    <w:rsid w:val="00672405"/>
    <w:rsid w:val="00675FF6"/>
    <w:rsid w:val="0067653F"/>
    <w:rsid w:val="0067727F"/>
    <w:rsid w:val="00683FD0"/>
    <w:rsid w:val="006859FF"/>
    <w:rsid w:val="00690184"/>
    <w:rsid w:val="00690B41"/>
    <w:rsid w:val="006944DD"/>
    <w:rsid w:val="00696277"/>
    <w:rsid w:val="00696B0B"/>
    <w:rsid w:val="00696DA3"/>
    <w:rsid w:val="006A495F"/>
    <w:rsid w:val="006A52DA"/>
    <w:rsid w:val="006A6471"/>
    <w:rsid w:val="006A6BD2"/>
    <w:rsid w:val="006A6D3C"/>
    <w:rsid w:val="006A7196"/>
    <w:rsid w:val="006B4773"/>
    <w:rsid w:val="006B6642"/>
    <w:rsid w:val="006B6CBE"/>
    <w:rsid w:val="006C3937"/>
    <w:rsid w:val="006C3A7A"/>
    <w:rsid w:val="006C414B"/>
    <w:rsid w:val="006C436D"/>
    <w:rsid w:val="006C47AB"/>
    <w:rsid w:val="006C54B7"/>
    <w:rsid w:val="006C76F5"/>
    <w:rsid w:val="006D60B0"/>
    <w:rsid w:val="006E3816"/>
    <w:rsid w:val="006E4490"/>
    <w:rsid w:val="006E4BBD"/>
    <w:rsid w:val="006F4047"/>
    <w:rsid w:val="006F722B"/>
    <w:rsid w:val="00701EFD"/>
    <w:rsid w:val="00703E77"/>
    <w:rsid w:val="00704CB7"/>
    <w:rsid w:val="00712618"/>
    <w:rsid w:val="007152BE"/>
    <w:rsid w:val="0071575C"/>
    <w:rsid w:val="00716CFE"/>
    <w:rsid w:val="0071701E"/>
    <w:rsid w:val="007174E8"/>
    <w:rsid w:val="007204D0"/>
    <w:rsid w:val="00720F7A"/>
    <w:rsid w:val="00723849"/>
    <w:rsid w:val="00727F50"/>
    <w:rsid w:val="00727FA5"/>
    <w:rsid w:val="00732B48"/>
    <w:rsid w:val="007354DD"/>
    <w:rsid w:val="00736BF0"/>
    <w:rsid w:val="0073772A"/>
    <w:rsid w:val="007407C5"/>
    <w:rsid w:val="00740B54"/>
    <w:rsid w:val="00742B42"/>
    <w:rsid w:val="007432CD"/>
    <w:rsid w:val="00747D75"/>
    <w:rsid w:val="007505CA"/>
    <w:rsid w:val="0075187D"/>
    <w:rsid w:val="00751D7E"/>
    <w:rsid w:val="007525A8"/>
    <w:rsid w:val="007528AF"/>
    <w:rsid w:val="0075328E"/>
    <w:rsid w:val="00756946"/>
    <w:rsid w:val="00757DF9"/>
    <w:rsid w:val="00762F87"/>
    <w:rsid w:val="00766512"/>
    <w:rsid w:val="00766F0E"/>
    <w:rsid w:val="00772EF8"/>
    <w:rsid w:val="00774AFA"/>
    <w:rsid w:val="00782255"/>
    <w:rsid w:val="007825F0"/>
    <w:rsid w:val="00784585"/>
    <w:rsid w:val="00785F41"/>
    <w:rsid w:val="007B7273"/>
    <w:rsid w:val="007C06E1"/>
    <w:rsid w:val="007D444E"/>
    <w:rsid w:val="007D49F1"/>
    <w:rsid w:val="007D4BC3"/>
    <w:rsid w:val="007D695A"/>
    <w:rsid w:val="007D6DC8"/>
    <w:rsid w:val="007E099D"/>
    <w:rsid w:val="007E4A5D"/>
    <w:rsid w:val="007E561A"/>
    <w:rsid w:val="007E6505"/>
    <w:rsid w:val="007F180B"/>
    <w:rsid w:val="007F24CB"/>
    <w:rsid w:val="007F3122"/>
    <w:rsid w:val="007F312A"/>
    <w:rsid w:val="007F6103"/>
    <w:rsid w:val="007F7551"/>
    <w:rsid w:val="00801E11"/>
    <w:rsid w:val="008024A5"/>
    <w:rsid w:val="008058E7"/>
    <w:rsid w:val="0081587D"/>
    <w:rsid w:val="00816A67"/>
    <w:rsid w:val="00821E18"/>
    <w:rsid w:val="0082211D"/>
    <w:rsid w:val="008271F4"/>
    <w:rsid w:val="008315BE"/>
    <w:rsid w:val="0083268D"/>
    <w:rsid w:val="00833B03"/>
    <w:rsid w:val="00834957"/>
    <w:rsid w:val="0084026C"/>
    <w:rsid w:val="00841DFD"/>
    <w:rsid w:val="00842F80"/>
    <w:rsid w:val="00843B59"/>
    <w:rsid w:val="00843F85"/>
    <w:rsid w:val="00850DD8"/>
    <w:rsid w:val="00851809"/>
    <w:rsid w:val="00853F78"/>
    <w:rsid w:val="00854DB1"/>
    <w:rsid w:val="00855AF2"/>
    <w:rsid w:val="00857DDD"/>
    <w:rsid w:val="00863EB2"/>
    <w:rsid w:val="00864BB4"/>
    <w:rsid w:val="00864C3B"/>
    <w:rsid w:val="0087123C"/>
    <w:rsid w:val="00871C62"/>
    <w:rsid w:val="00872B68"/>
    <w:rsid w:val="008731B2"/>
    <w:rsid w:val="00877457"/>
    <w:rsid w:val="0088046E"/>
    <w:rsid w:val="00882B20"/>
    <w:rsid w:val="0088381B"/>
    <w:rsid w:val="00884F9F"/>
    <w:rsid w:val="008870FC"/>
    <w:rsid w:val="00892381"/>
    <w:rsid w:val="008A3AB5"/>
    <w:rsid w:val="008A4E1A"/>
    <w:rsid w:val="008A4FA7"/>
    <w:rsid w:val="008A5825"/>
    <w:rsid w:val="008B104B"/>
    <w:rsid w:val="008B6884"/>
    <w:rsid w:val="008C19DD"/>
    <w:rsid w:val="008C458E"/>
    <w:rsid w:val="008C49AB"/>
    <w:rsid w:val="008C531E"/>
    <w:rsid w:val="008D40E0"/>
    <w:rsid w:val="008D48B1"/>
    <w:rsid w:val="008D7893"/>
    <w:rsid w:val="008E0E1E"/>
    <w:rsid w:val="008E2DB4"/>
    <w:rsid w:val="008F1947"/>
    <w:rsid w:val="008F28C9"/>
    <w:rsid w:val="008F3734"/>
    <w:rsid w:val="008F7FBD"/>
    <w:rsid w:val="00904E2E"/>
    <w:rsid w:val="00906FA8"/>
    <w:rsid w:val="00914F3A"/>
    <w:rsid w:val="009150A7"/>
    <w:rsid w:val="009176FB"/>
    <w:rsid w:val="00924E01"/>
    <w:rsid w:val="00926D6F"/>
    <w:rsid w:val="00927120"/>
    <w:rsid w:val="00932290"/>
    <w:rsid w:val="009372EE"/>
    <w:rsid w:val="00940BF5"/>
    <w:rsid w:val="00944E18"/>
    <w:rsid w:val="00945E47"/>
    <w:rsid w:val="00946525"/>
    <w:rsid w:val="00950D59"/>
    <w:rsid w:val="00952E1B"/>
    <w:rsid w:val="00962CC0"/>
    <w:rsid w:val="00971A31"/>
    <w:rsid w:val="009737E3"/>
    <w:rsid w:val="00973EA9"/>
    <w:rsid w:val="00976DF8"/>
    <w:rsid w:val="00977B18"/>
    <w:rsid w:val="00977E98"/>
    <w:rsid w:val="00987EA2"/>
    <w:rsid w:val="00990EFE"/>
    <w:rsid w:val="009927D1"/>
    <w:rsid w:val="009937A7"/>
    <w:rsid w:val="009A0788"/>
    <w:rsid w:val="009A117F"/>
    <w:rsid w:val="009A120F"/>
    <w:rsid w:val="009A5301"/>
    <w:rsid w:val="009A5E91"/>
    <w:rsid w:val="009A5F95"/>
    <w:rsid w:val="009B15EB"/>
    <w:rsid w:val="009B2B9B"/>
    <w:rsid w:val="009B6B8B"/>
    <w:rsid w:val="009C35C4"/>
    <w:rsid w:val="009C35C9"/>
    <w:rsid w:val="009C59E1"/>
    <w:rsid w:val="009D1AEF"/>
    <w:rsid w:val="009D4045"/>
    <w:rsid w:val="009D6876"/>
    <w:rsid w:val="009E04D5"/>
    <w:rsid w:val="009F2C9A"/>
    <w:rsid w:val="009F5034"/>
    <w:rsid w:val="009F568B"/>
    <w:rsid w:val="00A001ED"/>
    <w:rsid w:val="00A06390"/>
    <w:rsid w:val="00A165F1"/>
    <w:rsid w:val="00A16F1B"/>
    <w:rsid w:val="00A213F2"/>
    <w:rsid w:val="00A22DBC"/>
    <w:rsid w:val="00A239EC"/>
    <w:rsid w:val="00A25C8C"/>
    <w:rsid w:val="00A26084"/>
    <w:rsid w:val="00A26516"/>
    <w:rsid w:val="00A3309E"/>
    <w:rsid w:val="00A341E6"/>
    <w:rsid w:val="00A35CF1"/>
    <w:rsid w:val="00A4077D"/>
    <w:rsid w:val="00A43878"/>
    <w:rsid w:val="00A459DF"/>
    <w:rsid w:val="00A46A9A"/>
    <w:rsid w:val="00A557AB"/>
    <w:rsid w:val="00A56947"/>
    <w:rsid w:val="00A6095C"/>
    <w:rsid w:val="00A61CC4"/>
    <w:rsid w:val="00A61EF8"/>
    <w:rsid w:val="00A63C51"/>
    <w:rsid w:val="00A65DF5"/>
    <w:rsid w:val="00A663C7"/>
    <w:rsid w:val="00A671A4"/>
    <w:rsid w:val="00A72478"/>
    <w:rsid w:val="00A729DD"/>
    <w:rsid w:val="00A75B38"/>
    <w:rsid w:val="00A76758"/>
    <w:rsid w:val="00A77D26"/>
    <w:rsid w:val="00A87300"/>
    <w:rsid w:val="00A93C0E"/>
    <w:rsid w:val="00A973D2"/>
    <w:rsid w:val="00AB25A6"/>
    <w:rsid w:val="00AC3750"/>
    <w:rsid w:val="00AC47BE"/>
    <w:rsid w:val="00AD0302"/>
    <w:rsid w:val="00AD2DF5"/>
    <w:rsid w:val="00AD4C00"/>
    <w:rsid w:val="00AD54C1"/>
    <w:rsid w:val="00AE3CA7"/>
    <w:rsid w:val="00AE53E5"/>
    <w:rsid w:val="00AE5CC5"/>
    <w:rsid w:val="00AE7E7D"/>
    <w:rsid w:val="00AF4C34"/>
    <w:rsid w:val="00AF6911"/>
    <w:rsid w:val="00B00076"/>
    <w:rsid w:val="00B00470"/>
    <w:rsid w:val="00B004CF"/>
    <w:rsid w:val="00B01CE9"/>
    <w:rsid w:val="00B0286F"/>
    <w:rsid w:val="00B103B0"/>
    <w:rsid w:val="00B10C89"/>
    <w:rsid w:val="00B13342"/>
    <w:rsid w:val="00B247BB"/>
    <w:rsid w:val="00B25AE6"/>
    <w:rsid w:val="00B3299E"/>
    <w:rsid w:val="00B35E65"/>
    <w:rsid w:val="00B446E6"/>
    <w:rsid w:val="00B47A44"/>
    <w:rsid w:val="00B5105B"/>
    <w:rsid w:val="00B51B47"/>
    <w:rsid w:val="00B579CF"/>
    <w:rsid w:val="00B639B4"/>
    <w:rsid w:val="00B6494D"/>
    <w:rsid w:val="00B65F30"/>
    <w:rsid w:val="00B73339"/>
    <w:rsid w:val="00B73E8D"/>
    <w:rsid w:val="00B740EB"/>
    <w:rsid w:val="00B75470"/>
    <w:rsid w:val="00B84374"/>
    <w:rsid w:val="00B85302"/>
    <w:rsid w:val="00B8627A"/>
    <w:rsid w:val="00B86CD7"/>
    <w:rsid w:val="00B87EFD"/>
    <w:rsid w:val="00B91497"/>
    <w:rsid w:val="00B92CE4"/>
    <w:rsid w:val="00B9671F"/>
    <w:rsid w:val="00B97117"/>
    <w:rsid w:val="00BA2EB9"/>
    <w:rsid w:val="00BA3CED"/>
    <w:rsid w:val="00BB0448"/>
    <w:rsid w:val="00BB06AE"/>
    <w:rsid w:val="00BB11D6"/>
    <w:rsid w:val="00BB2A13"/>
    <w:rsid w:val="00BC3199"/>
    <w:rsid w:val="00BC37BF"/>
    <w:rsid w:val="00BC59AA"/>
    <w:rsid w:val="00BC5A15"/>
    <w:rsid w:val="00BC5E87"/>
    <w:rsid w:val="00BC78DF"/>
    <w:rsid w:val="00BD18A2"/>
    <w:rsid w:val="00BD1E29"/>
    <w:rsid w:val="00BD1EBC"/>
    <w:rsid w:val="00BD2A5F"/>
    <w:rsid w:val="00BE0E53"/>
    <w:rsid w:val="00BE1D13"/>
    <w:rsid w:val="00BE23E3"/>
    <w:rsid w:val="00BE3A60"/>
    <w:rsid w:val="00BE3DAA"/>
    <w:rsid w:val="00BF61C5"/>
    <w:rsid w:val="00C05385"/>
    <w:rsid w:val="00C06767"/>
    <w:rsid w:val="00C07027"/>
    <w:rsid w:val="00C077A1"/>
    <w:rsid w:val="00C117A4"/>
    <w:rsid w:val="00C12236"/>
    <w:rsid w:val="00C13955"/>
    <w:rsid w:val="00C377C0"/>
    <w:rsid w:val="00C41E57"/>
    <w:rsid w:val="00C43527"/>
    <w:rsid w:val="00C4581F"/>
    <w:rsid w:val="00C47DFC"/>
    <w:rsid w:val="00C520AA"/>
    <w:rsid w:val="00C610B1"/>
    <w:rsid w:val="00C64279"/>
    <w:rsid w:val="00C70285"/>
    <w:rsid w:val="00C75AE2"/>
    <w:rsid w:val="00C8415B"/>
    <w:rsid w:val="00C91810"/>
    <w:rsid w:val="00C946AA"/>
    <w:rsid w:val="00C950F7"/>
    <w:rsid w:val="00C962CC"/>
    <w:rsid w:val="00CA5507"/>
    <w:rsid w:val="00CA7D2D"/>
    <w:rsid w:val="00CB0127"/>
    <w:rsid w:val="00CB0D2D"/>
    <w:rsid w:val="00CB64A8"/>
    <w:rsid w:val="00CB7662"/>
    <w:rsid w:val="00CC1662"/>
    <w:rsid w:val="00CC226D"/>
    <w:rsid w:val="00CC276C"/>
    <w:rsid w:val="00CE7B6C"/>
    <w:rsid w:val="00CF11A3"/>
    <w:rsid w:val="00CF11C2"/>
    <w:rsid w:val="00CF172E"/>
    <w:rsid w:val="00CF201A"/>
    <w:rsid w:val="00CF70E4"/>
    <w:rsid w:val="00CF732A"/>
    <w:rsid w:val="00CF7E5F"/>
    <w:rsid w:val="00D02356"/>
    <w:rsid w:val="00D132A9"/>
    <w:rsid w:val="00D143EA"/>
    <w:rsid w:val="00D14693"/>
    <w:rsid w:val="00D1665B"/>
    <w:rsid w:val="00D215DE"/>
    <w:rsid w:val="00D232C2"/>
    <w:rsid w:val="00D23882"/>
    <w:rsid w:val="00D23B3D"/>
    <w:rsid w:val="00D30470"/>
    <w:rsid w:val="00D306C4"/>
    <w:rsid w:val="00D313FF"/>
    <w:rsid w:val="00D33739"/>
    <w:rsid w:val="00D34ADE"/>
    <w:rsid w:val="00D3666D"/>
    <w:rsid w:val="00D4189D"/>
    <w:rsid w:val="00D4391D"/>
    <w:rsid w:val="00D4696C"/>
    <w:rsid w:val="00D52210"/>
    <w:rsid w:val="00D5252C"/>
    <w:rsid w:val="00D55C54"/>
    <w:rsid w:val="00D57477"/>
    <w:rsid w:val="00D57E5F"/>
    <w:rsid w:val="00D6051B"/>
    <w:rsid w:val="00D609FC"/>
    <w:rsid w:val="00D60BC3"/>
    <w:rsid w:val="00D61F55"/>
    <w:rsid w:val="00D6451E"/>
    <w:rsid w:val="00D64E9E"/>
    <w:rsid w:val="00D65ADB"/>
    <w:rsid w:val="00D66991"/>
    <w:rsid w:val="00D67F0F"/>
    <w:rsid w:val="00D67F2C"/>
    <w:rsid w:val="00D71B36"/>
    <w:rsid w:val="00D80AF6"/>
    <w:rsid w:val="00D83712"/>
    <w:rsid w:val="00D92BC8"/>
    <w:rsid w:val="00D9626B"/>
    <w:rsid w:val="00DA0966"/>
    <w:rsid w:val="00DA1D30"/>
    <w:rsid w:val="00DA44BD"/>
    <w:rsid w:val="00DA7900"/>
    <w:rsid w:val="00DB4E91"/>
    <w:rsid w:val="00DB6FDE"/>
    <w:rsid w:val="00DB6FEA"/>
    <w:rsid w:val="00DC065C"/>
    <w:rsid w:val="00DC18E2"/>
    <w:rsid w:val="00DD10D2"/>
    <w:rsid w:val="00DD25A6"/>
    <w:rsid w:val="00DD3FA0"/>
    <w:rsid w:val="00DE16E7"/>
    <w:rsid w:val="00DE53ED"/>
    <w:rsid w:val="00DE6707"/>
    <w:rsid w:val="00DF0860"/>
    <w:rsid w:val="00DF2033"/>
    <w:rsid w:val="00DF40AE"/>
    <w:rsid w:val="00DF551E"/>
    <w:rsid w:val="00DF7FD0"/>
    <w:rsid w:val="00E06AA2"/>
    <w:rsid w:val="00E213AD"/>
    <w:rsid w:val="00E2195C"/>
    <w:rsid w:val="00E225FF"/>
    <w:rsid w:val="00E2563B"/>
    <w:rsid w:val="00E257C9"/>
    <w:rsid w:val="00E26C19"/>
    <w:rsid w:val="00E26E62"/>
    <w:rsid w:val="00E361CA"/>
    <w:rsid w:val="00E377B8"/>
    <w:rsid w:val="00E37D56"/>
    <w:rsid w:val="00E40378"/>
    <w:rsid w:val="00E46177"/>
    <w:rsid w:val="00E461FE"/>
    <w:rsid w:val="00E5268D"/>
    <w:rsid w:val="00E53D44"/>
    <w:rsid w:val="00E565DF"/>
    <w:rsid w:val="00E56B70"/>
    <w:rsid w:val="00E571A1"/>
    <w:rsid w:val="00E57B75"/>
    <w:rsid w:val="00E602B4"/>
    <w:rsid w:val="00E60A0A"/>
    <w:rsid w:val="00E6632C"/>
    <w:rsid w:val="00E73073"/>
    <w:rsid w:val="00E74FEF"/>
    <w:rsid w:val="00E758E0"/>
    <w:rsid w:val="00E75BF2"/>
    <w:rsid w:val="00E9545C"/>
    <w:rsid w:val="00E97B65"/>
    <w:rsid w:val="00EA2DC8"/>
    <w:rsid w:val="00EA6C3C"/>
    <w:rsid w:val="00EA7232"/>
    <w:rsid w:val="00EB395D"/>
    <w:rsid w:val="00EB5462"/>
    <w:rsid w:val="00EC2476"/>
    <w:rsid w:val="00EC281C"/>
    <w:rsid w:val="00EC50F2"/>
    <w:rsid w:val="00ED1463"/>
    <w:rsid w:val="00ED22D4"/>
    <w:rsid w:val="00EE243C"/>
    <w:rsid w:val="00EE24F5"/>
    <w:rsid w:val="00EF02A8"/>
    <w:rsid w:val="00EF4A14"/>
    <w:rsid w:val="00F020A7"/>
    <w:rsid w:val="00F0296F"/>
    <w:rsid w:val="00F0365B"/>
    <w:rsid w:val="00F04568"/>
    <w:rsid w:val="00F05E65"/>
    <w:rsid w:val="00F14898"/>
    <w:rsid w:val="00F149BE"/>
    <w:rsid w:val="00F17EA5"/>
    <w:rsid w:val="00F20A38"/>
    <w:rsid w:val="00F21EDB"/>
    <w:rsid w:val="00F24C0C"/>
    <w:rsid w:val="00F273A4"/>
    <w:rsid w:val="00F27925"/>
    <w:rsid w:val="00F30032"/>
    <w:rsid w:val="00F30182"/>
    <w:rsid w:val="00F30802"/>
    <w:rsid w:val="00F34061"/>
    <w:rsid w:val="00F34B64"/>
    <w:rsid w:val="00F367CE"/>
    <w:rsid w:val="00F440B1"/>
    <w:rsid w:val="00F44322"/>
    <w:rsid w:val="00F45879"/>
    <w:rsid w:val="00F47229"/>
    <w:rsid w:val="00F533F2"/>
    <w:rsid w:val="00F53545"/>
    <w:rsid w:val="00F53B93"/>
    <w:rsid w:val="00F5578B"/>
    <w:rsid w:val="00F57DFC"/>
    <w:rsid w:val="00F603AC"/>
    <w:rsid w:val="00F62EE4"/>
    <w:rsid w:val="00F6443F"/>
    <w:rsid w:val="00F65329"/>
    <w:rsid w:val="00F66BDF"/>
    <w:rsid w:val="00F67A58"/>
    <w:rsid w:val="00F716A6"/>
    <w:rsid w:val="00F75963"/>
    <w:rsid w:val="00F850CE"/>
    <w:rsid w:val="00F852FF"/>
    <w:rsid w:val="00F87D58"/>
    <w:rsid w:val="00F905D9"/>
    <w:rsid w:val="00F93980"/>
    <w:rsid w:val="00FA05CC"/>
    <w:rsid w:val="00FA4E61"/>
    <w:rsid w:val="00FA514A"/>
    <w:rsid w:val="00FB1442"/>
    <w:rsid w:val="00FB3436"/>
    <w:rsid w:val="00FB7CAD"/>
    <w:rsid w:val="00FC0FA7"/>
    <w:rsid w:val="00FC343D"/>
    <w:rsid w:val="00FC48CC"/>
    <w:rsid w:val="00FC6328"/>
    <w:rsid w:val="00FC65DE"/>
    <w:rsid w:val="00FD0FBB"/>
    <w:rsid w:val="00FD4225"/>
    <w:rsid w:val="00FD6D48"/>
    <w:rsid w:val="00FD773B"/>
    <w:rsid w:val="00FE6F6C"/>
    <w:rsid w:val="00FE7C55"/>
    <w:rsid w:val="00FF0891"/>
    <w:rsid w:val="00FF3617"/>
    <w:rsid w:val="00FF3BF0"/>
    <w:rsid w:val="00FF59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33067"/>
  <w15:chartTrackingRefBased/>
  <w15:docId w15:val="{D2892C04-1101-4613-97F1-4A735FDB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076"/>
  </w:style>
  <w:style w:type="paragraph" w:styleId="Ttulo1">
    <w:name w:val="heading 1"/>
    <w:basedOn w:val="Normal"/>
    <w:next w:val="Normal"/>
    <w:link w:val="Ttulo1Car"/>
    <w:uiPriority w:val="1"/>
    <w:qFormat/>
    <w:rsid w:val="00FD42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1"/>
    <w:unhideWhenUsed/>
    <w:qFormat/>
    <w:rsid w:val="00FD42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1"/>
    <w:unhideWhenUsed/>
    <w:qFormat/>
    <w:rsid w:val="00FD42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1"/>
    <w:unhideWhenUsed/>
    <w:qFormat/>
    <w:rsid w:val="00FD422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link w:val="Ttulo5Car"/>
    <w:uiPriority w:val="1"/>
    <w:qFormat/>
    <w:rsid w:val="00E37D56"/>
    <w:pPr>
      <w:widowControl w:val="0"/>
      <w:autoSpaceDE w:val="0"/>
      <w:autoSpaceDN w:val="0"/>
      <w:spacing w:before="180" w:after="0" w:line="240" w:lineRule="auto"/>
      <w:ind w:left="4565"/>
      <w:outlineLvl w:val="4"/>
    </w:pPr>
    <w:rPr>
      <w:rFonts w:ascii="Arial" w:eastAsia="Arial" w:hAnsi="Arial" w:cs="Arial"/>
      <w:b/>
      <w:bCs/>
      <w:i/>
      <w:sz w:val="24"/>
      <w:szCs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FD422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1"/>
    <w:rsid w:val="00FD422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1"/>
    <w:rsid w:val="00FD4225"/>
    <w:rPr>
      <w:rFonts w:asciiTheme="majorHAnsi" w:eastAsiaTheme="majorEastAsia" w:hAnsiTheme="majorHAnsi" w:cstheme="majorBidi"/>
      <w:i/>
      <w:iCs/>
      <w:color w:val="2E74B5" w:themeColor="accent1" w:themeShade="BF"/>
    </w:rPr>
  </w:style>
  <w:style w:type="paragraph" w:styleId="Textoindependiente">
    <w:name w:val="Body Text"/>
    <w:basedOn w:val="Normal"/>
    <w:link w:val="TextoindependienteCar"/>
    <w:uiPriority w:val="1"/>
    <w:unhideWhenUsed/>
    <w:qFormat/>
    <w:rsid w:val="00FD4225"/>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FD4225"/>
    <w:rPr>
      <w:rFonts w:ascii="Arial" w:eastAsia="Arial" w:hAnsi="Arial" w:cs="Arial"/>
      <w:sz w:val="24"/>
      <w:szCs w:val="24"/>
      <w:lang w:val="es-ES"/>
    </w:rPr>
  </w:style>
  <w:style w:type="table" w:styleId="Cuadrculadetablaclara">
    <w:name w:val="Grid Table Light"/>
    <w:basedOn w:val="Tablanormal"/>
    <w:uiPriority w:val="40"/>
    <w:rsid w:val="00FD42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4-nfasis3">
    <w:name w:val="Grid Table 4 Accent 3"/>
    <w:basedOn w:val="Tablanormal"/>
    <w:uiPriority w:val="49"/>
    <w:rsid w:val="00FD422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FD4225"/>
    <w:pPr>
      <w:widowControl w:val="0"/>
      <w:autoSpaceDE w:val="0"/>
      <w:autoSpaceDN w:val="0"/>
      <w:spacing w:after="0" w:line="240" w:lineRule="auto"/>
    </w:pPr>
    <w:rPr>
      <w:rFonts w:ascii="Arial" w:eastAsia="Arial" w:hAnsi="Arial" w:cs="Arial"/>
      <w:lang w:val="es-ES"/>
    </w:rPr>
  </w:style>
  <w:style w:type="character" w:customStyle="1" w:styleId="Ttulo1Car">
    <w:name w:val="Título 1 Car"/>
    <w:basedOn w:val="Fuentedeprrafopredeter"/>
    <w:link w:val="Ttulo1"/>
    <w:uiPriority w:val="1"/>
    <w:rsid w:val="00FD4225"/>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1"/>
    <w:qFormat/>
    <w:rsid w:val="00FD4225"/>
    <w:pPr>
      <w:ind w:left="720"/>
      <w:contextualSpacing/>
    </w:pPr>
  </w:style>
  <w:style w:type="character" w:styleId="Hipervnculo">
    <w:name w:val="Hyperlink"/>
    <w:basedOn w:val="Fuentedeprrafopredeter"/>
    <w:uiPriority w:val="99"/>
    <w:unhideWhenUsed/>
    <w:rsid w:val="006E4BBD"/>
    <w:rPr>
      <w:color w:val="0000FF"/>
      <w:u w:val="single"/>
    </w:rPr>
  </w:style>
  <w:style w:type="character" w:styleId="Hipervnculovisitado">
    <w:name w:val="FollowedHyperlink"/>
    <w:basedOn w:val="Fuentedeprrafopredeter"/>
    <w:uiPriority w:val="99"/>
    <w:semiHidden/>
    <w:unhideWhenUsed/>
    <w:rsid w:val="006E4BBD"/>
    <w:rPr>
      <w:color w:val="800080"/>
      <w:u w:val="single"/>
    </w:rPr>
  </w:style>
  <w:style w:type="paragraph" w:customStyle="1" w:styleId="msonormal0">
    <w:name w:val="msonormal"/>
    <w:basedOn w:val="Normal"/>
    <w:rsid w:val="006E4BB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6E4BBD"/>
    <w:pPr>
      <w:pBdr>
        <w:top w:val="single" w:sz="4" w:space="0" w:color="auto"/>
        <w:left w:val="single" w:sz="4" w:space="0" w:color="auto"/>
        <w:bottom w:val="single" w:sz="4" w:space="0" w:color="auto"/>
        <w:right w:val="single" w:sz="4" w:space="0" w:color="auto"/>
      </w:pBdr>
      <w:shd w:val="clear" w:color="D3D3D3" w:fill="D3D3D3"/>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65">
    <w:name w:val="xl65"/>
    <w:basedOn w:val="Normal"/>
    <w:rsid w:val="006E4B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20"/>
      <w:szCs w:val="20"/>
      <w:lang w:eastAsia="es-MX"/>
    </w:rPr>
  </w:style>
  <w:style w:type="paragraph" w:customStyle="1" w:styleId="xl66">
    <w:name w:val="xl66"/>
    <w:basedOn w:val="Normal"/>
    <w:rsid w:val="006E4B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20"/>
      <w:szCs w:val="20"/>
      <w:lang w:eastAsia="es-MX"/>
    </w:rPr>
  </w:style>
  <w:style w:type="paragraph" w:customStyle="1" w:styleId="xl67">
    <w:name w:val="xl67"/>
    <w:basedOn w:val="Normal"/>
    <w:rsid w:val="006E4BB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8">
    <w:name w:val="xl68"/>
    <w:basedOn w:val="Normal"/>
    <w:rsid w:val="006E4BBD"/>
    <w:pPr>
      <w:pBdr>
        <w:top w:val="single" w:sz="4" w:space="0" w:color="auto"/>
        <w:left w:val="single" w:sz="4" w:space="0" w:color="auto"/>
        <w:bottom w:val="single" w:sz="4" w:space="0" w:color="auto"/>
        <w:right w:val="single" w:sz="4" w:space="0" w:color="auto"/>
      </w:pBdr>
      <w:shd w:val="clear" w:color="D3D3D3" w:fill="D3D3D3"/>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69">
    <w:name w:val="xl69"/>
    <w:basedOn w:val="Normal"/>
    <w:rsid w:val="006E4B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0">
    <w:name w:val="xl70"/>
    <w:basedOn w:val="Normal"/>
    <w:rsid w:val="006E4BBD"/>
    <w:pPr>
      <w:pBdr>
        <w:top w:val="single" w:sz="4" w:space="0" w:color="auto"/>
        <w:left w:val="single" w:sz="4" w:space="0" w:color="auto"/>
        <w:bottom w:val="single" w:sz="4" w:space="0" w:color="auto"/>
        <w:right w:val="single" w:sz="4" w:space="0" w:color="auto"/>
      </w:pBdr>
      <w:shd w:val="clear" w:color="D3D3D3" w:fill="D3D3D3"/>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s-MX"/>
    </w:rPr>
  </w:style>
  <w:style w:type="paragraph" w:customStyle="1" w:styleId="xl71">
    <w:name w:val="xl71"/>
    <w:basedOn w:val="Normal"/>
    <w:rsid w:val="006E4BB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2">
    <w:name w:val="xl72"/>
    <w:basedOn w:val="Normal"/>
    <w:rsid w:val="006E4BBD"/>
    <w:pPr>
      <w:pBdr>
        <w:top w:val="single" w:sz="4" w:space="0" w:color="auto"/>
        <w:left w:val="single" w:sz="4" w:space="0" w:color="auto"/>
        <w:bottom w:val="single" w:sz="4" w:space="0" w:color="auto"/>
        <w:right w:val="single" w:sz="4" w:space="0" w:color="auto"/>
      </w:pBdr>
      <w:shd w:val="clear" w:color="D3D3D3" w:fill="D3D3D3"/>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s-MX"/>
    </w:rPr>
  </w:style>
  <w:style w:type="paragraph" w:customStyle="1" w:styleId="xl73">
    <w:name w:val="xl73"/>
    <w:basedOn w:val="Normal"/>
    <w:rsid w:val="006E4BBD"/>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4">
    <w:name w:val="xl74"/>
    <w:basedOn w:val="Normal"/>
    <w:rsid w:val="006E4B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s-MX"/>
    </w:rPr>
  </w:style>
  <w:style w:type="paragraph" w:customStyle="1" w:styleId="xl75">
    <w:name w:val="xl75"/>
    <w:basedOn w:val="Normal"/>
    <w:rsid w:val="006E4B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Narrow" w:eastAsia="Times New Roman" w:hAnsi="Arial Narrow" w:cs="Times New Roman"/>
      <w:color w:val="000000"/>
      <w:sz w:val="20"/>
      <w:szCs w:val="20"/>
      <w:lang w:eastAsia="es-MX"/>
    </w:rPr>
  </w:style>
  <w:style w:type="paragraph" w:customStyle="1" w:styleId="xl76">
    <w:name w:val="xl76"/>
    <w:basedOn w:val="Normal"/>
    <w:rsid w:val="006E4B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7">
    <w:name w:val="xl77"/>
    <w:basedOn w:val="Normal"/>
    <w:rsid w:val="006E4BB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Arial Narrow" w:eastAsia="Times New Roman" w:hAnsi="Arial Narrow" w:cs="Times New Roman"/>
      <w:color w:val="000000"/>
      <w:sz w:val="20"/>
      <w:szCs w:val="20"/>
      <w:lang w:eastAsia="es-MX"/>
    </w:rPr>
  </w:style>
  <w:style w:type="paragraph" w:customStyle="1" w:styleId="xl78">
    <w:name w:val="xl78"/>
    <w:basedOn w:val="Normal"/>
    <w:rsid w:val="006E4BB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top"/>
    </w:pPr>
    <w:rPr>
      <w:rFonts w:ascii="Arial Narrow" w:eastAsia="Times New Roman" w:hAnsi="Arial Narrow" w:cs="Times New Roman"/>
      <w:color w:val="000000"/>
      <w:sz w:val="20"/>
      <w:szCs w:val="20"/>
      <w:lang w:eastAsia="es-MX"/>
    </w:rPr>
  </w:style>
  <w:style w:type="paragraph" w:customStyle="1" w:styleId="xl79">
    <w:name w:val="xl79"/>
    <w:basedOn w:val="Normal"/>
    <w:rsid w:val="006E4BB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0">
    <w:name w:val="xl80"/>
    <w:basedOn w:val="Normal"/>
    <w:rsid w:val="006E4B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top"/>
    </w:pPr>
    <w:rPr>
      <w:rFonts w:ascii="Arial Narrow" w:eastAsia="Times New Roman" w:hAnsi="Arial Narrow" w:cs="Times New Roman"/>
      <w:color w:val="000000"/>
      <w:sz w:val="20"/>
      <w:szCs w:val="20"/>
      <w:lang w:eastAsia="es-MX"/>
    </w:rPr>
  </w:style>
  <w:style w:type="paragraph" w:customStyle="1" w:styleId="xl81">
    <w:name w:val="xl81"/>
    <w:basedOn w:val="Normal"/>
    <w:rsid w:val="006E4B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2">
    <w:name w:val="xl82"/>
    <w:basedOn w:val="Normal"/>
    <w:rsid w:val="006E4BB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Arial Narrow" w:eastAsia="Times New Roman" w:hAnsi="Arial Narrow" w:cs="Times New Roman"/>
      <w:color w:val="000000"/>
      <w:sz w:val="20"/>
      <w:szCs w:val="20"/>
      <w:lang w:eastAsia="es-MX"/>
    </w:rPr>
  </w:style>
  <w:style w:type="paragraph" w:customStyle="1" w:styleId="xl83">
    <w:name w:val="xl83"/>
    <w:basedOn w:val="Normal"/>
    <w:rsid w:val="006E4BB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4">
    <w:name w:val="xl84"/>
    <w:basedOn w:val="Normal"/>
    <w:rsid w:val="006E4B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styleId="TtuloTDC">
    <w:name w:val="TOC Heading"/>
    <w:basedOn w:val="Ttulo1"/>
    <w:next w:val="Normal"/>
    <w:uiPriority w:val="39"/>
    <w:unhideWhenUsed/>
    <w:qFormat/>
    <w:rsid w:val="002863E8"/>
    <w:pPr>
      <w:outlineLvl w:val="9"/>
    </w:pPr>
    <w:rPr>
      <w:lang w:eastAsia="es-MX"/>
    </w:rPr>
  </w:style>
  <w:style w:type="paragraph" w:styleId="TDC1">
    <w:name w:val="toc 1"/>
    <w:basedOn w:val="Normal"/>
    <w:next w:val="Normal"/>
    <w:autoRedefine/>
    <w:uiPriority w:val="39"/>
    <w:unhideWhenUsed/>
    <w:qFormat/>
    <w:rsid w:val="002863E8"/>
    <w:pPr>
      <w:spacing w:after="100"/>
    </w:pPr>
  </w:style>
  <w:style w:type="paragraph" w:styleId="TDC2">
    <w:name w:val="toc 2"/>
    <w:basedOn w:val="Normal"/>
    <w:next w:val="Normal"/>
    <w:autoRedefine/>
    <w:uiPriority w:val="39"/>
    <w:unhideWhenUsed/>
    <w:qFormat/>
    <w:rsid w:val="00D30470"/>
    <w:pPr>
      <w:numPr>
        <w:numId w:val="30"/>
      </w:numPr>
      <w:tabs>
        <w:tab w:val="left" w:pos="1924"/>
        <w:tab w:val="right" w:leader="dot" w:pos="8828"/>
      </w:tabs>
      <w:spacing w:after="100"/>
    </w:pPr>
    <w:rPr>
      <w:rFonts w:ascii="Arial" w:hAnsi="Arial" w:cs="Arial"/>
      <w:noProof/>
    </w:rPr>
  </w:style>
  <w:style w:type="paragraph" w:styleId="TDC3">
    <w:name w:val="toc 3"/>
    <w:basedOn w:val="Normal"/>
    <w:next w:val="Normal"/>
    <w:autoRedefine/>
    <w:uiPriority w:val="39"/>
    <w:unhideWhenUsed/>
    <w:qFormat/>
    <w:rsid w:val="00D30470"/>
    <w:pPr>
      <w:numPr>
        <w:numId w:val="31"/>
      </w:numPr>
      <w:tabs>
        <w:tab w:val="left" w:pos="1924"/>
        <w:tab w:val="right" w:leader="dot" w:pos="8828"/>
      </w:tabs>
      <w:spacing w:after="100"/>
    </w:pPr>
  </w:style>
  <w:style w:type="table" w:styleId="Tablanormal3">
    <w:name w:val="Plain Table 3"/>
    <w:basedOn w:val="Tablanormal"/>
    <w:uiPriority w:val="43"/>
    <w:rsid w:val="00B10C8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Encabezado">
    <w:name w:val="header"/>
    <w:basedOn w:val="Normal"/>
    <w:link w:val="EncabezadoCar"/>
    <w:uiPriority w:val="99"/>
    <w:unhideWhenUsed/>
    <w:rsid w:val="008A3A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3AB5"/>
  </w:style>
  <w:style w:type="paragraph" w:styleId="Piedepgina">
    <w:name w:val="footer"/>
    <w:basedOn w:val="Normal"/>
    <w:link w:val="PiedepginaCar"/>
    <w:uiPriority w:val="99"/>
    <w:unhideWhenUsed/>
    <w:rsid w:val="008A3A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3AB5"/>
  </w:style>
  <w:style w:type="table" w:customStyle="1" w:styleId="TableNormal">
    <w:name w:val="Table Normal"/>
    <w:uiPriority w:val="2"/>
    <w:semiHidden/>
    <w:qFormat/>
    <w:rsid w:val="00D4189D"/>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Tablaconcuadrcula">
    <w:name w:val="Table Grid"/>
    <w:basedOn w:val="Tablanormal"/>
    <w:uiPriority w:val="39"/>
    <w:rsid w:val="00FC4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7C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7C55"/>
    <w:rPr>
      <w:rFonts w:ascii="Segoe UI" w:hAnsi="Segoe UI" w:cs="Segoe UI"/>
      <w:sz w:val="18"/>
      <w:szCs w:val="18"/>
    </w:rPr>
  </w:style>
  <w:style w:type="paragraph" w:styleId="Descripcin">
    <w:name w:val="caption"/>
    <w:basedOn w:val="Normal"/>
    <w:next w:val="Normal"/>
    <w:uiPriority w:val="35"/>
    <w:unhideWhenUsed/>
    <w:qFormat/>
    <w:rsid w:val="005E3D70"/>
    <w:pPr>
      <w:spacing w:after="200" w:line="240" w:lineRule="auto"/>
    </w:pPr>
    <w:rPr>
      <w:i/>
      <w:iCs/>
      <w:color w:val="44546A" w:themeColor="text2"/>
      <w:sz w:val="18"/>
      <w:szCs w:val="18"/>
    </w:rPr>
  </w:style>
  <w:style w:type="table" w:customStyle="1" w:styleId="Tabladelista3-nfasis41">
    <w:name w:val="Tabla de lista 3 - Énfasis 41"/>
    <w:basedOn w:val="Tablanormal"/>
    <w:next w:val="Tabladelista3-nfasis4"/>
    <w:uiPriority w:val="48"/>
    <w:rsid w:val="00B103B0"/>
    <w:pPr>
      <w:spacing w:after="0" w:line="240" w:lineRule="auto"/>
    </w:pPr>
    <w:tblPr>
      <w:tblStyleRowBandSize w:val="1"/>
      <w:tblStyleColBandSize w:val="1"/>
      <w:tblBorders>
        <w:top w:val="single" w:sz="4" w:space="0" w:color="5AA6C0"/>
        <w:left w:val="single" w:sz="4" w:space="0" w:color="5AA6C0"/>
        <w:bottom w:val="single" w:sz="4" w:space="0" w:color="5AA6C0"/>
        <w:right w:val="single" w:sz="4" w:space="0" w:color="5AA6C0"/>
      </w:tblBorders>
    </w:tblPr>
    <w:tblStylePr w:type="firstRow">
      <w:rPr>
        <w:b/>
        <w:bCs/>
        <w:color w:val="FFFFFF"/>
      </w:rPr>
      <w:tblPr/>
      <w:tcPr>
        <w:shd w:val="clear" w:color="auto" w:fill="5AA6C0"/>
      </w:tcPr>
    </w:tblStylePr>
    <w:tblStylePr w:type="lastRow">
      <w:rPr>
        <w:b/>
        <w:bCs/>
      </w:rPr>
      <w:tblPr/>
      <w:tcPr>
        <w:tcBorders>
          <w:top w:val="double" w:sz="4" w:space="0" w:color="5AA6C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6C0"/>
          <w:right w:val="single" w:sz="4" w:space="0" w:color="5AA6C0"/>
        </w:tcBorders>
      </w:tcPr>
    </w:tblStylePr>
    <w:tblStylePr w:type="band1Horz">
      <w:tblPr/>
      <w:tcPr>
        <w:tcBorders>
          <w:top w:val="single" w:sz="4" w:space="0" w:color="5AA6C0"/>
          <w:bottom w:val="single" w:sz="4" w:space="0" w:color="5AA6C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left w:val="nil"/>
        </w:tcBorders>
      </w:tcPr>
    </w:tblStylePr>
    <w:tblStylePr w:type="swCell">
      <w:tblPr/>
      <w:tcPr>
        <w:tcBorders>
          <w:top w:val="double" w:sz="4" w:space="0" w:color="5AA6C0"/>
          <w:right w:val="nil"/>
        </w:tcBorders>
      </w:tcPr>
    </w:tblStylePr>
  </w:style>
  <w:style w:type="table" w:styleId="Tabladelista3-nfasis4">
    <w:name w:val="List Table 3 Accent 4"/>
    <w:basedOn w:val="Tablanormal"/>
    <w:uiPriority w:val="48"/>
    <w:rsid w:val="00B103B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Ttulo5Car">
    <w:name w:val="Título 5 Car"/>
    <w:basedOn w:val="Fuentedeprrafopredeter"/>
    <w:link w:val="Ttulo5"/>
    <w:uiPriority w:val="1"/>
    <w:rsid w:val="00E37D56"/>
    <w:rPr>
      <w:rFonts w:ascii="Arial" w:eastAsia="Arial" w:hAnsi="Arial" w:cs="Arial"/>
      <w:b/>
      <w:bCs/>
      <w:i/>
      <w:sz w:val="24"/>
      <w:szCs w:val="24"/>
      <w:lang w:val="es-ES" w:eastAsia="es-ES" w:bidi="es-ES"/>
    </w:rPr>
  </w:style>
  <w:style w:type="numbering" w:customStyle="1" w:styleId="Sinlista1">
    <w:name w:val="Sin lista1"/>
    <w:next w:val="Sinlista"/>
    <w:uiPriority w:val="99"/>
    <w:semiHidden/>
    <w:unhideWhenUsed/>
    <w:rsid w:val="00E37D56"/>
  </w:style>
  <w:style w:type="table" w:customStyle="1" w:styleId="Tablanormal31">
    <w:name w:val="Tabla normal 31"/>
    <w:basedOn w:val="Tablanormal"/>
    <w:next w:val="Tablanormal3"/>
    <w:uiPriority w:val="43"/>
    <w:rsid w:val="00E37D56"/>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1">
    <w:name w:val="Tabla con cuadrícula1"/>
    <w:basedOn w:val="Tablanormal"/>
    <w:next w:val="Tablaconcuadrcula"/>
    <w:uiPriority w:val="39"/>
    <w:rsid w:val="00E37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tulo1">
    <w:name w:val="Subtítulo1"/>
    <w:basedOn w:val="Normal"/>
    <w:next w:val="Normal"/>
    <w:uiPriority w:val="11"/>
    <w:qFormat/>
    <w:rsid w:val="00E37D56"/>
    <w:pPr>
      <w:numPr>
        <w:ilvl w:val="1"/>
      </w:numPr>
    </w:pPr>
    <w:rPr>
      <w:rFonts w:eastAsia="Times New Roman"/>
      <w:color w:val="5A5A5A"/>
      <w:spacing w:val="15"/>
    </w:rPr>
  </w:style>
  <w:style w:type="character" w:customStyle="1" w:styleId="SubttuloCar">
    <w:name w:val="Subtítulo Car"/>
    <w:basedOn w:val="Fuentedeprrafopredeter"/>
    <w:link w:val="Subttulo"/>
    <w:uiPriority w:val="11"/>
    <w:rsid w:val="00E37D56"/>
    <w:rPr>
      <w:rFonts w:eastAsia="Times New Roman"/>
      <w:color w:val="5A5A5A"/>
      <w:spacing w:val="15"/>
    </w:rPr>
  </w:style>
  <w:style w:type="table" w:customStyle="1" w:styleId="Tablanormal51">
    <w:name w:val="Tabla normal 51"/>
    <w:basedOn w:val="Tablanormal"/>
    <w:next w:val="Tablanormal5"/>
    <w:uiPriority w:val="45"/>
    <w:rsid w:val="00E37D56"/>
    <w:pPr>
      <w:spacing w:after="0" w:line="240" w:lineRule="auto"/>
    </w:pPr>
    <w:tblPr>
      <w:tblStyleRowBandSize w:val="1"/>
      <w:tblStyleColBandSize w:val="1"/>
    </w:tblPr>
    <w:tblStylePr w:type="firstRow">
      <w:rPr>
        <w:rFonts w:ascii="Trebuchet MS" w:eastAsia="Times New Roman" w:hAnsi="Trebuchet MS" w:cs="Times New Roman"/>
        <w:i/>
        <w:iCs/>
        <w:sz w:val="26"/>
      </w:rPr>
      <w:tblPr/>
      <w:tcPr>
        <w:tcBorders>
          <w:bottom w:val="single" w:sz="4" w:space="0" w:color="7F7F7F"/>
        </w:tcBorders>
        <w:shd w:val="clear" w:color="auto" w:fill="FFFFFF"/>
      </w:tcPr>
    </w:tblStylePr>
    <w:tblStylePr w:type="lastRow">
      <w:rPr>
        <w:rFonts w:ascii="Trebuchet MS" w:eastAsia="Times New Roman" w:hAnsi="Trebuchet MS" w:cs="Times New Roman"/>
        <w:i/>
        <w:iCs/>
        <w:sz w:val="26"/>
      </w:rPr>
      <w:tblPr/>
      <w:tcPr>
        <w:tcBorders>
          <w:top w:val="single" w:sz="4" w:space="0" w:color="7F7F7F"/>
        </w:tcBorders>
        <w:shd w:val="clear" w:color="auto" w:fill="FFFFFF"/>
      </w:tcPr>
    </w:tblStylePr>
    <w:tblStylePr w:type="firstCol">
      <w:pPr>
        <w:jc w:val="right"/>
      </w:pPr>
      <w:rPr>
        <w:rFonts w:ascii="Trebuchet MS" w:eastAsia="Times New Roman" w:hAnsi="Trebuchet MS" w:cs="Times New Roman"/>
        <w:i/>
        <w:iCs/>
        <w:sz w:val="26"/>
      </w:rPr>
      <w:tblPr/>
      <w:tcPr>
        <w:tcBorders>
          <w:right w:val="single" w:sz="4" w:space="0" w:color="7F7F7F"/>
        </w:tcBorders>
        <w:shd w:val="clear" w:color="auto" w:fill="FFFFFF"/>
      </w:tcPr>
    </w:tblStylePr>
    <w:tblStylePr w:type="lastCol">
      <w:rPr>
        <w:rFonts w:ascii="Trebuchet MS" w:eastAsia="Times New Roman" w:hAnsi="Trebuchet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
    <w:name w:val="Tabla normal 41"/>
    <w:basedOn w:val="Tablanormal"/>
    <w:next w:val="Tablanormal4"/>
    <w:uiPriority w:val="44"/>
    <w:rsid w:val="00E37D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
    <w:name w:val="Tabla normal 21"/>
    <w:basedOn w:val="Tablanormal"/>
    <w:next w:val="Tablanormal2"/>
    <w:uiPriority w:val="42"/>
    <w:rsid w:val="00E37D5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1">
    <w:name w:val="Tabla normal 11"/>
    <w:basedOn w:val="Tablanormal"/>
    <w:next w:val="Tablanormal1"/>
    <w:uiPriority w:val="41"/>
    <w:rsid w:val="00E37D5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1">
    <w:name w:val="Cuadrícula de tabla clara1"/>
    <w:basedOn w:val="Tablanormal"/>
    <w:next w:val="Cuadrculadetablaclara"/>
    <w:uiPriority w:val="40"/>
    <w:rsid w:val="00E37D5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5oscura-nfasis31">
    <w:name w:val="Tabla de cuadrícula 5 oscura - Énfasis 31"/>
    <w:basedOn w:val="Tablanormal"/>
    <w:next w:val="Tabladecuadrcula5oscura-nfasis3"/>
    <w:uiPriority w:val="50"/>
    <w:rsid w:val="00E37D5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FE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F7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F7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F7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F73"/>
      </w:tcPr>
    </w:tblStylePr>
    <w:tblStylePr w:type="band1Vert">
      <w:tblPr/>
      <w:tcPr>
        <w:shd w:val="clear" w:color="auto" w:fill="B6DFC6"/>
      </w:tcPr>
    </w:tblStylePr>
    <w:tblStylePr w:type="band1Horz">
      <w:tblPr/>
      <w:tcPr>
        <w:shd w:val="clear" w:color="auto" w:fill="B6DFC6"/>
      </w:tcPr>
    </w:tblStylePr>
  </w:style>
  <w:style w:type="table" w:customStyle="1" w:styleId="Tabladecuadrcula3-nfasis31">
    <w:name w:val="Tabla de cuadrícula 3 - Énfasis 31"/>
    <w:basedOn w:val="Tablanormal"/>
    <w:next w:val="Tabladecuadrcula3-nfasis3"/>
    <w:uiPriority w:val="48"/>
    <w:rsid w:val="00E37D56"/>
    <w:pPr>
      <w:spacing w:after="0" w:line="240" w:lineRule="auto"/>
    </w:pPr>
    <w:tblPr>
      <w:tblStyleRowBandSize w:val="1"/>
      <w:tblStyleColBandSize w:val="1"/>
      <w:tblBorders>
        <w:top w:val="single" w:sz="4" w:space="0" w:color="91D0AA"/>
        <w:left w:val="single" w:sz="4" w:space="0" w:color="91D0AA"/>
        <w:bottom w:val="single" w:sz="4" w:space="0" w:color="91D0AA"/>
        <w:right w:val="single" w:sz="4" w:space="0" w:color="91D0AA"/>
        <w:insideH w:val="single" w:sz="4" w:space="0" w:color="91D0AA"/>
        <w:insideV w:val="single" w:sz="4" w:space="0" w:color="91D0A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FE2"/>
      </w:tcPr>
    </w:tblStylePr>
    <w:tblStylePr w:type="band1Horz">
      <w:tblPr/>
      <w:tcPr>
        <w:shd w:val="clear" w:color="auto" w:fill="DAEFE2"/>
      </w:tcPr>
    </w:tblStylePr>
    <w:tblStylePr w:type="neCell">
      <w:tblPr/>
      <w:tcPr>
        <w:tcBorders>
          <w:bottom w:val="single" w:sz="4" w:space="0" w:color="91D0AA"/>
        </w:tcBorders>
      </w:tcPr>
    </w:tblStylePr>
    <w:tblStylePr w:type="nwCell">
      <w:tblPr/>
      <w:tcPr>
        <w:tcBorders>
          <w:bottom w:val="single" w:sz="4" w:space="0" w:color="91D0AA"/>
        </w:tcBorders>
      </w:tcPr>
    </w:tblStylePr>
    <w:tblStylePr w:type="seCell">
      <w:tblPr/>
      <w:tcPr>
        <w:tcBorders>
          <w:top w:val="single" w:sz="4" w:space="0" w:color="91D0AA"/>
        </w:tcBorders>
      </w:tcPr>
    </w:tblStylePr>
    <w:tblStylePr w:type="swCell">
      <w:tblPr/>
      <w:tcPr>
        <w:tcBorders>
          <w:top w:val="single" w:sz="4" w:space="0" w:color="91D0AA"/>
        </w:tcBorders>
      </w:tcPr>
    </w:tblStylePr>
  </w:style>
  <w:style w:type="table" w:customStyle="1" w:styleId="Tabladelista7concolores-nfasis31">
    <w:name w:val="Tabla de lista 7 con colores - Énfasis 31"/>
    <w:basedOn w:val="Tablanormal"/>
    <w:next w:val="Tabladelista7concolores-nfasis3"/>
    <w:uiPriority w:val="52"/>
    <w:rsid w:val="00E37D56"/>
    <w:pPr>
      <w:spacing w:after="0" w:line="240" w:lineRule="auto"/>
    </w:pPr>
    <w:rPr>
      <w:color w:val="388256"/>
    </w:rPr>
    <w:tblPr>
      <w:tblStyleRowBandSize w:val="1"/>
      <w:tblStyleColBandSize w:val="1"/>
    </w:tblPr>
    <w:tblStylePr w:type="firstRow">
      <w:rPr>
        <w:rFonts w:ascii="Trebuchet MS" w:eastAsia="Times New Roman" w:hAnsi="Trebuchet MS" w:cs="Times New Roman"/>
        <w:i/>
        <w:iCs/>
        <w:sz w:val="26"/>
      </w:rPr>
      <w:tblPr/>
      <w:tcPr>
        <w:tcBorders>
          <w:bottom w:val="single" w:sz="4" w:space="0" w:color="4BAF73"/>
        </w:tcBorders>
        <w:shd w:val="clear" w:color="auto" w:fill="FFFFFF"/>
      </w:tcPr>
    </w:tblStylePr>
    <w:tblStylePr w:type="lastRow">
      <w:rPr>
        <w:rFonts w:ascii="Trebuchet MS" w:eastAsia="Times New Roman" w:hAnsi="Trebuchet MS" w:cs="Times New Roman"/>
        <w:i/>
        <w:iCs/>
        <w:sz w:val="26"/>
      </w:rPr>
      <w:tblPr/>
      <w:tcPr>
        <w:tcBorders>
          <w:top w:val="single" w:sz="4" w:space="0" w:color="4BAF73"/>
        </w:tcBorders>
        <w:shd w:val="clear" w:color="auto" w:fill="FFFFFF"/>
      </w:tcPr>
    </w:tblStylePr>
    <w:tblStylePr w:type="firstCol">
      <w:pPr>
        <w:jc w:val="right"/>
      </w:pPr>
      <w:rPr>
        <w:rFonts w:ascii="Trebuchet MS" w:eastAsia="Times New Roman" w:hAnsi="Trebuchet MS" w:cs="Times New Roman"/>
        <w:i/>
        <w:iCs/>
        <w:sz w:val="26"/>
      </w:rPr>
      <w:tblPr/>
      <w:tcPr>
        <w:tcBorders>
          <w:right w:val="single" w:sz="4" w:space="0" w:color="4BAF73"/>
        </w:tcBorders>
        <w:shd w:val="clear" w:color="auto" w:fill="FFFFFF"/>
      </w:tcPr>
    </w:tblStylePr>
    <w:tblStylePr w:type="lastCol">
      <w:rPr>
        <w:rFonts w:ascii="Trebuchet MS" w:eastAsia="Times New Roman" w:hAnsi="Trebuchet MS" w:cs="Times New Roman"/>
        <w:i/>
        <w:iCs/>
        <w:sz w:val="26"/>
      </w:rPr>
      <w:tblPr/>
      <w:tcPr>
        <w:tcBorders>
          <w:left w:val="single" w:sz="4" w:space="0" w:color="4BAF73"/>
        </w:tcBorders>
        <w:shd w:val="clear" w:color="auto" w:fill="FFFFFF"/>
      </w:tcPr>
    </w:tblStylePr>
    <w:tblStylePr w:type="band1Vert">
      <w:tblPr/>
      <w:tcPr>
        <w:shd w:val="clear" w:color="auto" w:fill="DAEFE2"/>
      </w:tcPr>
    </w:tblStylePr>
    <w:tblStylePr w:type="band1Horz">
      <w:tblPr/>
      <w:tcPr>
        <w:shd w:val="clear" w:color="auto" w:fill="DAEFE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4-nfasis31">
    <w:name w:val="Tabla de cuadrícula 4 - Énfasis 31"/>
    <w:basedOn w:val="Tablanormal"/>
    <w:next w:val="Tabladecuadrcula4-nfasis3"/>
    <w:uiPriority w:val="49"/>
    <w:rsid w:val="00E37D56"/>
    <w:pPr>
      <w:spacing w:after="0" w:line="240" w:lineRule="auto"/>
    </w:pPr>
    <w:tblPr>
      <w:tblStyleRowBandSize w:val="1"/>
      <w:tblStyleColBandSize w:val="1"/>
      <w:tblBorders>
        <w:top w:val="single" w:sz="4" w:space="0" w:color="91D0AA"/>
        <w:left w:val="single" w:sz="4" w:space="0" w:color="91D0AA"/>
        <w:bottom w:val="single" w:sz="4" w:space="0" w:color="91D0AA"/>
        <w:right w:val="single" w:sz="4" w:space="0" w:color="91D0AA"/>
        <w:insideH w:val="single" w:sz="4" w:space="0" w:color="91D0AA"/>
        <w:insideV w:val="single" w:sz="4" w:space="0" w:color="91D0AA"/>
      </w:tblBorders>
    </w:tblPr>
    <w:tblStylePr w:type="firstRow">
      <w:rPr>
        <w:b/>
        <w:bCs/>
        <w:color w:val="FFFFFF"/>
      </w:rPr>
      <w:tblPr/>
      <w:tcPr>
        <w:tcBorders>
          <w:top w:val="single" w:sz="4" w:space="0" w:color="4BAF73"/>
          <w:left w:val="single" w:sz="4" w:space="0" w:color="4BAF73"/>
          <w:bottom w:val="single" w:sz="4" w:space="0" w:color="4BAF73"/>
          <w:right w:val="single" w:sz="4" w:space="0" w:color="4BAF73"/>
          <w:insideH w:val="nil"/>
          <w:insideV w:val="nil"/>
        </w:tcBorders>
        <w:shd w:val="clear" w:color="auto" w:fill="4BAF73"/>
      </w:tcPr>
    </w:tblStylePr>
    <w:tblStylePr w:type="lastRow">
      <w:rPr>
        <w:b/>
        <w:bCs/>
      </w:rPr>
      <w:tblPr/>
      <w:tcPr>
        <w:tcBorders>
          <w:top w:val="double" w:sz="4" w:space="0" w:color="4BAF73"/>
        </w:tcBorders>
      </w:tcPr>
    </w:tblStylePr>
    <w:tblStylePr w:type="firstCol">
      <w:rPr>
        <w:b/>
        <w:bCs/>
      </w:rPr>
    </w:tblStylePr>
    <w:tblStylePr w:type="lastCol">
      <w:rPr>
        <w:b/>
        <w:bCs/>
      </w:rPr>
    </w:tblStylePr>
    <w:tblStylePr w:type="band1Vert">
      <w:tblPr/>
      <w:tcPr>
        <w:shd w:val="clear" w:color="auto" w:fill="DAEFE2"/>
      </w:tcPr>
    </w:tblStylePr>
    <w:tblStylePr w:type="band1Horz">
      <w:tblPr/>
      <w:tcPr>
        <w:shd w:val="clear" w:color="auto" w:fill="DAEFE2"/>
      </w:tcPr>
    </w:tblStylePr>
  </w:style>
  <w:style w:type="table" w:customStyle="1" w:styleId="TableNormal1">
    <w:name w:val="Table Normal1"/>
    <w:uiPriority w:val="2"/>
    <w:semiHidden/>
    <w:qFormat/>
    <w:rsid w:val="00E37D56"/>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adecuadrcula2-nfasis31">
    <w:name w:val="Tabla de cuadrícula 2 - Énfasis 31"/>
    <w:basedOn w:val="Tablanormal"/>
    <w:next w:val="Tabladecuadrcula2-nfasis3"/>
    <w:uiPriority w:val="47"/>
    <w:rsid w:val="00E37D56"/>
    <w:pPr>
      <w:spacing w:after="0" w:line="240" w:lineRule="auto"/>
    </w:pPr>
    <w:tblPr>
      <w:tblStyleRowBandSize w:val="1"/>
      <w:tblStyleColBandSize w:val="1"/>
      <w:tblBorders>
        <w:top w:val="single" w:sz="2" w:space="0" w:color="91D0AA"/>
        <w:bottom w:val="single" w:sz="2" w:space="0" w:color="91D0AA"/>
        <w:insideH w:val="single" w:sz="2" w:space="0" w:color="91D0AA"/>
        <w:insideV w:val="single" w:sz="2" w:space="0" w:color="91D0AA"/>
      </w:tblBorders>
    </w:tblPr>
    <w:tblStylePr w:type="firstRow">
      <w:rPr>
        <w:b/>
        <w:bCs/>
      </w:rPr>
      <w:tblPr/>
      <w:tcPr>
        <w:tcBorders>
          <w:top w:val="nil"/>
          <w:bottom w:val="single" w:sz="12" w:space="0" w:color="91D0AA"/>
          <w:insideH w:val="nil"/>
          <w:insideV w:val="nil"/>
        </w:tcBorders>
        <w:shd w:val="clear" w:color="auto" w:fill="FFFFFF"/>
      </w:tcPr>
    </w:tblStylePr>
    <w:tblStylePr w:type="lastRow">
      <w:rPr>
        <w:b/>
        <w:bCs/>
      </w:rPr>
      <w:tblPr/>
      <w:tcPr>
        <w:tcBorders>
          <w:top w:val="double" w:sz="2" w:space="0" w:color="91D0A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FE2"/>
      </w:tcPr>
    </w:tblStylePr>
    <w:tblStylePr w:type="band1Horz">
      <w:tblPr/>
      <w:tcPr>
        <w:shd w:val="clear" w:color="auto" w:fill="DAEFE2"/>
      </w:tcPr>
    </w:tblStylePr>
  </w:style>
  <w:style w:type="paragraph" w:customStyle="1" w:styleId="Default">
    <w:name w:val="Default"/>
    <w:rsid w:val="00E37D56"/>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fontstyle21">
    <w:name w:val="fontstyle21"/>
    <w:rsid w:val="00E37D56"/>
    <w:rPr>
      <w:rFonts w:ascii="Arial" w:hAnsi="Arial" w:cs="Arial" w:hint="default"/>
      <w:b w:val="0"/>
      <w:bCs w:val="0"/>
      <w:i w:val="0"/>
      <w:iCs w:val="0"/>
      <w:color w:val="000000"/>
      <w:sz w:val="24"/>
      <w:szCs w:val="24"/>
    </w:rPr>
  </w:style>
  <w:style w:type="character" w:customStyle="1" w:styleId="hgkelc">
    <w:name w:val="hgkelc"/>
    <w:basedOn w:val="Fuentedeprrafopredeter"/>
    <w:rsid w:val="00E37D56"/>
  </w:style>
  <w:style w:type="paragraph" w:customStyle="1" w:styleId="xl63">
    <w:name w:val="xl63"/>
    <w:basedOn w:val="Normal"/>
    <w:rsid w:val="00E37D56"/>
    <w:pPr>
      <w:spacing w:before="100" w:beforeAutospacing="1" w:after="100" w:afterAutospacing="1" w:line="240" w:lineRule="auto"/>
    </w:pPr>
    <w:rPr>
      <w:rFonts w:ascii="Arial" w:eastAsia="Times New Roman" w:hAnsi="Arial" w:cs="Arial"/>
      <w:sz w:val="24"/>
      <w:szCs w:val="24"/>
      <w:lang w:eastAsia="es-MX"/>
    </w:rPr>
  </w:style>
  <w:style w:type="paragraph" w:customStyle="1" w:styleId="xl85">
    <w:name w:val="xl85"/>
    <w:basedOn w:val="Normal"/>
    <w:rsid w:val="00E37D56"/>
    <w:pPr>
      <w:pBdr>
        <w:top w:val="single" w:sz="4" w:space="0" w:color="AEAAAA"/>
        <w:left w:val="single" w:sz="4" w:space="0" w:color="AEAAAA"/>
        <w:right w:val="single" w:sz="4" w:space="0" w:color="AEAAAA"/>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6">
    <w:name w:val="xl86"/>
    <w:basedOn w:val="Normal"/>
    <w:rsid w:val="00E37D56"/>
    <w:pPr>
      <w:pBdr>
        <w:left w:val="single" w:sz="4" w:space="0" w:color="AEAAAA"/>
        <w:bottom w:val="single" w:sz="4" w:space="0" w:color="AEAAAA"/>
        <w:right w:val="single" w:sz="4" w:space="0" w:color="AEAAAA"/>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table" w:customStyle="1" w:styleId="Tablaconcuadrcula11">
    <w:name w:val="Tabla con cuadrícula11"/>
    <w:basedOn w:val="Tablanormal"/>
    <w:next w:val="Tablaconcuadrcula"/>
    <w:uiPriority w:val="39"/>
    <w:rsid w:val="00E37D5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uiPriority w:val="1"/>
    <w:qFormat/>
    <w:rsid w:val="00E37D56"/>
    <w:pPr>
      <w:widowControl w:val="0"/>
      <w:autoSpaceDE w:val="0"/>
      <w:autoSpaceDN w:val="0"/>
      <w:spacing w:before="98" w:after="0" w:line="240" w:lineRule="auto"/>
      <w:ind w:left="1924"/>
    </w:pPr>
    <w:rPr>
      <w:rFonts w:ascii="Arial" w:eastAsia="Arial" w:hAnsi="Arial" w:cs="Arial"/>
      <w:lang w:val="es-ES" w:eastAsia="es-ES" w:bidi="es-ES"/>
    </w:rPr>
  </w:style>
  <w:style w:type="paragraph" w:customStyle="1" w:styleId="Ttulo10">
    <w:name w:val="Título1"/>
    <w:basedOn w:val="Normal"/>
    <w:next w:val="Normal"/>
    <w:uiPriority w:val="10"/>
    <w:qFormat/>
    <w:rsid w:val="00E37D56"/>
    <w:pPr>
      <w:spacing w:after="0" w:line="240" w:lineRule="auto"/>
      <w:contextualSpacing/>
    </w:pPr>
    <w:rPr>
      <w:rFonts w:ascii="Trebuchet MS" w:eastAsia="Times New Roman" w:hAnsi="Trebuchet MS" w:cs="Times New Roman"/>
      <w:spacing w:val="-10"/>
      <w:kern w:val="28"/>
      <w:sz w:val="56"/>
      <w:szCs w:val="56"/>
    </w:rPr>
  </w:style>
  <w:style w:type="character" w:customStyle="1" w:styleId="TtuloCar">
    <w:name w:val="Título Car"/>
    <w:basedOn w:val="Fuentedeprrafopredeter"/>
    <w:link w:val="Ttulo"/>
    <w:uiPriority w:val="10"/>
    <w:rsid w:val="00E37D56"/>
    <w:rPr>
      <w:rFonts w:ascii="Trebuchet MS" w:eastAsia="Times New Roman" w:hAnsi="Trebuchet MS" w:cs="Times New Roman"/>
      <w:spacing w:val="-10"/>
      <w:kern w:val="28"/>
      <w:sz w:val="56"/>
      <w:szCs w:val="56"/>
    </w:rPr>
  </w:style>
  <w:style w:type="paragraph" w:customStyle="1" w:styleId="NormalWeb1">
    <w:name w:val="Normal (Web)1"/>
    <w:basedOn w:val="Normal"/>
    <w:next w:val="NormalWeb"/>
    <w:uiPriority w:val="99"/>
    <w:semiHidden/>
    <w:unhideWhenUsed/>
    <w:rsid w:val="00E37D5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E37D56"/>
    <w:rPr>
      <w:i/>
      <w:iCs/>
    </w:rPr>
  </w:style>
  <w:style w:type="table" w:customStyle="1" w:styleId="Tabladecuadrcula4-nfasis61">
    <w:name w:val="Tabla de cuadrícula 4 - Énfasis 61"/>
    <w:basedOn w:val="Tablanormal"/>
    <w:next w:val="Tabladecuadrcula4-nfasis6"/>
    <w:uiPriority w:val="49"/>
    <w:rsid w:val="00E37D56"/>
    <w:pPr>
      <w:spacing w:after="0" w:line="240" w:lineRule="auto"/>
    </w:pPr>
    <w:tblPr>
      <w:tblStyleRowBandSize w:val="1"/>
      <w:tblStyleColBandSize w:val="1"/>
      <w:tblBorders>
        <w:top w:val="single" w:sz="4" w:space="0" w:color="FCB19D"/>
        <w:left w:val="single" w:sz="4" w:space="0" w:color="FCB19D"/>
        <w:bottom w:val="single" w:sz="4" w:space="0" w:color="FCB19D"/>
        <w:right w:val="single" w:sz="4" w:space="0" w:color="FCB19D"/>
        <w:insideH w:val="single" w:sz="4" w:space="0" w:color="FCB19D"/>
        <w:insideV w:val="single" w:sz="4" w:space="0" w:color="FCB19D"/>
      </w:tblBorders>
    </w:tblPr>
    <w:tblStylePr w:type="firstRow">
      <w:rPr>
        <w:b/>
        <w:bCs/>
        <w:color w:val="FFFFFF"/>
      </w:rPr>
      <w:tblPr/>
      <w:tcPr>
        <w:tcBorders>
          <w:top w:val="single" w:sz="4" w:space="0" w:color="FA7E5C"/>
          <w:left w:val="single" w:sz="4" w:space="0" w:color="FA7E5C"/>
          <w:bottom w:val="single" w:sz="4" w:space="0" w:color="FA7E5C"/>
          <w:right w:val="single" w:sz="4" w:space="0" w:color="FA7E5C"/>
          <w:insideH w:val="nil"/>
          <w:insideV w:val="nil"/>
        </w:tcBorders>
        <w:shd w:val="clear" w:color="auto" w:fill="FA7E5C"/>
      </w:tcPr>
    </w:tblStylePr>
    <w:tblStylePr w:type="lastRow">
      <w:rPr>
        <w:b/>
        <w:bCs/>
      </w:rPr>
      <w:tblPr/>
      <w:tcPr>
        <w:tcBorders>
          <w:top w:val="double" w:sz="4" w:space="0" w:color="FA7E5C"/>
        </w:tcBorders>
      </w:tcPr>
    </w:tblStylePr>
    <w:tblStylePr w:type="firstCol">
      <w:rPr>
        <w:b/>
        <w:bCs/>
      </w:rPr>
    </w:tblStylePr>
    <w:tblStylePr w:type="lastCol">
      <w:rPr>
        <w:b/>
        <w:bCs/>
      </w:rPr>
    </w:tblStylePr>
    <w:tblStylePr w:type="band1Vert">
      <w:tblPr/>
      <w:tcPr>
        <w:shd w:val="clear" w:color="auto" w:fill="FEE5DE"/>
      </w:tcPr>
    </w:tblStylePr>
    <w:tblStylePr w:type="band1Horz">
      <w:tblPr/>
      <w:tcPr>
        <w:shd w:val="clear" w:color="auto" w:fill="FEE5DE"/>
      </w:tcPr>
    </w:tblStylePr>
  </w:style>
  <w:style w:type="table" w:customStyle="1" w:styleId="Tabladelista3-nfasis42">
    <w:name w:val="Tabla de lista 3 - Énfasis 42"/>
    <w:basedOn w:val="Tablanormal"/>
    <w:next w:val="Tabladelista3-nfasis4"/>
    <w:uiPriority w:val="48"/>
    <w:rsid w:val="00E37D56"/>
    <w:pPr>
      <w:spacing w:after="0" w:line="240" w:lineRule="auto"/>
    </w:pPr>
    <w:tblPr>
      <w:tblStyleRowBandSize w:val="1"/>
      <w:tblStyleColBandSize w:val="1"/>
      <w:tblBorders>
        <w:top w:val="single" w:sz="4" w:space="0" w:color="5AA6C0"/>
        <w:left w:val="single" w:sz="4" w:space="0" w:color="5AA6C0"/>
        <w:bottom w:val="single" w:sz="4" w:space="0" w:color="5AA6C0"/>
        <w:right w:val="single" w:sz="4" w:space="0" w:color="5AA6C0"/>
      </w:tblBorders>
    </w:tblPr>
    <w:tblStylePr w:type="firstRow">
      <w:rPr>
        <w:b/>
        <w:bCs/>
        <w:color w:val="FFFFFF"/>
      </w:rPr>
      <w:tblPr/>
      <w:tcPr>
        <w:shd w:val="clear" w:color="auto" w:fill="5AA6C0"/>
      </w:tcPr>
    </w:tblStylePr>
    <w:tblStylePr w:type="lastRow">
      <w:rPr>
        <w:b/>
        <w:bCs/>
      </w:rPr>
      <w:tblPr/>
      <w:tcPr>
        <w:tcBorders>
          <w:top w:val="double" w:sz="4" w:space="0" w:color="5AA6C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6C0"/>
          <w:right w:val="single" w:sz="4" w:space="0" w:color="5AA6C0"/>
        </w:tcBorders>
      </w:tcPr>
    </w:tblStylePr>
    <w:tblStylePr w:type="band1Horz">
      <w:tblPr/>
      <w:tcPr>
        <w:tcBorders>
          <w:top w:val="single" w:sz="4" w:space="0" w:color="5AA6C0"/>
          <w:bottom w:val="single" w:sz="4" w:space="0" w:color="5AA6C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left w:val="nil"/>
        </w:tcBorders>
      </w:tcPr>
    </w:tblStylePr>
    <w:tblStylePr w:type="swCell">
      <w:tblPr/>
      <w:tcPr>
        <w:tcBorders>
          <w:top w:val="double" w:sz="4" w:space="0" w:color="5AA6C0"/>
          <w:right w:val="nil"/>
        </w:tcBorders>
      </w:tcPr>
    </w:tblStylePr>
  </w:style>
  <w:style w:type="character" w:styleId="Refdecomentario">
    <w:name w:val="annotation reference"/>
    <w:basedOn w:val="Fuentedeprrafopredeter"/>
    <w:uiPriority w:val="99"/>
    <w:semiHidden/>
    <w:unhideWhenUsed/>
    <w:rsid w:val="00E37D56"/>
    <w:rPr>
      <w:sz w:val="16"/>
      <w:szCs w:val="16"/>
    </w:rPr>
  </w:style>
  <w:style w:type="paragraph" w:customStyle="1" w:styleId="Textocomentario1">
    <w:name w:val="Texto comentario1"/>
    <w:basedOn w:val="Normal"/>
    <w:next w:val="Textocomentario"/>
    <w:link w:val="TextocomentarioCar"/>
    <w:uiPriority w:val="99"/>
    <w:semiHidden/>
    <w:unhideWhenUsed/>
    <w:rsid w:val="00E37D56"/>
    <w:pPr>
      <w:spacing w:line="240" w:lineRule="auto"/>
    </w:pPr>
    <w:rPr>
      <w:sz w:val="20"/>
      <w:szCs w:val="20"/>
    </w:rPr>
  </w:style>
  <w:style w:type="character" w:customStyle="1" w:styleId="TextocomentarioCar">
    <w:name w:val="Texto comentario Car"/>
    <w:basedOn w:val="Fuentedeprrafopredeter"/>
    <w:link w:val="Textocomentario1"/>
    <w:uiPriority w:val="99"/>
    <w:semiHidden/>
    <w:rsid w:val="00E37D56"/>
    <w:rPr>
      <w:sz w:val="20"/>
      <w:szCs w:val="20"/>
    </w:rPr>
  </w:style>
  <w:style w:type="paragraph" w:customStyle="1" w:styleId="Asuntodelcomentario1">
    <w:name w:val="Asunto del comentario1"/>
    <w:basedOn w:val="Textocomentario"/>
    <w:next w:val="Textocomentario"/>
    <w:uiPriority w:val="99"/>
    <w:semiHidden/>
    <w:unhideWhenUsed/>
    <w:rsid w:val="00E37D56"/>
    <w:rPr>
      <w:b/>
      <w:bCs/>
    </w:rPr>
  </w:style>
  <w:style w:type="character" w:customStyle="1" w:styleId="AsuntodelcomentarioCar">
    <w:name w:val="Asunto del comentario Car"/>
    <w:basedOn w:val="TextocomentarioCar"/>
    <w:link w:val="Asuntodelcomentario"/>
    <w:uiPriority w:val="99"/>
    <w:semiHidden/>
    <w:rsid w:val="00E37D56"/>
    <w:rPr>
      <w:b/>
      <w:bCs/>
      <w:sz w:val="20"/>
      <w:szCs w:val="20"/>
    </w:rPr>
  </w:style>
  <w:style w:type="paragraph" w:customStyle="1" w:styleId="Textonotapie1">
    <w:name w:val="Texto nota pie1"/>
    <w:basedOn w:val="Normal"/>
    <w:next w:val="Textonotapie"/>
    <w:link w:val="TextonotapieCar"/>
    <w:uiPriority w:val="99"/>
    <w:semiHidden/>
    <w:unhideWhenUsed/>
    <w:rsid w:val="00E37D56"/>
    <w:pPr>
      <w:spacing w:after="0" w:line="240" w:lineRule="auto"/>
    </w:pPr>
    <w:rPr>
      <w:sz w:val="20"/>
      <w:szCs w:val="20"/>
    </w:rPr>
  </w:style>
  <w:style w:type="character" w:customStyle="1" w:styleId="TextonotapieCar">
    <w:name w:val="Texto nota pie Car"/>
    <w:basedOn w:val="Fuentedeprrafopredeter"/>
    <w:link w:val="Textonotapie1"/>
    <w:uiPriority w:val="99"/>
    <w:semiHidden/>
    <w:rsid w:val="00E37D56"/>
    <w:rPr>
      <w:sz w:val="20"/>
      <w:szCs w:val="20"/>
    </w:rPr>
  </w:style>
  <w:style w:type="character" w:styleId="Refdenotaalpie">
    <w:name w:val="footnote reference"/>
    <w:basedOn w:val="Fuentedeprrafopredeter"/>
    <w:uiPriority w:val="99"/>
    <w:semiHidden/>
    <w:unhideWhenUsed/>
    <w:rsid w:val="00E37D56"/>
    <w:rPr>
      <w:vertAlign w:val="superscript"/>
    </w:rPr>
  </w:style>
  <w:style w:type="paragraph" w:styleId="Subttulo">
    <w:name w:val="Subtitle"/>
    <w:basedOn w:val="Normal"/>
    <w:next w:val="Normal"/>
    <w:link w:val="SubttuloCar"/>
    <w:uiPriority w:val="11"/>
    <w:qFormat/>
    <w:rsid w:val="00E37D56"/>
    <w:pPr>
      <w:numPr>
        <w:ilvl w:val="1"/>
      </w:numPr>
    </w:pPr>
    <w:rPr>
      <w:rFonts w:eastAsia="Times New Roman"/>
      <w:color w:val="5A5A5A"/>
      <w:spacing w:val="15"/>
    </w:rPr>
  </w:style>
  <w:style w:type="character" w:customStyle="1" w:styleId="SubttuloCar1">
    <w:name w:val="Subtítulo Car1"/>
    <w:basedOn w:val="Fuentedeprrafopredeter"/>
    <w:uiPriority w:val="11"/>
    <w:rsid w:val="00E37D56"/>
    <w:rPr>
      <w:rFonts w:eastAsiaTheme="minorEastAsia"/>
      <w:color w:val="5A5A5A" w:themeColor="text1" w:themeTint="A5"/>
      <w:spacing w:val="15"/>
    </w:rPr>
  </w:style>
  <w:style w:type="table" w:styleId="Tablanormal5">
    <w:name w:val="Plain Table 5"/>
    <w:basedOn w:val="Tablanormal"/>
    <w:uiPriority w:val="45"/>
    <w:rsid w:val="00E37D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E37D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37D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E37D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5oscura-nfasis3">
    <w:name w:val="Grid Table 5 Dark Accent 3"/>
    <w:basedOn w:val="Tablanormal"/>
    <w:uiPriority w:val="50"/>
    <w:rsid w:val="00E37D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3-nfasis3">
    <w:name w:val="Grid Table 3 Accent 3"/>
    <w:basedOn w:val="Tablanormal"/>
    <w:uiPriority w:val="48"/>
    <w:rsid w:val="00E37D5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lista7concolores-nfasis3">
    <w:name w:val="List Table 7 Colorful Accent 3"/>
    <w:basedOn w:val="Tablanormal"/>
    <w:uiPriority w:val="52"/>
    <w:rsid w:val="00E37D56"/>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nfasis3">
    <w:name w:val="Grid Table 2 Accent 3"/>
    <w:basedOn w:val="Tablanormal"/>
    <w:uiPriority w:val="47"/>
    <w:rsid w:val="00E37D5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tulo">
    <w:name w:val="Title"/>
    <w:basedOn w:val="Normal"/>
    <w:next w:val="Normal"/>
    <w:link w:val="TtuloCar"/>
    <w:uiPriority w:val="10"/>
    <w:qFormat/>
    <w:rsid w:val="00E37D56"/>
    <w:pPr>
      <w:spacing w:after="0" w:line="240" w:lineRule="auto"/>
      <w:contextualSpacing/>
    </w:pPr>
    <w:rPr>
      <w:rFonts w:ascii="Trebuchet MS" w:eastAsia="Times New Roman" w:hAnsi="Trebuchet MS" w:cs="Times New Roman"/>
      <w:spacing w:val="-10"/>
      <w:kern w:val="28"/>
      <w:sz w:val="56"/>
      <w:szCs w:val="56"/>
    </w:rPr>
  </w:style>
  <w:style w:type="character" w:customStyle="1" w:styleId="TtuloCar1">
    <w:name w:val="Título Car1"/>
    <w:basedOn w:val="Fuentedeprrafopredeter"/>
    <w:uiPriority w:val="10"/>
    <w:rsid w:val="00E37D56"/>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E37D56"/>
    <w:rPr>
      <w:rFonts w:ascii="Times New Roman" w:hAnsi="Times New Roman" w:cs="Times New Roman"/>
      <w:sz w:val="24"/>
      <w:szCs w:val="24"/>
    </w:rPr>
  </w:style>
  <w:style w:type="table" w:styleId="Tabladecuadrcula4-nfasis6">
    <w:name w:val="Grid Table 4 Accent 6"/>
    <w:basedOn w:val="Tablanormal"/>
    <w:uiPriority w:val="49"/>
    <w:rsid w:val="00E37D5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comentario">
    <w:name w:val="annotation text"/>
    <w:basedOn w:val="Normal"/>
    <w:link w:val="TextocomentarioCar1"/>
    <w:uiPriority w:val="99"/>
    <w:semiHidden/>
    <w:unhideWhenUsed/>
    <w:rsid w:val="00E37D56"/>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E37D56"/>
    <w:rPr>
      <w:sz w:val="20"/>
      <w:szCs w:val="20"/>
    </w:rPr>
  </w:style>
  <w:style w:type="paragraph" w:styleId="Asuntodelcomentario">
    <w:name w:val="annotation subject"/>
    <w:basedOn w:val="Textocomentario"/>
    <w:next w:val="Textocomentario"/>
    <w:link w:val="AsuntodelcomentarioCar"/>
    <w:uiPriority w:val="99"/>
    <w:semiHidden/>
    <w:unhideWhenUsed/>
    <w:rsid w:val="00E37D56"/>
    <w:rPr>
      <w:b/>
      <w:bCs/>
    </w:rPr>
  </w:style>
  <w:style w:type="character" w:customStyle="1" w:styleId="AsuntodelcomentarioCar1">
    <w:name w:val="Asunto del comentario Car1"/>
    <w:basedOn w:val="TextocomentarioCar1"/>
    <w:uiPriority w:val="99"/>
    <w:semiHidden/>
    <w:rsid w:val="00E37D56"/>
    <w:rPr>
      <w:b/>
      <w:bCs/>
      <w:sz w:val="20"/>
      <w:szCs w:val="20"/>
    </w:rPr>
  </w:style>
  <w:style w:type="paragraph" w:styleId="Textonotapie">
    <w:name w:val="footnote text"/>
    <w:basedOn w:val="Normal"/>
    <w:link w:val="TextonotapieCar1"/>
    <w:uiPriority w:val="99"/>
    <w:semiHidden/>
    <w:unhideWhenUsed/>
    <w:rsid w:val="00E37D56"/>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E37D56"/>
    <w:rPr>
      <w:sz w:val="20"/>
      <w:szCs w:val="20"/>
    </w:rPr>
  </w:style>
  <w:style w:type="paragraph" w:styleId="Sinespaciado">
    <w:name w:val="No Spacing"/>
    <w:link w:val="SinespaciadoCar"/>
    <w:uiPriority w:val="1"/>
    <w:qFormat/>
    <w:rsid w:val="00AF6911"/>
    <w:pPr>
      <w:spacing w:after="0" w:line="240" w:lineRule="auto"/>
    </w:pPr>
  </w:style>
  <w:style w:type="table" w:styleId="Tabladelista3-nfasis3">
    <w:name w:val="List Table 3 Accent 3"/>
    <w:basedOn w:val="Tablanormal"/>
    <w:uiPriority w:val="48"/>
    <w:rsid w:val="0019433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19433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EXTONORMAL">
    <w:name w:val="TEXTO_NORMAL"/>
    <w:basedOn w:val="Normal"/>
    <w:qFormat/>
    <w:rsid w:val="0046336D"/>
    <w:pPr>
      <w:spacing w:after="120" w:line="250" w:lineRule="exact"/>
      <w:jc w:val="both"/>
    </w:pPr>
    <w:rPr>
      <w:rFonts w:ascii="Montserrat" w:eastAsia="Calibri" w:hAnsi="Montserrat" w:cs="Times New Roman"/>
      <w:sz w:val="18"/>
      <w:szCs w:val="18"/>
      <w:lang w:val="es-ES"/>
    </w:rPr>
  </w:style>
  <w:style w:type="paragraph" w:customStyle="1" w:styleId="VIETAFLECHA">
    <w:name w:val="VIÑETA_FLECHA"/>
    <w:basedOn w:val="TEXTONORMAL"/>
    <w:next w:val="TEXTONORMAL"/>
    <w:qFormat/>
    <w:rsid w:val="0046336D"/>
    <w:pPr>
      <w:numPr>
        <w:numId w:val="27"/>
      </w:numPr>
      <w:ind w:left="357" w:hanging="357"/>
    </w:pPr>
  </w:style>
  <w:style w:type="table" w:customStyle="1" w:styleId="Tablaconcuadrcula12">
    <w:name w:val="Tabla con cuadrícula12"/>
    <w:basedOn w:val="Tablanormal"/>
    <w:next w:val="Tablaconcuadrcula"/>
    <w:uiPriority w:val="39"/>
    <w:rsid w:val="0071261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542933"/>
  </w:style>
  <w:style w:type="table" w:customStyle="1" w:styleId="TableNormal2">
    <w:name w:val="Table Normal2"/>
    <w:uiPriority w:val="2"/>
    <w:semiHidden/>
    <w:unhideWhenUsed/>
    <w:qFormat/>
    <w:rsid w:val="005429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Cuadrculadetablaclara2">
    <w:name w:val="Cuadrícula de tabla clara2"/>
    <w:basedOn w:val="Tablanormal"/>
    <w:next w:val="Cuadrculadetablaclara"/>
    <w:uiPriority w:val="40"/>
    <w:rsid w:val="002573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2">
    <w:name w:val="Tabla de cuadrícula 4 - Énfasis 32"/>
    <w:basedOn w:val="Tablanormal"/>
    <w:next w:val="Tabladecuadrcula4-nfasis3"/>
    <w:uiPriority w:val="49"/>
    <w:rsid w:val="0025731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3">
    <w:name w:val="Tabla de cuadrícula 4 - Énfasis 33"/>
    <w:basedOn w:val="Tablanormal"/>
    <w:next w:val="Tabladecuadrcula4-nfasis3"/>
    <w:uiPriority w:val="49"/>
    <w:rsid w:val="001D451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SinespaciadoCar">
    <w:name w:val="Sin espaciado Car"/>
    <w:basedOn w:val="Fuentedeprrafopredeter"/>
    <w:link w:val="Sinespaciado"/>
    <w:uiPriority w:val="1"/>
    <w:rsid w:val="00D33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90390">
      <w:bodyDiv w:val="1"/>
      <w:marLeft w:val="0"/>
      <w:marRight w:val="0"/>
      <w:marTop w:val="0"/>
      <w:marBottom w:val="0"/>
      <w:divBdr>
        <w:top w:val="none" w:sz="0" w:space="0" w:color="auto"/>
        <w:left w:val="none" w:sz="0" w:space="0" w:color="auto"/>
        <w:bottom w:val="none" w:sz="0" w:space="0" w:color="auto"/>
        <w:right w:val="none" w:sz="0" w:space="0" w:color="auto"/>
      </w:divBdr>
    </w:div>
    <w:div w:id="173956909">
      <w:bodyDiv w:val="1"/>
      <w:marLeft w:val="0"/>
      <w:marRight w:val="0"/>
      <w:marTop w:val="0"/>
      <w:marBottom w:val="0"/>
      <w:divBdr>
        <w:top w:val="none" w:sz="0" w:space="0" w:color="auto"/>
        <w:left w:val="none" w:sz="0" w:space="0" w:color="auto"/>
        <w:bottom w:val="none" w:sz="0" w:space="0" w:color="auto"/>
        <w:right w:val="none" w:sz="0" w:space="0" w:color="auto"/>
      </w:divBdr>
    </w:div>
    <w:div w:id="281497040">
      <w:bodyDiv w:val="1"/>
      <w:marLeft w:val="0"/>
      <w:marRight w:val="0"/>
      <w:marTop w:val="0"/>
      <w:marBottom w:val="0"/>
      <w:divBdr>
        <w:top w:val="none" w:sz="0" w:space="0" w:color="auto"/>
        <w:left w:val="none" w:sz="0" w:space="0" w:color="auto"/>
        <w:bottom w:val="none" w:sz="0" w:space="0" w:color="auto"/>
        <w:right w:val="none" w:sz="0" w:space="0" w:color="auto"/>
      </w:divBdr>
    </w:div>
    <w:div w:id="523328725">
      <w:bodyDiv w:val="1"/>
      <w:marLeft w:val="0"/>
      <w:marRight w:val="0"/>
      <w:marTop w:val="0"/>
      <w:marBottom w:val="0"/>
      <w:divBdr>
        <w:top w:val="none" w:sz="0" w:space="0" w:color="auto"/>
        <w:left w:val="none" w:sz="0" w:space="0" w:color="auto"/>
        <w:bottom w:val="none" w:sz="0" w:space="0" w:color="auto"/>
        <w:right w:val="none" w:sz="0" w:space="0" w:color="auto"/>
      </w:divBdr>
    </w:div>
    <w:div w:id="1121462976">
      <w:bodyDiv w:val="1"/>
      <w:marLeft w:val="0"/>
      <w:marRight w:val="0"/>
      <w:marTop w:val="0"/>
      <w:marBottom w:val="0"/>
      <w:divBdr>
        <w:top w:val="none" w:sz="0" w:space="0" w:color="auto"/>
        <w:left w:val="none" w:sz="0" w:space="0" w:color="auto"/>
        <w:bottom w:val="none" w:sz="0" w:space="0" w:color="auto"/>
        <w:right w:val="none" w:sz="0" w:space="0" w:color="auto"/>
      </w:divBdr>
    </w:div>
    <w:div w:id="1320186722">
      <w:bodyDiv w:val="1"/>
      <w:marLeft w:val="0"/>
      <w:marRight w:val="0"/>
      <w:marTop w:val="0"/>
      <w:marBottom w:val="0"/>
      <w:divBdr>
        <w:top w:val="none" w:sz="0" w:space="0" w:color="auto"/>
        <w:left w:val="none" w:sz="0" w:space="0" w:color="auto"/>
        <w:bottom w:val="none" w:sz="0" w:space="0" w:color="auto"/>
        <w:right w:val="none" w:sz="0" w:space="0" w:color="auto"/>
      </w:divBdr>
      <w:divsChild>
        <w:div w:id="256910801">
          <w:marLeft w:val="0"/>
          <w:marRight w:val="0"/>
          <w:marTop w:val="0"/>
          <w:marBottom w:val="0"/>
          <w:divBdr>
            <w:top w:val="none" w:sz="0" w:space="0" w:color="auto"/>
            <w:left w:val="none" w:sz="0" w:space="0" w:color="auto"/>
            <w:bottom w:val="none" w:sz="0" w:space="0" w:color="auto"/>
            <w:right w:val="none" w:sz="0" w:space="0" w:color="auto"/>
          </w:divBdr>
        </w:div>
      </w:divsChild>
    </w:div>
    <w:div w:id="1846358868">
      <w:bodyDiv w:val="1"/>
      <w:marLeft w:val="0"/>
      <w:marRight w:val="0"/>
      <w:marTop w:val="0"/>
      <w:marBottom w:val="0"/>
      <w:divBdr>
        <w:top w:val="none" w:sz="0" w:space="0" w:color="auto"/>
        <w:left w:val="none" w:sz="0" w:space="0" w:color="auto"/>
        <w:bottom w:val="none" w:sz="0" w:space="0" w:color="auto"/>
        <w:right w:val="none" w:sz="0" w:space="0" w:color="auto"/>
      </w:divBdr>
    </w:div>
    <w:div w:id="206158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chart" Target="charts/chart5.xml"/><Relationship Id="rId42" Type="http://schemas.openxmlformats.org/officeDocument/2006/relationships/hyperlink" Target="http://www.sefiplan.qroo.gob.mx/sistemas/Cpublica/archivos/FG_29052021_CUENTA%20PUBLICA%20CAPA.pdf" TargetMode="External"/><Relationship Id="rId47" Type="http://schemas.openxmlformats.org/officeDocument/2006/relationships/hyperlink" Target="https://www.disciplinafinanciera.hacienda.gob.mx/es/DISCIPLINA_FINANCIERA/Entes_Publicos_Estatales_2022" TargetMode="External"/><Relationship Id="rId63" Type="http://schemas.openxmlformats.org/officeDocument/2006/relationships/image" Target="media/image13.png"/><Relationship Id="rId6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7.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chart" Target="charts/chart10.xml"/><Relationship Id="rId37" Type="http://schemas.openxmlformats.org/officeDocument/2006/relationships/header" Target="header5.xml"/><Relationship Id="rId40" Type="http://schemas.openxmlformats.org/officeDocument/2006/relationships/chart" Target="charts/chart16.xml"/><Relationship Id="rId45" Type="http://schemas.openxmlformats.org/officeDocument/2006/relationships/hyperlink" Target="https://www.disciplinafinanciera.hacienda.gob.mx/work/models/DISCIPLINA_FINANCIERA/Indicadores_de_Obligaciones/2022/4toTrimestre/01_01_4_trim_2022.xlsx" TargetMode="External"/><Relationship Id="rId53" Type="http://schemas.openxmlformats.org/officeDocument/2006/relationships/header" Target="header9.xml"/><Relationship Id="rId58" Type="http://schemas.openxmlformats.org/officeDocument/2006/relationships/footer" Target="footer10.xml"/><Relationship Id="rId66" Type="http://schemas.openxmlformats.org/officeDocument/2006/relationships/image" Target="media/image16.png"/><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11.jpg"/><Relationship Id="rId1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yperlink" Target="https://drive.google.com/file/d/1YoK3YMt3nYacTkBRrYkoPvAT-AS7PlF3/view" TargetMode="External"/><Relationship Id="rId48" Type="http://schemas.openxmlformats.org/officeDocument/2006/relationships/header" Target="header6.xml"/><Relationship Id="rId56" Type="http://schemas.openxmlformats.org/officeDocument/2006/relationships/footer" Target="footer9.xml"/><Relationship Id="rId64" Type="http://schemas.openxmlformats.org/officeDocument/2006/relationships/image" Target="media/image14.png"/><Relationship Id="rId69"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eader" Target="header8.xml"/><Relationship Id="rId72" Type="http://schemas.openxmlformats.org/officeDocument/2006/relationships/footer" Target="foot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chart" Target="charts/chart11.xml"/><Relationship Id="rId38" Type="http://schemas.openxmlformats.org/officeDocument/2006/relationships/footer" Target="footer5.xml"/><Relationship Id="rId46" Type="http://schemas.openxmlformats.org/officeDocument/2006/relationships/hyperlink" Target="https://www.disciplinafinanciera.hacienda.gob.mx/es/DISCIPLINA_FINANCIERA/Entidades_Federativas_2022" TargetMode="External"/><Relationship Id="rId59" Type="http://schemas.openxmlformats.org/officeDocument/2006/relationships/image" Target="media/image9.jpg"/><Relationship Id="rId67" Type="http://schemas.openxmlformats.org/officeDocument/2006/relationships/image" Target="media/image17.png"/><Relationship Id="rId20" Type="http://schemas.openxmlformats.org/officeDocument/2006/relationships/chart" Target="charts/chart4.xml"/><Relationship Id="rId41" Type="http://schemas.openxmlformats.org/officeDocument/2006/relationships/chart" Target="charts/chart17.xml"/><Relationship Id="rId54" Type="http://schemas.openxmlformats.org/officeDocument/2006/relationships/footer" Target="footer8.xml"/><Relationship Id="rId62" Type="http://schemas.openxmlformats.org/officeDocument/2006/relationships/image" Target="media/image12.jpeg"/><Relationship Id="rId70" Type="http://schemas.openxmlformats.org/officeDocument/2006/relationships/image" Target="media/image1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chart" Target="charts/chart14.xml"/><Relationship Id="rId49" Type="http://schemas.openxmlformats.org/officeDocument/2006/relationships/header" Target="header7.xml"/><Relationship Id="rId57" Type="http://schemas.openxmlformats.org/officeDocument/2006/relationships/header" Target="header11.xml"/><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hyperlink" Target="https://drive.google.com/file/d/1YoK3YMt3nYacTkBRrYkoPvAT-AS7PlF3/view" TargetMode="External"/><Relationship Id="rId52" Type="http://schemas.openxmlformats.org/officeDocument/2006/relationships/footer" Target="footer7.xml"/><Relationship Id="rId60" Type="http://schemas.openxmlformats.org/officeDocument/2006/relationships/image" Target="media/image10.jpg"/><Relationship Id="rId65" Type="http://schemas.openxmlformats.org/officeDocument/2006/relationships/image" Target="media/image1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chart" Target="charts/chart15.xml"/><Relationship Id="rId34" Type="http://schemas.openxmlformats.org/officeDocument/2006/relationships/chart" Target="charts/chart12.xml"/><Relationship Id="rId50" Type="http://schemas.openxmlformats.org/officeDocument/2006/relationships/footer" Target="footer6.xml"/><Relationship Id="rId55"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eader" Target="header1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71db37fb4f271b1/Documentos/grafic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rlin%20Mu&#241;oz\Documents\ASEQROO\Documentos%202023\Auditor&#237;as%202023\Informe%20General%20Ejecutivo%202023\Encuestas%20de%20Riesgos\Encuesta%20de%20Riesgos%20Materializados%20de%20Auditor&#237;a%20C.P.%202022%20(AN&#193;LISI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rlin%20Mu&#241;oz\Documents\ASEQROO\Documentos%202023\Auditor&#237;as%202023\Informe%20General%20Ejecutivo%202023\Encuestas%20de%20Riesgos\Encuesta%20de%20Riesgos%20Materializados%20de%20Auditor&#237;a%20C.P.%202022%20(AN&#193;LISI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rlin%20Mu&#241;oz\Documents\ASEQROO\Documentos%202023\Auditor&#237;as%202023\Informe%20General%20Ejecutivo%202023\Encuestas%20de%20Riesgos\Encuesta%20de%20Riesgos%20Materializados%20de%20Auditor&#237;a%20C.P.%202022%20(AN&#193;LISI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rlin%20Mu&#241;oz\Documents\ASEQROO\Documentos%202023\Auditor&#237;as%202023\Informe%20General%20Ejecutivo%202023\Encuestas%20de%20Riesgos\Encuesta%20de%20Riesgos%20Materializados%20de%20Auditor&#237;a%20C.P.%202022%20(AN&#193;LISI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rlin%20Mu&#241;oz\Documents\ASEQROO\Documentos%202023\Auditor&#237;as%202023\Informe%20General%20Ejecutivo%202023\Encuestas%20de%20Riesgos\Encuesta%20de%20Riesgos%20Materializados%20de%20Auditor&#237;a%20C.P.%202022%20(AN&#193;LISIS).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uan.batun\AppData\Local\Microsoft\Windows\INetCache\Content.Outlook\APXPQUCR\graficas%20(002).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71db37fb4f271b1/Documentos/grafic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871db37fb4f271b1/Documentos/grafica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871db37fb4f271b1/Documentos/grafic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871db37fb4f271b1/Documentos/grafica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871db37fb4f271b1/Documentos/grafic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rlin%20Mu&#241;oz\Documents\ASEQROO\Documentos%202023\Auditor&#237;as%202023\Informe%20General%20Ejecutivo%202023\Encuestas%20de%20Riesgos\Encuesta%20de%20Riesgos%20Materializados%20de%20Auditor&#237;a%20C.P.%202022%20(AN&#193;LISI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rlin%20Mu&#241;oz\Documents\ASEQROO\Documentos%202023\Auditor&#237;as%202023\Informe%20General%20Ejecutivo%202023\Encuestas%20de%20Riesgos\Encuesta%20de%20Riesgos%20Materializados%20de%20Auditor&#237;a%20C.P.%202022%20(AN&#193;LISI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rlin%20Mu&#241;oz\Documents\ASEQROO\Documentos%202023\Auditor&#237;as%202023\Informe%20General%20Ejecutivo%202023\Encuestas%20de%20Riesgos\Encuesta%20de%20Riesgos%20Materializados%20de%20Auditor&#237;a%20C.P.%202022%20(AN&#193;LI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400"/>
              <a:t>COMPARATIVO</a:t>
            </a:r>
            <a:r>
              <a:rPr lang="es-MX" sz="1400" baseline="0"/>
              <a:t> DE EJERCICIOS FISCALIZADOS</a:t>
            </a:r>
          </a:p>
          <a:p>
            <a:pPr>
              <a:defRPr/>
            </a:pPr>
            <a:r>
              <a:rPr lang="es-MX" sz="1400" baseline="0"/>
              <a:t>2017 - 2022</a:t>
            </a:r>
            <a:endParaRPr lang="es-MX" sz="1400"/>
          </a:p>
        </c:rich>
      </c:tx>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7.4798338598713862E-2"/>
          <c:y val="0.15167804736306842"/>
          <c:w val="0.9184127951419514"/>
          <c:h val="0.71315908989510846"/>
        </c:manualLayout>
      </c:layout>
      <c:barChart>
        <c:barDir val="col"/>
        <c:grouping val="clustered"/>
        <c:varyColors val="0"/>
        <c:ser>
          <c:idx val="0"/>
          <c:order val="0"/>
          <c:tx>
            <c:strRef>
              <c:f>comparativo!$B$4</c:f>
              <c:strCache>
                <c:ptCount val="1"/>
                <c:pt idx="0">
                  <c:v>Entes auditados</c:v>
                </c:pt>
              </c:strCache>
            </c:strRef>
          </c:tx>
          <c:spPr>
            <a:solidFill>
              <a:srgbClr val="800000"/>
            </a:solidFill>
            <a:ln>
              <a:noFill/>
            </a:ln>
            <a:effectLst/>
          </c:spPr>
          <c:invertIfNegative val="0"/>
          <c:cat>
            <c:numRef>
              <c:f>comparativo!$C$3:$H$3</c:f>
              <c:numCache>
                <c:formatCode>General</c:formatCode>
                <c:ptCount val="6"/>
                <c:pt idx="0">
                  <c:v>2022</c:v>
                </c:pt>
                <c:pt idx="1">
                  <c:v>2021</c:v>
                </c:pt>
                <c:pt idx="2">
                  <c:v>2020</c:v>
                </c:pt>
                <c:pt idx="3">
                  <c:v>2019</c:v>
                </c:pt>
                <c:pt idx="4">
                  <c:v>2018</c:v>
                </c:pt>
                <c:pt idx="5">
                  <c:v>2017</c:v>
                </c:pt>
              </c:numCache>
            </c:numRef>
          </c:cat>
          <c:val>
            <c:numRef>
              <c:f>comparativo!$C$4:$H$4</c:f>
              <c:numCache>
                <c:formatCode>General</c:formatCode>
                <c:ptCount val="6"/>
                <c:pt idx="0">
                  <c:v>101</c:v>
                </c:pt>
                <c:pt idx="1">
                  <c:v>101</c:v>
                </c:pt>
                <c:pt idx="2">
                  <c:v>101</c:v>
                </c:pt>
                <c:pt idx="3">
                  <c:v>102</c:v>
                </c:pt>
                <c:pt idx="4">
                  <c:v>104</c:v>
                </c:pt>
                <c:pt idx="5">
                  <c:v>101</c:v>
                </c:pt>
              </c:numCache>
            </c:numRef>
          </c:val>
          <c:extLst>
            <c:ext xmlns:c16="http://schemas.microsoft.com/office/drawing/2014/chart" uri="{C3380CC4-5D6E-409C-BE32-E72D297353CC}">
              <c16:uniqueId val="{00000000-B05A-45E6-B685-1E4E1A681D9D}"/>
            </c:ext>
          </c:extLst>
        </c:ser>
        <c:ser>
          <c:idx val="1"/>
          <c:order val="1"/>
          <c:tx>
            <c:strRef>
              <c:f>comparativo!$B$5</c:f>
              <c:strCache>
                <c:ptCount val="1"/>
                <c:pt idx="0">
                  <c:v>Auditorías realizadas</c:v>
                </c:pt>
              </c:strCache>
            </c:strRef>
          </c:tx>
          <c:spPr>
            <a:solidFill>
              <a:srgbClr val="2C451B"/>
            </a:solidFill>
            <a:ln>
              <a:noFill/>
            </a:ln>
            <a:effectLst/>
          </c:spPr>
          <c:invertIfNegative val="0"/>
          <c:cat>
            <c:numRef>
              <c:f>comparativo!$C$3:$H$3</c:f>
              <c:numCache>
                <c:formatCode>General</c:formatCode>
                <c:ptCount val="6"/>
                <c:pt idx="0">
                  <c:v>2022</c:v>
                </c:pt>
                <c:pt idx="1">
                  <c:v>2021</c:v>
                </c:pt>
                <c:pt idx="2">
                  <c:v>2020</c:v>
                </c:pt>
                <c:pt idx="3">
                  <c:v>2019</c:v>
                </c:pt>
                <c:pt idx="4">
                  <c:v>2018</c:v>
                </c:pt>
                <c:pt idx="5">
                  <c:v>2017</c:v>
                </c:pt>
              </c:numCache>
            </c:numRef>
          </c:cat>
          <c:val>
            <c:numRef>
              <c:f>comparativo!$C$5:$H$5</c:f>
              <c:numCache>
                <c:formatCode>General</c:formatCode>
                <c:ptCount val="6"/>
                <c:pt idx="0">
                  <c:v>247</c:v>
                </c:pt>
                <c:pt idx="1">
                  <c:v>245</c:v>
                </c:pt>
                <c:pt idx="2">
                  <c:v>247</c:v>
                </c:pt>
                <c:pt idx="3">
                  <c:v>242</c:v>
                </c:pt>
                <c:pt idx="4">
                  <c:v>223</c:v>
                </c:pt>
                <c:pt idx="5">
                  <c:v>201</c:v>
                </c:pt>
              </c:numCache>
            </c:numRef>
          </c:val>
          <c:extLst>
            <c:ext xmlns:c16="http://schemas.microsoft.com/office/drawing/2014/chart" uri="{C3380CC4-5D6E-409C-BE32-E72D297353CC}">
              <c16:uniqueId val="{00000001-B05A-45E6-B685-1E4E1A681D9D}"/>
            </c:ext>
          </c:extLst>
        </c:ser>
        <c:ser>
          <c:idx val="2"/>
          <c:order val="2"/>
          <c:tx>
            <c:strRef>
              <c:f>comparativo!$B$6</c:f>
              <c:strCache>
                <c:ptCount val="1"/>
                <c:pt idx="0">
                  <c:v>Informes Individuales entregados</c:v>
                </c:pt>
              </c:strCache>
            </c:strRef>
          </c:tx>
          <c:spPr>
            <a:solidFill>
              <a:srgbClr val="BF9000"/>
            </a:solidFill>
            <a:ln>
              <a:noFill/>
            </a:ln>
            <a:effectLst/>
          </c:spPr>
          <c:invertIfNegative val="0"/>
          <c:cat>
            <c:numRef>
              <c:f>comparativo!$C$3:$H$3</c:f>
              <c:numCache>
                <c:formatCode>General</c:formatCode>
                <c:ptCount val="6"/>
                <c:pt idx="0">
                  <c:v>2022</c:v>
                </c:pt>
                <c:pt idx="1">
                  <c:v>2021</c:v>
                </c:pt>
                <c:pt idx="2">
                  <c:v>2020</c:v>
                </c:pt>
                <c:pt idx="3">
                  <c:v>2019</c:v>
                </c:pt>
                <c:pt idx="4">
                  <c:v>2018</c:v>
                </c:pt>
                <c:pt idx="5">
                  <c:v>2017</c:v>
                </c:pt>
              </c:numCache>
            </c:numRef>
          </c:cat>
          <c:val>
            <c:numRef>
              <c:f>comparativo!$C$6:$H$6</c:f>
              <c:numCache>
                <c:formatCode>General</c:formatCode>
                <c:ptCount val="6"/>
                <c:pt idx="0">
                  <c:v>153</c:v>
                </c:pt>
                <c:pt idx="1">
                  <c:v>151</c:v>
                </c:pt>
                <c:pt idx="2">
                  <c:v>153</c:v>
                </c:pt>
                <c:pt idx="3">
                  <c:v>148</c:v>
                </c:pt>
                <c:pt idx="4">
                  <c:v>151</c:v>
                </c:pt>
                <c:pt idx="5">
                  <c:v>122</c:v>
                </c:pt>
              </c:numCache>
            </c:numRef>
          </c:val>
          <c:extLst>
            <c:ext xmlns:c16="http://schemas.microsoft.com/office/drawing/2014/chart" uri="{C3380CC4-5D6E-409C-BE32-E72D297353CC}">
              <c16:uniqueId val="{00000002-B05A-45E6-B685-1E4E1A681D9D}"/>
            </c:ext>
          </c:extLst>
        </c:ser>
        <c:dLbls>
          <c:showLegendKey val="0"/>
          <c:showVal val="0"/>
          <c:showCatName val="0"/>
          <c:showSerName val="0"/>
          <c:showPercent val="0"/>
          <c:showBubbleSize val="0"/>
        </c:dLbls>
        <c:gapWidth val="219"/>
        <c:overlap val="-27"/>
        <c:axId val="1696481904"/>
        <c:axId val="1696489392"/>
      </c:barChart>
      <c:catAx>
        <c:axId val="169648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96489392"/>
        <c:crosses val="autoZero"/>
        <c:auto val="1"/>
        <c:lblAlgn val="ctr"/>
        <c:lblOffset val="100"/>
        <c:noMultiLvlLbl val="0"/>
      </c:catAx>
      <c:valAx>
        <c:axId val="169648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9648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600" b="1"/>
              <a:t>Causa - Raíz</a:t>
            </a:r>
          </a:p>
        </c:rich>
      </c:tx>
      <c:layout>
        <c:manualLayout>
          <c:xMode val="edge"/>
          <c:yMode val="edge"/>
          <c:x val="0.69509407797054412"/>
          <c:y val="0.13175208597646521"/>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5.4057350714978053E-2"/>
          <c:y val="8.3951910103308713E-3"/>
          <c:w val="0.58323912830398272"/>
          <c:h val="0.86277624504098116"/>
        </c:manualLayout>
      </c:layout>
      <c:doughnutChart>
        <c:varyColors val="1"/>
        <c:ser>
          <c:idx val="1"/>
          <c:order val="1"/>
          <c:tx>
            <c:strRef>
              <c:f>'PREGUNTA 4'!$AE$4</c:f>
              <c:strCache>
                <c:ptCount val="1"/>
                <c:pt idx="0">
                  <c:v>Frecuencia</c:v>
                </c:pt>
              </c:strCache>
            </c:strRef>
          </c:tx>
          <c:dPt>
            <c:idx val="0"/>
            <c:bubble3D val="0"/>
            <c:spPr>
              <a:solidFill>
                <a:srgbClr val="800000"/>
              </a:solidFill>
              <a:ln w="19050">
                <a:solidFill>
                  <a:schemeClr val="lt1"/>
                </a:solidFill>
              </a:ln>
              <a:effectLst/>
            </c:spPr>
            <c:extLst>
              <c:ext xmlns:c16="http://schemas.microsoft.com/office/drawing/2014/chart" uri="{C3380CC4-5D6E-409C-BE32-E72D297353CC}">
                <c16:uniqueId val="{00000001-986D-4DD6-83D1-3431E9A8305A}"/>
              </c:ext>
            </c:extLst>
          </c:dPt>
          <c:dPt>
            <c:idx val="1"/>
            <c:bubble3D val="0"/>
            <c:spPr>
              <a:solidFill>
                <a:srgbClr val="FFC000">
                  <a:lumMod val="50000"/>
                </a:srgbClr>
              </a:solidFill>
              <a:ln w="19050">
                <a:solidFill>
                  <a:schemeClr val="lt1"/>
                </a:solidFill>
              </a:ln>
              <a:effectLst/>
            </c:spPr>
            <c:extLst>
              <c:ext xmlns:c16="http://schemas.microsoft.com/office/drawing/2014/chart" uri="{C3380CC4-5D6E-409C-BE32-E72D297353CC}">
                <c16:uniqueId val="{00000003-986D-4DD6-83D1-3431E9A8305A}"/>
              </c:ext>
            </c:extLst>
          </c:dPt>
          <c:dPt>
            <c:idx val="2"/>
            <c:bubble3D val="0"/>
            <c:spPr>
              <a:solidFill>
                <a:srgbClr val="70AD47">
                  <a:lumMod val="50000"/>
                </a:srgbClr>
              </a:solidFill>
              <a:ln w="19050">
                <a:solidFill>
                  <a:schemeClr val="lt1"/>
                </a:solidFill>
              </a:ln>
              <a:effectLst/>
            </c:spPr>
            <c:extLst>
              <c:ext xmlns:c16="http://schemas.microsoft.com/office/drawing/2014/chart" uri="{C3380CC4-5D6E-409C-BE32-E72D297353CC}">
                <c16:uniqueId val="{00000005-986D-4DD6-83D1-3431E9A8305A}"/>
              </c:ext>
            </c:extLst>
          </c:dPt>
          <c:dLbls>
            <c:dLbl>
              <c:idx val="0"/>
              <c:layout>
                <c:manualLayout>
                  <c:x val="-0.19824804057169207"/>
                  <c:y val="0.150042625745950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6D-4DD6-83D1-3431E9A8305A}"/>
                </c:ext>
              </c:extLst>
            </c:dLbl>
            <c:dLbl>
              <c:idx val="1"/>
              <c:layout>
                <c:manualLayout>
                  <c:x val="-6.9156293222683374E-3"/>
                  <c:y val="4.7740835464620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6D-4DD6-83D1-3431E9A8305A}"/>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4'!$AC$5:$AC$7</c:f>
              <c:strCache>
                <c:ptCount val="3"/>
                <c:pt idx="0">
                  <c:v>Contexto institucional</c:v>
                </c:pt>
                <c:pt idx="1">
                  <c:v>Contexto institucional y Decisiones individuales</c:v>
                </c:pt>
                <c:pt idx="2">
                  <c:v>Decisiones individuales</c:v>
                </c:pt>
              </c:strCache>
            </c:strRef>
          </c:cat>
          <c:val>
            <c:numRef>
              <c:f>'PREGUNTA 4'!$AE$5:$AE$7</c:f>
              <c:numCache>
                <c:formatCode>General</c:formatCode>
                <c:ptCount val="3"/>
                <c:pt idx="0">
                  <c:v>132</c:v>
                </c:pt>
                <c:pt idx="1">
                  <c:v>42</c:v>
                </c:pt>
                <c:pt idx="2">
                  <c:v>17</c:v>
                </c:pt>
              </c:numCache>
            </c:numRef>
          </c:val>
          <c:extLst>
            <c:ext xmlns:c16="http://schemas.microsoft.com/office/drawing/2014/chart" uri="{C3380CC4-5D6E-409C-BE32-E72D297353CC}">
              <c16:uniqueId val="{00000006-986D-4DD6-83D1-3431E9A8305A}"/>
            </c:ext>
          </c:extLst>
        </c:ser>
        <c:ser>
          <c:idx val="2"/>
          <c:order val="2"/>
          <c:tx>
            <c:strRef>
              <c:f>'PREGUNTA 4'!$AF$4</c:f>
              <c:strCache>
                <c:ptCount val="1"/>
                <c:pt idx="0">
                  <c:v>%</c:v>
                </c:pt>
              </c:strCache>
            </c:strRef>
          </c:tx>
          <c:dPt>
            <c:idx val="0"/>
            <c:bubble3D val="0"/>
            <c:spPr>
              <a:solidFill>
                <a:srgbClr val="800000"/>
              </a:solidFill>
              <a:ln w="19050">
                <a:solidFill>
                  <a:schemeClr val="lt1"/>
                </a:solidFill>
              </a:ln>
              <a:effectLst/>
            </c:spPr>
            <c:extLst>
              <c:ext xmlns:c16="http://schemas.microsoft.com/office/drawing/2014/chart" uri="{C3380CC4-5D6E-409C-BE32-E72D297353CC}">
                <c16:uniqueId val="{00000008-986D-4DD6-83D1-3431E9A8305A}"/>
              </c:ext>
            </c:extLst>
          </c:dPt>
          <c:dPt>
            <c:idx val="1"/>
            <c:bubble3D val="0"/>
            <c:spPr>
              <a:solidFill>
                <a:srgbClr val="FFC000">
                  <a:lumMod val="50000"/>
                </a:srgbClr>
              </a:solidFill>
              <a:ln w="19050">
                <a:solidFill>
                  <a:schemeClr val="lt1"/>
                </a:solidFill>
              </a:ln>
              <a:effectLst/>
            </c:spPr>
            <c:extLst>
              <c:ext xmlns:c16="http://schemas.microsoft.com/office/drawing/2014/chart" uri="{C3380CC4-5D6E-409C-BE32-E72D297353CC}">
                <c16:uniqueId val="{0000000A-986D-4DD6-83D1-3431E9A8305A}"/>
              </c:ext>
            </c:extLst>
          </c:dPt>
          <c:dPt>
            <c:idx val="2"/>
            <c:bubble3D val="0"/>
            <c:spPr>
              <a:solidFill>
                <a:srgbClr val="70AD47">
                  <a:lumMod val="50000"/>
                </a:srgbClr>
              </a:solidFill>
              <a:ln w="19050">
                <a:solidFill>
                  <a:schemeClr val="lt1"/>
                </a:solidFill>
              </a:ln>
              <a:effectLst/>
            </c:spPr>
            <c:extLst>
              <c:ext xmlns:c16="http://schemas.microsoft.com/office/drawing/2014/chart" uri="{C3380CC4-5D6E-409C-BE32-E72D297353CC}">
                <c16:uniqueId val="{0000000C-986D-4DD6-83D1-3431E9A8305A}"/>
              </c:ext>
            </c:extLst>
          </c:dPt>
          <c:dLbls>
            <c:dLbl>
              <c:idx val="0"/>
              <c:layout>
                <c:manualLayout>
                  <c:x val="-0.22591055786076536"/>
                  <c:y val="0.17561793906196507"/>
                </c:manualLayout>
              </c:layout>
              <c:showLegendKey val="0"/>
              <c:showVal val="1"/>
              <c:showCatName val="0"/>
              <c:showSerName val="0"/>
              <c:showPercent val="0"/>
              <c:showBubbleSize val="0"/>
              <c:extLst>
                <c:ext xmlns:c15="http://schemas.microsoft.com/office/drawing/2012/chart" uri="{CE6537A1-D6FC-4f65-9D91-7224C49458BB}">
                  <c15:layout>
                    <c:manualLayout>
                      <c:w val="6.4591977869986175E-2"/>
                      <c:h val="5.6777493606138096E-2"/>
                    </c:manualLayout>
                  </c15:layout>
                </c:ext>
                <c:ext xmlns:c16="http://schemas.microsoft.com/office/drawing/2014/chart" uri="{C3380CC4-5D6E-409C-BE32-E72D297353CC}">
                  <c16:uniqueId val="{00000008-986D-4DD6-83D1-3431E9A8305A}"/>
                </c:ext>
              </c:extLst>
            </c:dLbl>
            <c:dLbl>
              <c:idx val="1"/>
              <c:layout>
                <c:manualLayout>
                  <c:x val="1.8441678192715538E-2"/>
                  <c:y val="-2.0460358056265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6D-4DD6-83D1-3431E9A8305A}"/>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4'!$AC$5:$AC$7</c:f>
              <c:strCache>
                <c:ptCount val="3"/>
                <c:pt idx="0">
                  <c:v>Contexto institucional</c:v>
                </c:pt>
                <c:pt idx="1">
                  <c:v>Contexto institucional y Decisiones individuales</c:v>
                </c:pt>
                <c:pt idx="2">
                  <c:v>Decisiones individuales</c:v>
                </c:pt>
              </c:strCache>
            </c:strRef>
          </c:cat>
          <c:val>
            <c:numRef>
              <c:f>'PREGUNTA 4'!$AF$5:$AF$7</c:f>
              <c:numCache>
                <c:formatCode>0%</c:formatCode>
                <c:ptCount val="3"/>
                <c:pt idx="0">
                  <c:v>0.69109947643979053</c:v>
                </c:pt>
                <c:pt idx="1">
                  <c:v>0.21989528795811519</c:v>
                </c:pt>
                <c:pt idx="2">
                  <c:v>8.9005235602094238E-2</c:v>
                </c:pt>
              </c:numCache>
            </c:numRef>
          </c:val>
          <c:extLst>
            <c:ext xmlns:c16="http://schemas.microsoft.com/office/drawing/2014/chart" uri="{C3380CC4-5D6E-409C-BE32-E72D297353CC}">
              <c16:uniqueId val="{0000000D-986D-4DD6-83D1-3431E9A8305A}"/>
            </c:ext>
          </c:extLst>
        </c:ser>
        <c:dLbls>
          <c:showLegendKey val="0"/>
          <c:showVal val="1"/>
          <c:showCatName val="0"/>
          <c:showSerName val="0"/>
          <c:showPercent val="0"/>
          <c:showBubbleSize val="0"/>
          <c:showLeaderLines val="1"/>
        </c:dLbls>
        <c:firstSliceAng val="0"/>
        <c:holeSize val="75"/>
        <c:extLst>
          <c:ext xmlns:c15="http://schemas.microsoft.com/office/drawing/2012/chart" uri="{02D57815-91ED-43cb-92C2-25804820EDAC}">
            <c15:filteredPieSeries>
              <c15:ser>
                <c:idx val="0"/>
                <c:order val="0"/>
                <c:tx>
                  <c:strRef>
                    <c:extLst>
                      <c:ext uri="{02D57815-91ED-43cb-92C2-25804820EDAC}">
                        <c15:formulaRef>
                          <c15:sqref>'PREGUNTA 4'!$AD$4</c15:sqref>
                        </c15:formulaRef>
                      </c:ext>
                    </c:extLst>
                    <c:strCache>
                      <c:ptCount val="1"/>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F-986D-4DD6-83D1-3431E9A8305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11-986D-4DD6-83D1-3431E9A8305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13-986D-4DD6-83D1-3431E9A8305A}"/>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'PREGUNTA 4'!$AC$5:$AC$7</c15:sqref>
                        </c15:formulaRef>
                      </c:ext>
                    </c:extLst>
                    <c:strCache>
                      <c:ptCount val="3"/>
                      <c:pt idx="0">
                        <c:v>Contexto institucional</c:v>
                      </c:pt>
                      <c:pt idx="1">
                        <c:v>Contexto institucional y Decisiones individuales</c:v>
                      </c:pt>
                      <c:pt idx="2">
                        <c:v>Decisiones individuales</c:v>
                      </c:pt>
                    </c:strCache>
                  </c:strRef>
                </c:cat>
                <c:val>
                  <c:numRef>
                    <c:extLst>
                      <c:ext uri="{02D57815-91ED-43cb-92C2-25804820EDAC}">
                        <c15:formulaRef>
                          <c15:sqref>'PREGUNTA 4'!$AD$5:$AD$7</c15:sqref>
                        </c15:formulaRef>
                      </c:ext>
                    </c:extLst>
                    <c:numCache>
                      <c:formatCode>General</c:formatCode>
                      <c:ptCount val="3"/>
                    </c:numCache>
                  </c:numRef>
                </c:val>
                <c:extLst>
                  <c:ext xmlns:c16="http://schemas.microsoft.com/office/drawing/2014/chart" uri="{C3380CC4-5D6E-409C-BE32-E72D297353CC}">
                    <c16:uniqueId val="{00000014-986D-4DD6-83D1-3431E9A8305A}"/>
                  </c:ext>
                </c:extLst>
              </c15:ser>
            </c15:filteredPieSeries>
          </c:ext>
        </c:extLst>
      </c:doughnutChart>
      <c:spPr>
        <a:noFill/>
        <a:ln>
          <a:noFill/>
        </a:ln>
        <a:effectLst/>
      </c:spPr>
    </c:plotArea>
    <c:legend>
      <c:legendPos val="r"/>
      <c:layout>
        <c:manualLayout>
          <c:xMode val="edge"/>
          <c:yMode val="edge"/>
          <c:x val="0.65121631580284822"/>
          <c:y val="0.27109840170234473"/>
          <c:w val="0.33034200600443619"/>
          <c:h val="0.4987236441992065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200" b="1"/>
              <a:t>Causa-Raíz de la Principal Problemática Identificada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198780158566609E-2"/>
          <c:y val="7.1118991331757295E-2"/>
          <c:w val="0.90210980170388011"/>
          <c:h val="0.70633396002804616"/>
        </c:manualLayout>
      </c:layout>
      <c:bar3DChart>
        <c:barDir val="col"/>
        <c:grouping val="clustered"/>
        <c:varyColors val="0"/>
        <c:ser>
          <c:idx val="0"/>
          <c:order val="0"/>
          <c:tx>
            <c:strRef>
              <c:f>Hoja7!$L$47</c:f>
              <c:strCache>
                <c:ptCount val="1"/>
                <c:pt idx="0">
                  <c:v>Contexto institucional</c:v>
                </c:pt>
              </c:strCache>
            </c:strRef>
          </c:tx>
          <c:spPr>
            <a:solidFill>
              <a:schemeClr val="accent1"/>
            </a:solidFill>
            <a:ln>
              <a:noFill/>
            </a:ln>
            <a:effectLst/>
            <a:sp3d/>
          </c:spPr>
          <c:invertIfNegative val="0"/>
          <c:dPt>
            <c:idx val="0"/>
            <c:invertIfNegative val="0"/>
            <c:bubble3D val="0"/>
            <c:spPr>
              <a:solidFill>
                <a:srgbClr val="800000"/>
              </a:solidFill>
              <a:ln>
                <a:noFill/>
              </a:ln>
              <a:effectLst/>
              <a:sp3d/>
            </c:spPr>
            <c:extLst>
              <c:ext xmlns:c16="http://schemas.microsoft.com/office/drawing/2014/chart" uri="{C3380CC4-5D6E-409C-BE32-E72D297353CC}">
                <c16:uniqueId val="{00000001-9386-473F-830C-A661A6556305}"/>
              </c:ext>
            </c:extLst>
          </c:dPt>
          <c:dPt>
            <c:idx val="1"/>
            <c:invertIfNegative val="0"/>
            <c:bubble3D val="0"/>
            <c:spPr>
              <a:solidFill>
                <a:srgbClr val="800000"/>
              </a:solidFill>
              <a:ln>
                <a:noFill/>
              </a:ln>
              <a:effectLst/>
              <a:sp3d/>
            </c:spPr>
            <c:extLst>
              <c:ext xmlns:c16="http://schemas.microsoft.com/office/drawing/2014/chart" uri="{C3380CC4-5D6E-409C-BE32-E72D297353CC}">
                <c16:uniqueId val="{00000003-9386-473F-830C-A661A6556305}"/>
              </c:ext>
            </c:extLst>
          </c:dPt>
          <c:dPt>
            <c:idx val="2"/>
            <c:invertIfNegative val="0"/>
            <c:bubble3D val="0"/>
            <c:spPr>
              <a:solidFill>
                <a:srgbClr val="800000"/>
              </a:solidFill>
              <a:ln>
                <a:noFill/>
              </a:ln>
              <a:effectLst/>
              <a:sp3d/>
            </c:spPr>
            <c:extLst>
              <c:ext xmlns:c16="http://schemas.microsoft.com/office/drawing/2014/chart" uri="{C3380CC4-5D6E-409C-BE32-E72D297353CC}">
                <c16:uniqueId val="{00000005-9386-473F-830C-A661A6556305}"/>
              </c:ext>
            </c:extLst>
          </c:dPt>
          <c:dPt>
            <c:idx val="3"/>
            <c:invertIfNegative val="0"/>
            <c:bubble3D val="0"/>
            <c:spPr>
              <a:solidFill>
                <a:srgbClr val="800000"/>
              </a:solidFill>
              <a:ln>
                <a:noFill/>
              </a:ln>
              <a:effectLst/>
              <a:sp3d/>
            </c:spPr>
            <c:extLst>
              <c:ext xmlns:c16="http://schemas.microsoft.com/office/drawing/2014/chart" uri="{C3380CC4-5D6E-409C-BE32-E72D297353CC}">
                <c16:uniqueId val="{00000007-9386-473F-830C-A661A6556305}"/>
              </c:ext>
            </c:extLst>
          </c:dPt>
          <c:dLbls>
            <c:dLbl>
              <c:idx val="0"/>
              <c:layout>
                <c:manualLayout>
                  <c:x val="1.1282329476891766E-2"/>
                  <c:y val="-1.1482468970379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86-473F-830C-A661A6556305}"/>
                </c:ext>
              </c:extLst>
            </c:dLbl>
            <c:dLbl>
              <c:idx val="1"/>
              <c:layout>
                <c:manualLayout>
                  <c:x val="6.8212824010913638E-3"/>
                  <c:y val="-2.4734108335394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86-473F-830C-A661A6556305}"/>
                </c:ext>
              </c:extLst>
            </c:dLbl>
            <c:dLbl>
              <c:idx val="2"/>
              <c:layout>
                <c:manualLayout>
                  <c:x val="9.095043201455124E-3"/>
                  <c:y val="-7.4202325006183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86-473F-830C-A661A6556305}"/>
                </c:ext>
              </c:extLst>
            </c:dLbl>
            <c:dLbl>
              <c:idx val="3"/>
              <c:layout>
                <c:manualLayout>
                  <c:x val="6.8212824010914054E-3"/>
                  <c:y val="-2.4734108335394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86-473F-830C-A661A655630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Hoja7!$M$46:$P$46</c:f>
              <c:strCache>
                <c:ptCount val="4"/>
                <c:pt idx="0">
                  <c:v>Fallas o errores en la gestión administrativa del ente auditado</c:v>
                </c:pt>
                <c:pt idx="1">
                  <c:v>Incumpliendo de metas y objetivos de fondo, programas o políticas públicas.</c:v>
                </c:pt>
                <c:pt idx="2">
                  <c:v>Incorrecta  aplicación de recursos.</c:v>
                </c:pt>
                <c:pt idx="3">
                  <c:v>Inadecuada captación de recursos públicos.</c:v>
                </c:pt>
              </c:strCache>
            </c:strRef>
          </c:cat>
          <c:val>
            <c:numRef>
              <c:f>Hoja7!$M$47:$P$47</c:f>
              <c:numCache>
                <c:formatCode>General</c:formatCode>
                <c:ptCount val="4"/>
                <c:pt idx="0">
                  <c:v>103</c:v>
                </c:pt>
                <c:pt idx="1">
                  <c:v>22</c:v>
                </c:pt>
                <c:pt idx="2">
                  <c:v>6</c:v>
                </c:pt>
                <c:pt idx="3">
                  <c:v>1</c:v>
                </c:pt>
              </c:numCache>
            </c:numRef>
          </c:val>
          <c:extLst>
            <c:ext xmlns:c16="http://schemas.microsoft.com/office/drawing/2014/chart" uri="{C3380CC4-5D6E-409C-BE32-E72D297353CC}">
              <c16:uniqueId val="{00000008-9386-473F-830C-A661A6556305}"/>
            </c:ext>
          </c:extLst>
        </c:ser>
        <c:ser>
          <c:idx val="1"/>
          <c:order val="1"/>
          <c:tx>
            <c:strRef>
              <c:f>Hoja7!$L$48</c:f>
              <c:strCache>
                <c:ptCount val="1"/>
                <c:pt idx="0">
                  <c:v>Contexto Institucional y Decisiones Individuales</c:v>
                </c:pt>
              </c:strCache>
            </c:strRef>
          </c:tx>
          <c:spPr>
            <a:solidFill>
              <a:srgbClr val="70AD47">
                <a:lumMod val="50000"/>
              </a:srgbClr>
            </a:solidFill>
            <a:ln>
              <a:noFill/>
            </a:ln>
            <a:effectLst/>
            <a:sp3d/>
          </c:spPr>
          <c:invertIfNegative val="0"/>
          <c:dLbls>
            <c:dLbl>
              <c:idx val="0"/>
              <c:layout>
                <c:manualLayout>
                  <c:x val="9.0302320668306634E-3"/>
                  <c:y val="-9.36293116711882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86-473F-830C-A661A6556305}"/>
                </c:ext>
              </c:extLst>
            </c:dLbl>
            <c:dLbl>
              <c:idx val="1"/>
              <c:delete val="1"/>
              <c:extLst>
                <c:ext xmlns:c15="http://schemas.microsoft.com/office/drawing/2012/chart" uri="{CE6537A1-D6FC-4f65-9D91-7224C49458BB}"/>
                <c:ext xmlns:c16="http://schemas.microsoft.com/office/drawing/2014/chart" uri="{C3380CC4-5D6E-409C-BE32-E72D297353CC}">
                  <c16:uniqueId val="{00000008-109C-40D2-9455-51F4C17E82AD}"/>
                </c:ext>
              </c:extLst>
            </c:dLbl>
            <c:dLbl>
              <c:idx val="2"/>
              <c:layout>
                <c:manualLayout>
                  <c:x val="9.095043201455124E-3"/>
                  <c:y val="-4.94682166707899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09C-40D2-9455-51F4C17E82AD}"/>
                </c:ext>
              </c:extLst>
            </c:dLbl>
            <c:dLbl>
              <c:idx val="3"/>
              <c:layout>
                <c:manualLayout>
                  <c:x val="6.8212824010914054E-3"/>
                  <c:y val="-7.4202325006183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09C-40D2-9455-51F4C17E82A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Hoja7!$M$46:$P$46</c:f>
              <c:strCache>
                <c:ptCount val="4"/>
                <c:pt idx="0">
                  <c:v>Fallas o errores en la gestión administrativa del ente auditado</c:v>
                </c:pt>
                <c:pt idx="1">
                  <c:v>Incumpliendo de metas y objetivos de fondo, programas o políticas públicas.</c:v>
                </c:pt>
                <c:pt idx="2">
                  <c:v>Incorrecta  aplicación de recursos.</c:v>
                </c:pt>
                <c:pt idx="3">
                  <c:v>Inadecuada captación de recursos públicos.</c:v>
                </c:pt>
              </c:strCache>
            </c:strRef>
          </c:cat>
          <c:val>
            <c:numRef>
              <c:f>Hoja7!$M$48:$P$48</c:f>
              <c:numCache>
                <c:formatCode>General</c:formatCode>
                <c:ptCount val="4"/>
                <c:pt idx="0">
                  <c:v>36</c:v>
                </c:pt>
                <c:pt idx="1">
                  <c:v>0</c:v>
                </c:pt>
                <c:pt idx="2">
                  <c:v>5</c:v>
                </c:pt>
                <c:pt idx="3">
                  <c:v>1</c:v>
                </c:pt>
              </c:numCache>
            </c:numRef>
          </c:val>
          <c:extLst>
            <c:ext xmlns:c16="http://schemas.microsoft.com/office/drawing/2014/chart" uri="{C3380CC4-5D6E-409C-BE32-E72D297353CC}">
              <c16:uniqueId val="{0000000A-9386-473F-830C-A661A6556305}"/>
            </c:ext>
          </c:extLst>
        </c:ser>
        <c:ser>
          <c:idx val="2"/>
          <c:order val="2"/>
          <c:tx>
            <c:strRef>
              <c:f>Hoja7!$L$49</c:f>
              <c:strCache>
                <c:ptCount val="1"/>
                <c:pt idx="0">
                  <c:v>Decisiones individuales</c:v>
                </c:pt>
              </c:strCache>
            </c:strRef>
          </c:tx>
          <c:spPr>
            <a:solidFill>
              <a:srgbClr val="FF9900"/>
            </a:solidFill>
            <a:ln>
              <a:noFill/>
            </a:ln>
            <a:effectLst/>
            <a:sp3d/>
          </c:spPr>
          <c:invertIfNegative val="0"/>
          <c:dLbls>
            <c:dLbl>
              <c:idx val="0"/>
              <c:layout>
                <c:manualLayout>
                  <c:x val="9.01948988982107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86-473F-830C-A661A6556305}"/>
                </c:ext>
              </c:extLst>
            </c:dLbl>
            <c:dLbl>
              <c:idx val="1"/>
              <c:delete val="1"/>
              <c:extLst>
                <c:ext xmlns:c15="http://schemas.microsoft.com/office/drawing/2012/chart" uri="{CE6537A1-D6FC-4f65-9D91-7224C49458BB}"/>
                <c:ext xmlns:c16="http://schemas.microsoft.com/office/drawing/2014/chart" uri="{C3380CC4-5D6E-409C-BE32-E72D297353CC}">
                  <c16:uniqueId val="{00000009-109C-40D2-9455-51F4C17E82AD}"/>
                </c:ext>
              </c:extLst>
            </c:dLbl>
            <c:dLbl>
              <c:idx val="2"/>
              <c:delete val="1"/>
              <c:extLst>
                <c:ext xmlns:c15="http://schemas.microsoft.com/office/drawing/2012/chart" uri="{CE6537A1-D6FC-4f65-9D91-7224C49458BB}"/>
                <c:ext xmlns:c16="http://schemas.microsoft.com/office/drawing/2014/chart" uri="{C3380CC4-5D6E-409C-BE32-E72D297353CC}">
                  <c16:uniqueId val="{0000000A-109C-40D2-9455-51F4C17E82AD}"/>
                </c:ext>
              </c:extLst>
            </c:dLbl>
            <c:dLbl>
              <c:idx val="3"/>
              <c:delete val="1"/>
              <c:extLst>
                <c:ext xmlns:c15="http://schemas.microsoft.com/office/drawing/2012/chart" uri="{CE6537A1-D6FC-4f65-9D91-7224C49458BB}"/>
                <c:ext xmlns:c16="http://schemas.microsoft.com/office/drawing/2014/chart" uri="{C3380CC4-5D6E-409C-BE32-E72D297353CC}">
                  <c16:uniqueId val="{0000000B-109C-40D2-9455-51F4C17E82A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Hoja7!$M$46:$P$46</c:f>
              <c:strCache>
                <c:ptCount val="4"/>
                <c:pt idx="0">
                  <c:v>Fallas o errores en la gestión administrativa del ente auditado</c:v>
                </c:pt>
                <c:pt idx="1">
                  <c:v>Incumpliendo de metas y objetivos de fondo, programas o políticas públicas.</c:v>
                </c:pt>
                <c:pt idx="2">
                  <c:v>Incorrecta  aplicación de recursos.</c:v>
                </c:pt>
                <c:pt idx="3">
                  <c:v>Inadecuada captación de recursos públicos.</c:v>
                </c:pt>
              </c:strCache>
            </c:strRef>
          </c:cat>
          <c:val>
            <c:numRef>
              <c:f>Hoja7!$M$49:$P$49</c:f>
              <c:numCache>
                <c:formatCode>General</c:formatCode>
                <c:ptCount val="4"/>
                <c:pt idx="0">
                  <c:v>17</c:v>
                </c:pt>
                <c:pt idx="1">
                  <c:v>0</c:v>
                </c:pt>
                <c:pt idx="2">
                  <c:v>0</c:v>
                </c:pt>
                <c:pt idx="3">
                  <c:v>0</c:v>
                </c:pt>
              </c:numCache>
            </c:numRef>
          </c:val>
          <c:extLst>
            <c:ext xmlns:c16="http://schemas.microsoft.com/office/drawing/2014/chart" uri="{C3380CC4-5D6E-409C-BE32-E72D297353CC}">
              <c16:uniqueId val="{0000000C-9386-473F-830C-A661A6556305}"/>
            </c:ext>
          </c:extLst>
        </c:ser>
        <c:dLbls>
          <c:showLegendKey val="0"/>
          <c:showVal val="1"/>
          <c:showCatName val="0"/>
          <c:showSerName val="0"/>
          <c:showPercent val="0"/>
          <c:showBubbleSize val="0"/>
        </c:dLbls>
        <c:gapWidth val="150"/>
        <c:shape val="box"/>
        <c:axId val="887731951"/>
        <c:axId val="887736943"/>
        <c:axId val="0"/>
      </c:bar3DChart>
      <c:catAx>
        <c:axId val="8877319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87736943"/>
        <c:crosses val="autoZero"/>
        <c:auto val="1"/>
        <c:lblAlgn val="ctr"/>
        <c:lblOffset val="100"/>
        <c:noMultiLvlLbl val="0"/>
      </c:catAx>
      <c:valAx>
        <c:axId val="887736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87731951"/>
        <c:crosses val="autoZero"/>
        <c:crossBetween val="between"/>
      </c:valAx>
      <c:spPr>
        <a:noFill/>
        <a:ln>
          <a:noFill/>
        </a:ln>
        <a:effectLst/>
      </c:spPr>
    </c:plotArea>
    <c:legend>
      <c:legendPos val="b"/>
      <c:layout>
        <c:manualLayout>
          <c:xMode val="edge"/>
          <c:yMode val="edge"/>
          <c:x val="6.0530735158787277E-2"/>
          <c:y val="0.89692937950790708"/>
          <c:w val="0.88233663834312659"/>
          <c:h val="0.103070688799035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Controles Administrativos Inadecuados</a:t>
            </a:r>
          </a:p>
        </c:rich>
      </c:tx>
      <c:layout>
        <c:manualLayout>
          <c:xMode val="edge"/>
          <c:yMode val="edge"/>
          <c:x val="0.18428849652449247"/>
          <c:y val="9.1187114826505739E-3"/>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285247362947557E-2"/>
          <c:y val="8.6145404663923189E-2"/>
          <c:w val="0.95429756186137116"/>
          <c:h val="0.52040785025328629"/>
        </c:manualLayout>
      </c:layout>
      <c:bar3DChart>
        <c:barDir val="col"/>
        <c:grouping val="clustered"/>
        <c:varyColors val="0"/>
        <c:ser>
          <c:idx val="0"/>
          <c:order val="0"/>
          <c:tx>
            <c:strRef>
              <c:f>'PREGUNTA 6'!$AG$14</c:f>
              <c:strCache>
                <c:ptCount val="1"/>
                <c:pt idx="0">
                  <c:v>Falta de vigilancia o monitoreo, incluyendo la labor de la auditoría interna.</c:v>
                </c:pt>
              </c:strCache>
            </c:strRef>
          </c:tx>
          <c:spPr>
            <a:solidFill>
              <a:srgbClr val="800000"/>
            </a:solidFill>
            <a:ln>
              <a:noFill/>
            </a:ln>
            <a:effectLst>
              <a:outerShdw blurRad="57150" dist="19050" dir="5400000" algn="ctr" rotWithShape="0">
                <a:srgbClr val="000000">
                  <a:alpha val="63000"/>
                </a:srgbClr>
              </a:outerShdw>
            </a:effectLst>
            <a:sp3d/>
          </c:spPr>
          <c:invertIfNegative val="0"/>
          <c:dLbls>
            <c:dLbl>
              <c:idx val="0"/>
              <c:layout>
                <c:manualLayout>
                  <c:x val="8.4659478664962998E-3"/>
                  <c:y val="-1.2294333252396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44-4CE6-94EC-2B4ADF86C32E}"/>
                </c:ext>
              </c:extLst>
            </c:dLbl>
            <c:dLbl>
              <c:idx val="1"/>
              <c:layout>
                <c:manualLayout>
                  <c:x val="2.8488292323948306E-3"/>
                  <c:y val="-2.3408142264155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44-4CE6-94EC-2B4ADF86C32E}"/>
                </c:ext>
              </c:extLst>
            </c:dLbl>
            <c:dLbl>
              <c:idx val="2"/>
              <c:layout>
                <c:manualLayout>
                  <c:x val="0"/>
                  <c:y val="-4.79869807023020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44-4CE6-94EC-2B4ADF86C32E}"/>
                </c:ext>
              </c:extLst>
            </c:dLbl>
            <c:dLbl>
              <c:idx val="3"/>
              <c:layout>
                <c:manualLayout>
                  <c:x val="2.7684675871727845E-3"/>
                  <c:y val="-8.8498849538080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44-4CE6-94EC-2B4ADF86C32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'PREGUNTA 6'!$AK$13:$AN$13</c:f>
              <c:numCache>
                <c:formatCode>0</c:formatCode>
                <c:ptCount val="4"/>
                <c:pt idx="0">
                  <c:v>1</c:v>
                </c:pt>
                <c:pt idx="1">
                  <c:v>2</c:v>
                </c:pt>
                <c:pt idx="2">
                  <c:v>3</c:v>
                </c:pt>
                <c:pt idx="3">
                  <c:v>4</c:v>
                </c:pt>
              </c:numCache>
              <c:extLst/>
            </c:numRef>
          </c:cat>
          <c:val>
            <c:numRef>
              <c:f>'PREGUNTA 6'!$AK$14:$AN$14</c:f>
              <c:numCache>
                <c:formatCode>0</c:formatCode>
                <c:ptCount val="4"/>
                <c:pt idx="0">
                  <c:v>102</c:v>
                </c:pt>
                <c:pt idx="1">
                  <c:v>3</c:v>
                </c:pt>
                <c:pt idx="2">
                  <c:v>3</c:v>
                </c:pt>
                <c:pt idx="3">
                  <c:v>7</c:v>
                </c:pt>
              </c:numCache>
              <c:extLst/>
            </c:numRef>
          </c:val>
          <c:extLst>
            <c:ext xmlns:c16="http://schemas.microsoft.com/office/drawing/2014/chart" uri="{C3380CC4-5D6E-409C-BE32-E72D297353CC}">
              <c16:uniqueId val="{00000004-9244-4CE6-94EC-2B4ADF86C32E}"/>
            </c:ext>
          </c:extLst>
        </c:ser>
        <c:ser>
          <c:idx val="1"/>
          <c:order val="1"/>
          <c:tx>
            <c:strRef>
              <c:f>'PREGUNTA 6'!$AG$15</c:f>
              <c:strCache>
                <c:ptCount val="1"/>
                <c:pt idx="0">
                  <c:v>Documentación/registros o sistematización de la información inapropiada.</c:v>
                </c:pt>
              </c:strCache>
            </c:strRef>
          </c:tx>
          <c:spPr>
            <a:solidFill>
              <a:srgbClr val="70AD47">
                <a:lumMod val="50000"/>
              </a:srgbClr>
            </a:solidFill>
            <a:ln>
              <a:noFill/>
            </a:ln>
            <a:effectLst>
              <a:outerShdw blurRad="57150" dist="19050" dir="5400000" algn="ctr" rotWithShape="0">
                <a:srgbClr val="000000">
                  <a:alpha val="63000"/>
                </a:srgbClr>
              </a:outerShdw>
            </a:effectLst>
            <a:sp3d/>
          </c:spPr>
          <c:invertIfNegative val="0"/>
          <c:dLbls>
            <c:dLbl>
              <c:idx val="0"/>
              <c:layout>
                <c:manualLayout>
                  <c:x val="2.8488292323948098E-3"/>
                  <c:y val="-1.213708418606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44-4CE6-94EC-2B4ADF86C32E}"/>
                </c:ext>
              </c:extLst>
            </c:dLbl>
            <c:dLbl>
              <c:idx val="1"/>
              <c:layout>
                <c:manualLayout>
                  <c:x val="6.788866259334691E-3"/>
                  <c:y val="-5.76184860152396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44-4CE6-94EC-2B4ADF86C32E}"/>
                </c:ext>
              </c:extLst>
            </c:dLbl>
            <c:dLbl>
              <c:idx val="2"/>
              <c:layout>
                <c:manualLayout>
                  <c:x val="0"/>
                  <c:y val="-2.97906043682872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44-4CE6-94EC-2B4ADF86C32E}"/>
                </c:ext>
              </c:extLst>
            </c:dLbl>
            <c:dLbl>
              <c:idx val="3"/>
              <c:layout>
                <c:manualLayout>
                  <c:x val="-1.6594814706991437E-16"/>
                  <c:y val="-5.683224068357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44-4CE6-94EC-2B4ADF86C32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'PREGUNTA 6'!$AK$13:$AN$13</c:f>
              <c:numCache>
                <c:formatCode>0</c:formatCode>
                <c:ptCount val="4"/>
                <c:pt idx="0">
                  <c:v>1</c:v>
                </c:pt>
                <c:pt idx="1">
                  <c:v>2</c:v>
                </c:pt>
                <c:pt idx="2">
                  <c:v>3</c:v>
                </c:pt>
                <c:pt idx="3">
                  <c:v>4</c:v>
                </c:pt>
              </c:numCache>
              <c:extLst/>
            </c:numRef>
          </c:cat>
          <c:val>
            <c:numRef>
              <c:f>'PREGUNTA 6'!$AK$15:$AN$15</c:f>
              <c:numCache>
                <c:formatCode>0</c:formatCode>
                <c:ptCount val="4"/>
                <c:pt idx="0">
                  <c:v>6</c:v>
                </c:pt>
                <c:pt idx="1">
                  <c:v>68</c:v>
                </c:pt>
                <c:pt idx="2">
                  <c:v>25</c:v>
                </c:pt>
                <c:pt idx="3">
                  <c:v>16</c:v>
                </c:pt>
              </c:numCache>
              <c:extLst/>
            </c:numRef>
          </c:val>
          <c:extLst>
            <c:ext xmlns:c16="http://schemas.microsoft.com/office/drawing/2014/chart" uri="{C3380CC4-5D6E-409C-BE32-E72D297353CC}">
              <c16:uniqueId val="{00000009-9244-4CE6-94EC-2B4ADF86C32E}"/>
            </c:ext>
          </c:extLst>
        </c:ser>
        <c:ser>
          <c:idx val="2"/>
          <c:order val="2"/>
          <c:tx>
            <c:strRef>
              <c:f>'PREGUNTA 6'!$AG$16</c:f>
              <c:strCache>
                <c:ptCount val="1"/>
                <c:pt idx="0">
                  <c:v>Fallas en el diseño de la asignación de responsabilidades [autorizaciones del (los) superior(es) jerárquico(s).</c:v>
                </c:pt>
              </c:strCache>
            </c:strRef>
          </c:tx>
          <c:spPr>
            <a:solidFill>
              <a:srgbClr val="FF9900"/>
            </a:solidFill>
            <a:ln>
              <a:noFill/>
            </a:ln>
            <a:effectLst>
              <a:outerShdw blurRad="57150" dist="19050" dir="5400000" algn="ctr" rotWithShape="0">
                <a:srgbClr val="000000">
                  <a:alpha val="63000"/>
                </a:srgbClr>
              </a:outerShdw>
            </a:effectLst>
            <a:sp3d/>
          </c:spPr>
          <c:invertIfNegative val="0"/>
          <c:dLbls>
            <c:dLbl>
              <c:idx val="0"/>
              <c:layout>
                <c:manualLayout>
                  <c:x val="4.525910839556461E-3"/>
                  <c:y val="-6.57179691745580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44-4CE6-94EC-2B4ADF86C32E}"/>
                </c:ext>
              </c:extLst>
            </c:dLbl>
            <c:dLbl>
              <c:idx val="1"/>
              <c:layout>
                <c:manualLayout>
                  <c:x val="1.1314777098891152E-2"/>
                  <c:y val="-4.1962953969960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44-4CE6-94EC-2B4ADF86C32E}"/>
                </c:ext>
              </c:extLst>
            </c:dLbl>
            <c:dLbl>
              <c:idx val="2"/>
              <c:layout>
                <c:manualLayout>
                  <c:x val="2.2629554197782305E-3"/>
                  <c:y val="-1.0281892076265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244-4CE6-94EC-2B4ADF86C32E}"/>
                </c:ext>
              </c:extLst>
            </c:dLbl>
            <c:dLbl>
              <c:idx val="3"/>
              <c:layout>
                <c:manualLayout>
                  <c:x val="2.2629554197780644E-3"/>
                  <c:y val="-8.5446367662192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44-4CE6-94EC-2B4ADF86C32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'PREGUNTA 6'!$AK$13:$AN$13</c:f>
              <c:numCache>
                <c:formatCode>0</c:formatCode>
                <c:ptCount val="4"/>
                <c:pt idx="0">
                  <c:v>1</c:v>
                </c:pt>
                <c:pt idx="1">
                  <c:v>2</c:v>
                </c:pt>
                <c:pt idx="2">
                  <c:v>3</c:v>
                </c:pt>
                <c:pt idx="3">
                  <c:v>4</c:v>
                </c:pt>
              </c:numCache>
              <c:extLst/>
            </c:numRef>
          </c:cat>
          <c:val>
            <c:numRef>
              <c:f>'PREGUNTA 6'!$AK$16:$AN$16</c:f>
              <c:numCache>
                <c:formatCode>0</c:formatCode>
                <c:ptCount val="4"/>
                <c:pt idx="0">
                  <c:v>7</c:v>
                </c:pt>
                <c:pt idx="1">
                  <c:v>27</c:v>
                </c:pt>
                <c:pt idx="2">
                  <c:v>61</c:v>
                </c:pt>
                <c:pt idx="3">
                  <c:v>20</c:v>
                </c:pt>
              </c:numCache>
              <c:extLst/>
            </c:numRef>
          </c:val>
          <c:extLst>
            <c:ext xmlns:c16="http://schemas.microsoft.com/office/drawing/2014/chart" uri="{C3380CC4-5D6E-409C-BE32-E72D297353CC}">
              <c16:uniqueId val="{0000000E-9244-4CE6-94EC-2B4ADF86C32E}"/>
            </c:ext>
          </c:extLst>
        </c:ser>
        <c:ser>
          <c:idx val="3"/>
          <c:order val="3"/>
          <c:tx>
            <c:strRef>
              <c:f>'PREGUNTA 6'!$AG$17</c:f>
              <c:strCache>
                <c:ptCount val="1"/>
                <c:pt idx="0">
                  <c:v>Falta de: perfil profesional/ experiencia/capacidades técnicas del personal responsable de la operación de los fondos, programas o políticas públicas.</c:v>
                </c:pt>
              </c:strCache>
            </c:strRef>
          </c:tx>
          <c:spPr>
            <a:solidFill>
              <a:sysClr val="window" lastClr="FFFFFF">
                <a:lumMod val="65000"/>
              </a:sysClr>
            </a:solidFill>
            <a:ln>
              <a:noFill/>
            </a:ln>
            <a:effectLst>
              <a:outerShdw blurRad="57150" dist="19050" dir="5400000" algn="ctr" rotWithShape="0">
                <a:srgbClr val="000000">
                  <a:alpha val="63000"/>
                </a:srgbClr>
              </a:outerShdw>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9244-4CE6-94EC-2B4ADF86C32E}"/>
                </c:ext>
              </c:extLst>
            </c:dLbl>
            <c:dLbl>
              <c:idx val="1"/>
              <c:layout>
                <c:manualLayout>
                  <c:x val="1.0728903286274552E-2"/>
                  <c:y val="-1.0838912206458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244-4CE6-94EC-2B4ADF86C32E}"/>
                </c:ext>
              </c:extLst>
            </c:dLbl>
            <c:dLbl>
              <c:idx val="2"/>
              <c:layout>
                <c:manualLayout>
                  <c:x val="9.051821679112922E-3"/>
                  <c:y val="-6.6894446564223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244-4CE6-94EC-2B4ADF86C32E}"/>
                </c:ext>
              </c:extLst>
            </c:dLbl>
            <c:dLbl>
              <c:idx val="3"/>
              <c:layout>
                <c:manualLayout>
                  <c:x val="8.4659478664963206E-3"/>
                  <c:y val="1.54098303791321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244-4CE6-94EC-2B4ADF86C32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'PREGUNTA 6'!$AK$13:$AN$13</c:f>
              <c:numCache>
                <c:formatCode>0</c:formatCode>
                <c:ptCount val="4"/>
                <c:pt idx="0">
                  <c:v>1</c:v>
                </c:pt>
                <c:pt idx="1">
                  <c:v>2</c:v>
                </c:pt>
                <c:pt idx="2">
                  <c:v>3</c:v>
                </c:pt>
                <c:pt idx="3">
                  <c:v>4</c:v>
                </c:pt>
              </c:numCache>
              <c:extLst/>
            </c:numRef>
          </c:cat>
          <c:val>
            <c:numRef>
              <c:f>'PREGUNTA 6'!$AK$17:$AN$17</c:f>
              <c:numCache>
                <c:formatCode>0</c:formatCode>
                <c:ptCount val="4"/>
                <c:pt idx="0">
                  <c:v>0</c:v>
                </c:pt>
                <c:pt idx="1">
                  <c:v>17</c:v>
                </c:pt>
                <c:pt idx="2">
                  <c:v>26</c:v>
                </c:pt>
                <c:pt idx="3">
                  <c:v>72</c:v>
                </c:pt>
              </c:numCache>
              <c:extLst/>
            </c:numRef>
          </c:val>
          <c:extLst>
            <c:ext xmlns:c16="http://schemas.microsoft.com/office/drawing/2014/chart" uri="{C3380CC4-5D6E-409C-BE32-E72D297353CC}">
              <c16:uniqueId val="{00000013-9244-4CE6-94EC-2B4ADF86C32E}"/>
            </c:ext>
          </c:extLst>
        </c:ser>
        <c:dLbls>
          <c:showLegendKey val="0"/>
          <c:showVal val="1"/>
          <c:showCatName val="0"/>
          <c:showSerName val="0"/>
          <c:showPercent val="0"/>
          <c:showBubbleSize val="0"/>
        </c:dLbls>
        <c:gapWidth val="150"/>
        <c:shape val="box"/>
        <c:axId val="2141947648"/>
        <c:axId val="2141945984"/>
        <c:axId val="0"/>
      </c:bar3DChart>
      <c:catAx>
        <c:axId val="2141947648"/>
        <c:scaling>
          <c:orientation val="minMax"/>
        </c:scaling>
        <c:delete val="1"/>
        <c:axPos val="b"/>
        <c:numFmt formatCode="0" sourceLinked="1"/>
        <c:majorTickMark val="out"/>
        <c:minorTickMark val="none"/>
        <c:tickLblPos val="nextTo"/>
        <c:crossAx val="2141945984"/>
        <c:crosses val="autoZero"/>
        <c:auto val="1"/>
        <c:lblAlgn val="ctr"/>
        <c:lblOffset val="100"/>
        <c:noMultiLvlLbl val="0"/>
      </c:catAx>
      <c:valAx>
        <c:axId val="214194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1419476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6.5887817994237499E-2"/>
          <c:y val="0.69628181113924636"/>
          <c:w val="0.90443147254251044"/>
          <c:h val="0.3037181888607535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b="1"/>
              <a:t>Recurrencia de la Problemática</a:t>
            </a:r>
          </a:p>
        </c:rich>
      </c:tx>
      <c:layout>
        <c:manualLayout>
          <c:xMode val="edge"/>
          <c:yMode val="edge"/>
          <c:x val="0.2604135866269715"/>
          <c:y val="1.481481481481481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'PREGUNTA 9'!$AK$8</c:f>
              <c:strCache>
                <c:ptCount val="1"/>
                <c:pt idx="0">
                  <c:v>Fallas o errores en la gestión administrativa del ente auditado</c:v>
                </c:pt>
              </c:strCache>
            </c:strRef>
          </c:tx>
          <c:spPr>
            <a:solidFill>
              <a:srgbClr val="800000"/>
            </a:solidFill>
            <a:ln>
              <a:noFill/>
            </a:ln>
            <a:effectLst/>
            <a:sp3d/>
          </c:spPr>
          <c:invertIfNegative val="0"/>
          <c:dLbls>
            <c:dLbl>
              <c:idx val="0"/>
              <c:layout>
                <c:manualLayout>
                  <c:x val="6.7257033964801946E-3"/>
                  <c:y val="-4.9382716049382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B3-46EE-A3F9-C769F1A9B250}"/>
                </c:ext>
              </c:extLst>
            </c:dLbl>
            <c:dLbl>
              <c:idx val="1"/>
              <c:layout>
                <c:manualLayout>
                  <c:x val="2.2419011321600717E-3"/>
                  <c:y val="-4.93827160493836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B3-46EE-A3F9-C769F1A9B250}"/>
                </c:ext>
              </c:extLst>
            </c:dLbl>
            <c:dLbl>
              <c:idx val="2"/>
              <c:layout>
                <c:manualLayout>
                  <c:x val="6.725703396480133E-3"/>
                  <c:y val="-7.4074074074074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B3-46EE-A3F9-C769F1A9B25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9'!$AJ$10:$AJ$12</c:f>
              <c:strCache>
                <c:ptCount val="3"/>
                <c:pt idx="0">
                  <c:v>Es recurrente en las revisiones practicadas al ente auditado en Cuentas Públicas anteriores.</c:v>
                </c:pt>
                <c:pt idx="1">
                  <c:v>Es una situación aislada que NO se vincula con los resultados previos de revisiones.</c:v>
                </c:pt>
                <c:pt idx="2">
                  <c:v>No tengo antecedentes de auditorías previas.</c:v>
                </c:pt>
              </c:strCache>
            </c:strRef>
          </c:cat>
          <c:val>
            <c:numRef>
              <c:f>'PREGUNTA 9'!$AK$10:$AK$12</c:f>
              <c:numCache>
                <c:formatCode>General</c:formatCode>
                <c:ptCount val="3"/>
                <c:pt idx="0">
                  <c:v>93</c:v>
                </c:pt>
                <c:pt idx="1">
                  <c:v>37</c:v>
                </c:pt>
                <c:pt idx="2">
                  <c:v>26</c:v>
                </c:pt>
              </c:numCache>
            </c:numRef>
          </c:val>
          <c:extLst>
            <c:ext xmlns:c16="http://schemas.microsoft.com/office/drawing/2014/chart" uri="{C3380CC4-5D6E-409C-BE32-E72D297353CC}">
              <c16:uniqueId val="{00000000-49BF-4E17-BB4D-4B82DCC1B469}"/>
            </c:ext>
          </c:extLst>
        </c:ser>
        <c:ser>
          <c:idx val="1"/>
          <c:order val="1"/>
          <c:tx>
            <c:strRef>
              <c:f>'PREGUNTA 9'!$AM$8</c:f>
              <c:strCache>
                <c:ptCount val="1"/>
                <c:pt idx="0">
                  <c:v>Incumpliendo de metas y objetivos de fondo, programas o políticas públicas.</c:v>
                </c:pt>
              </c:strCache>
            </c:strRef>
          </c:tx>
          <c:spPr>
            <a:solidFill>
              <a:srgbClr val="70AD47">
                <a:lumMod val="50000"/>
              </a:srgbClr>
            </a:solidFill>
            <a:ln>
              <a:noFill/>
            </a:ln>
            <a:effectLst/>
            <a:sp3d/>
          </c:spPr>
          <c:invertIfNegative val="0"/>
          <c:dLbls>
            <c:dLbl>
              <c:idx val="0"/>
              <c:layout>
                <c:manualLayout>
                  <c:x val="6.7257033964802154E-3"/>
                  <c:y val="-7.4074074074074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B3-46EE-A3F9-C769F1A9B250}"/>
                </c:ext>
              </c:extLst>
            </c:dLbl>
            <c:dLbl>
              <c:idx val="1"/>
              <c:layout>
                <c:manualLayout>
                  <c:x val="8.9676045286402866E-3"/>
                  <c:y val="-9.876543209876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B3-46EE-A3F9-C769F1A9B250}"/>
                </c:ext>
              </c:extLst>
            </c:dLbl>
            <c:dLbl>
              <c:idx val="2"/>
              <c:layout>
                <c:manualLayout>
                  <c:x val="6.7257033964802154E-3"/>
                  <c:y val="-9.876543209876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B3-46EE-A3F9-C769F1A9B25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9'!$AJ$10:$AJ$12</c:f>
              <c:strCache>
                <c:ptCount val="3"/>
                <c:pt idx="0">
                  <c:v>Es recurrente en las revisiones practicadas al ente auditado en Cuentas Públicas anteriores.</c:v>
                </c:pt>
                <c:pt idx="1">
                  <c:v>Es una situación aislada que NO se vincula con los resultados previos de revisiones.</c:v>
                </c:pt>
                <c:pt idx="2">
                  <c:v>No tengo antecedentes de auditorías previas.</c:v>
                </c:pt>
              </c:strCache>
            </c:strRef>
          </c:cat>
          <c:val>
            <c:numRef>
              <c:f>'PREGUNTA 9'!$AM$10:$AM$12</c:f>
              <c:numCache>
                <c:formatCode>General</c:formatCode>
                <c:ptCount val="3"/>
                <c:pt idx="0">
                  <c:v>6</c:v>
                </c:pt>
                <c:pt idx="1">
                  <c:v>13</c:v>
                </c:pt>
                <c:pt idx="2">
                  <c:v>3</c:v>
                </c:pt>
              </c:numCache>
            </c:numRef>
          </c:val>
          <c:extLst>
            <c:ext xmlns:c16="http://schemas.microsoft.com/office/drawing/2014/chart" uri="{C3380CC4-5D6E-409C-BE32-E72D297353CC}">
              <c16:uniqueId val="{00000001-49BF-4E17-BB4D-4B82DCC1B469}"/>
            </c:ext>
          </c:extLst>
        </c:ser>
        <c:ser>
          <c:idx val="2"/>
          <c:order val="2"/>
          <c:tx>
            <c:strRef>
              <c:f>'PREGUNTA 9'!$AO$8</c:f>
              <c:strCache>
                <c:ptCount val="1"/>
                <c:pt idx="0">
                  <c:v>Incorrecta  aplicación de recursos.</c:v>
                </c:pt>
              </c:strCache>
            </c:strRef>
          </c:tx>
          <c:spPr>
            <a:solidFill>
              <a:srgbClr val="FF9900"/>
            </a:solidFill>
            <a:ln>
              <a:noFill/>
            </a:ln>
            <a:effectLst/>
            <a:sp3d/>
          </c:spPr>
          <c:invertIfNegative val="0"/>
          <c:dLbls>
            <c:dLbl>
              <c:idx val="0"/>
              <c:layout>
                <c:manualLayout>
                  <c:x val="8.9676045286402866E-3"/>
                  <c:y val="-2.46913580246913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B3-46EE-A3F9-C769F1A9B250}"/>
                </c:ext>
              </c:extLst>
            </c:dLbl>
            <c:dLbl>
              <c:idx val="1"/>
              <c:layout>
                <c:manualLayout>
                  <c:x val="4.4838022643201433E-3"/>
                  <c:y val="-7.4074074074074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B3-46EE-A3F9-C769F1A9B250}"/>
                </c:ext>
              </c:extLst>
            </c:dLbl>
            <c:dLbl>
              <c:idx val="2"/>
              <c:layout>
                <c:manualLayout>
                  <c:x val="8.9676045286401218E-3"/>
                  <c:y val="-2.4691358024692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B3-46EE-A3F9-C769F1A9B25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9'!$AJ$10:$AJ$12</c:f>
              <c:strCache>
                <c:ptCount val="3"/>
                <c:pt idx="0">
                  <c:v>Es recurrente en las revisiones practicadas al ente auditado en Cuentas Públicas anteriores.</c:v>
                </c:pt>
                <c:pt idx="1">
                  <c:v>Es una situación aislada que NO se vincula con los resultados previos de revisiones.</c:v>
                </c:pt>
                <c:pt idx="2">
                  <c:v>No tengo antecedentes de auditorías previas.</c:v>
                </c:pt>
              </c:strCache>
            </c:strRef>
          </c:cat>
          <c:val>
            <c:numRef>
              <c:f>'PREGUNTA 9'!$AO$10:$AO$12</c:f>
              <c:numCache>
                <c:formatCode>General</c:formatCode>
                <c:ptCount val="3"/>
                <c:pt idx="0">
                  <c:v>3</c:v>
                </c:pt>
                <c:pt idx="1">
                  <c:v>6</c:v>
                </c:pt>
                <c:pt idx="2">
                  <c:v>2</c:v>
                </c:pt>
              </c:numCache>
            </c:numRef>
          </c:val>
          <c:extLst>
            <c:ext xmlns:c16="http://schemas.microsoft.com/office/drawing/2014/chart" uri="{C3380CC4-5D6E-409C-BE32-E72D297353CC}">
              <c16:uniqueId val="{00000002-49BF-4E17-BB4D-4B82DCC1B469}"/>
            </c:ext>
          </c:extLst>
        </c:ser>
        <c:ser>
          <c:idx val="3"/>
          <c:order val="3"/>
          <c:tx>
            <c:strRef>
              <c:f>'PREGUNTA 9'!$AQ$8</c:f>
              <c:strCache>
                <c:ptCount val="1"/>
                <c:pt idx="0">
                  <c:v>Inadecuada captación de recursos públicos.</c:v>
                </c:pt>
              </c:strCache>
            </c:strRef>
          </c:tx>
          <c:spPr>
            <a:solidFill>
              <a:srgbClr val="B2B2B2"/>
            </a:solidFill>
            <a:ln>
              <a:noFill/>
            </a:ln>
            <a:effectLst/>
            <a:sp3d/>
          </c:spPr>
          <c:invertIfNegative val="0"/>
          <c:dLbls>
            <c:dLbl>
              <c:idx val="0"/>
              <c:layout>
                <c:manualLayout>
                  <c:x val="8.9676045286402467E-3"/>
                  <c:y val="-2.4691358024692264E-3"/>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B3-46EE-A3F9-C769F1A9B250}"/>
                </c:ext>
              </c:extLst>
            </c:dLbl>
            <c:dLbl>
              <c:idx val="1"/>
              <c:delete val="1"/>
              <c:extLst>
                <c:ext xmlns:c15="http://schemas.microsoft.com/office/drawing/2012/chart" uri="{CE6537A1-D6FC-4f65-9D91-7224C49458BB}"/>
                <c:ext xmlns:c16="http://schemas.microsoft.com/office/drawing/2014/chart" uri="{C3380CC4-5D6E-409C-BE32-E72D297353CC}">
                  <c16:uniqueId val="{0000000A-0AB3-46EE-A3F9-C769F1A9B250}"/>
                </c:ext>
              </c:extLst>
            </c:dLbl>
            <c:dLbl>
              <c:idx val="2"/>
              <c:delete val="1"/>
              <c:extLst>
                <c:ext xmlns:c15="http://schemas.microsoft.com/office/drawing/2012/chart" uri="{CE6537A1-D6FC-4f65-9D91-7224C49458BB}"/>
                <c:ext xmlns:c16="http://schemas.microsoft.com/office/drawing/2014/chart" uri="{C3380CC4-5D6E-409C-BE32-E72D297353CC}">
                  <c16:uniqueId val="{0000000B-0AB3-46EE-A3F9-C769F1A9B25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9'!$AJ$10:$AJ$12</c:f>
              <c:strCache>
                <c:ptCount val="3"/>
                <c:pt idx="0">
                  <c:v>Es recurrente en las revisiones practicadas al ente auditado en Cuentas Públicas anteriores.</c:v>
                </c:pt>
                <c:pt idx="1">
                  <c:v>Es una situación aislada que NO se vincula con los resultados previos de revisiones.</c:v>
                </c:pt>
                <c:pt idx="2">
                  <c:v>No tengo antecedentes de auditorías previas.</c:v>
                </c:pt>
              </c:strCache>
            </c:strRef>
          </c:cat>
          <c:val>
            <c:numRef>
              <c:f>'PREGUNTA 9'!$AQ$10:$AQ$12</c:f>
              <c:numCache>
                <c:formatCode>General</c:formatCode>
                <c:ptCount val="3"/>
                <c:pt idx="0">
                  <c:v>2</c:v>
                </c:pt>
                <c:pt idx="1">
                  <c:v>0</c:v>
                </c:pt>
                <c:pt idx="2">
                  <c:v>0</c:v>
                </c:pt>
              </c:numCache>
            </c:numRef>
          </c:val>
          <c:extLst>
            <c:ext xmlns:c16="http://schemas.microsoft.com/office/drawing/2014/chart" uri="{C3380CC4-5D6E-409C-BE32-E72D297353CC}">
              <c16:uniqueId val="{00000003-49BF-4E17-BB4D-4B82DCC1B469}"/>
            </c:ext>
          </c:extLst>
        </c:ser>
        <c:dLbls>
          <c:showLegendKey val="0"/>
          <c:showVal val="1"/>
          <c:showCatName val="0"/>
          <c:showSerName val="0"/>
          <c:showPercent val="0"/>
          <c:showBubbleSize val="0"/>
        </c:dLbls>
        <c:gapWidth val="150"/>
        <c:shape val="box"/>
        <c:axId val="574567135"/>
        <c:axId val="574558815"/>
        <c:axId val="0"/>
      </c:bar3DChart>
      <c:catAx>
        <c:axId val="574567135"/>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74558815"/>
        <c:crosses val="autoZero"/>
        <c:auto val="1"/>
        <c:lblAlgn val="ctr"/>
        <c:lblOffset val="100"/>
        <c:noMultiLvlLbl val="0"/>
      </c:catAx>
      <c:valAx>
        <c:axId val="574558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74567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Probabilidad de Recurrencia de la Problemática de Auditoría</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'PREGUNTA 10'!$M$150</c:f>
              <c:strCache>
                <c:ptCount val="1"/>
                <c:pt idx="0">
                  <c:v>Alta</c:v>
                </c:pt>
              </c:strCache>
            </c:strRef>
          </c:tx>
          <c:spPr>
            <a:solidFill>
              <a:srgbClr val="70AD47">
                <a:lumMod val="50000"/>
              </a:srgbClr>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'PREGUNTA 10'!$L$151:$L$154</c:f>
              <c:strCache>
                <c:ptCount val="4"/>
                <c:pt idx="0">
                  <c:v>Incorrecta  aplicación de recursos.</c:v>
                </c:pt>
                <c:pt idx="1">
                  <c:v>Inadecuada captación de recursos públicos.</c:v>
                </c:pt>
                <c:pt idx="2">
                  <c:v>Incumpliendo de metas y objetivos de fondo, programas o políticas públicas.</c:v>
                </c:pt>
                <c:pt idx="3">
                  <c:v>Fallas o errores en la gestión administrativa del ente auditado.</c:v>
                </c:pt>
              </c:strCache>
            </c:strRef>
          </c:cat>
          <c:val>
            <c:numRef>
              <c:f>'PREGUNTA 10'!$M$151:$M$154</c:f>
              <c:numCache>
                <c:formatCode>General</c:formatCode>
                <c:ptCount val="4"/>
                <c:pt idx="0">
                  <c:v>2</c:v>
                </c:pt>
                <c:pt idx="1">
                  <c:v>1</c:v>
                </c:pt>
                <c:pt idx="2">
                  <c:v>6</c:v>
                </c:pt>
                <c:pt idx="3">
                  <c:v>45</c:v>
                </c:pt>
              </c:numCache>
            </c:numRef>
          </c:val>
          <c:extLst>
            <c:ext xmlns:c16="http://schemas.microsoft.com/office/drawing/2014/chart" uri="{C3380CC4-5D6E-409C-BE32-E72D297353CC}">
              <c16:uniqueId val="{00000000-61F2-40E3-AA4A-601ADCBE3E79}"/>
            </c:ext>
          </c:extLst>
        </c:ser>
        <c:ser>
          <c:idx val="1"/>
          <c:order val="1"/>
          <c:tx>
            <c:strRef>
              <c:f>'PREGUNTA 10'!$N$150</c:f>
              <c:strCache>
                <c:ptCount val="1"/>
                <c:pt idx="0">
                  <c:v>Media</c:v>
                </c:pt>
              </c:strCache>
            </c:strRef>
          </c:tx>
          <c:spPr>
            <a:solidFill>
              <a:srgbClr val="800000"/>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'PREGUNTA 10'!$L$151:$L$154</c:f>
              <c:strCache>
                <c:ptCount val="4"/>
                <c:pt idx="0">
                  <c:v>Incorrecta  aplicación de recursos.</c:v>
                </c:pt>
                <c:pt idx="1">
                  <c:v>Inadecuada captación de recursos públicos.</c:v>
                </c:pt>
                <c:pt idx="2">
                  <c:v>Incumpliendo de metas y objetivos de fondo, programas o políticas públicas.</c:v>
                </c:pt>
                <c:pt idx="3">
                  <c:v>Fallas o errores en la gestión administrativa del ente auditado.</c:v>
                </c:pt>
              </c:strCache>
            </c:strRef>
          </c:cat>
          <c:val>
            <c:numRef>
              <c:f>'PREGUNTA 10'!$N$151:$N$154</c:f>
              <c:numCache>
                <c:formatCode>General</c:formatCode>
                <c:ptCount val="4"/>
                <c:pt idx="0">
                  <c:v>8</c:v>
                </c:pt>
                <c:pt idx="1">
                  <c:v>1</c:v>
                </c:pt>
                <c:pt idx="2">
                  <c:v>15</c:v>
                </c:pt>
                <c:pt idx="3">
                  <c:v>79</c:v>
                </c:pt>
              </c:numCache>
            </c:numRef>
          </c:val>
          <c:extLst>
            <c:ext xmlns:c16="http://schemas.microsoft.com/office/drawing/2014/chart" uri="{C3380CC4-5D6E-409C-BE32-E72D297353CC}">
              <c16:uniqueId val="{00000001-61F2-40E3-AA4A-601ADCBE3E79}"/>
            </c:ext>
          </c:extLst>
        </c:ser>
        <c:ser>
          <c:idx val="2"/>
          <c:order val="2"/>
          <c:tx>
            <c:strRef>
              <c:f>'PREGUNTA 10'!$O$150</c:f>
              <c:strCache>
                <c:ptCount val="1"/>
                <c:pt idx="0">
                  <c:v>Baja</c:v>
                </c:pt>
              </c:strCache>
            </c:strRef>
          </c:tx>
          <c:spPr>
            <a:solidFill>
              <a:srgbClr val="FF9900"/>
            </a:soli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C62D-4B92-9847-2C023E6CF5D4}"/>
                </c:ext>
              </c:extLst>
            </c:dLbl>
            <c:dLbl>
              <c:idx val="2"/>
              <c:layout>
                <c:manualLayout>
                  <c:x val="1.4086160347458621E-2"/>
                  <c:y val="-3.14021039409651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F2-40E3-AA4A-601ADCBE3E79}"/>
                </c:ext>
              </c:extLst>
            </c:dLbl>
            <c:dLbl>
              <c:idx val="3"/>
              <c:layout>
                <c:manualLayout>
                  <c:x val="1.4086160347458621E-2"/>
                  <c:y val="-1.2560841576385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F2-40E3-AA4A-601ADCBE3E7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10'!$L$151:$L$154</c:f>
              <c:strCache>
                <c:ptCount val="4"/>
                <c:pt idx="0">
                  <c:v>Incorrecta  aplicación de recursos.</c:v>
                </c:pt>
                <c:pt idx="1">
                  <c:v>Inadecuada captación de recursos públicos.</c:v>
                </c:pt>
                <c:pt idx="2">
                  <c:v>Incumpliendo de metas y objetivos de fondo, programas o políticas públicas.</c:v>
                </c:pt>
                <c:pt idx="3">
                  <c:v>Fallas o errores en la gestión administrativa del ente auditado.</c:v>
                </c:pt>
              </c:strCache>
            </c:strRef>
          </c:cat>
          <c:val>
            <c:numRef>
              <c:f>'PREGUNTA 10'!$O$151:$O$154</c:f>
              <c:numCache>
                <c:formatCode>General</c:formatCode>
                <c:ptCount val="4"/>
                <c:pt idx="0">
                  <c:v>1</c:v>
                </c:pt>
                <c:pt idx="1">
                  <c:v>0</c:v>
                </c:pt>
                <c:pt idx="2">
                  <c:v>1</c:v>
                </c:pt>
                <c:pt idx="3">
                  <c:v>32</c:v>
                </c:pt>
              </c:numCache>
            </c:numRef>
          </c:val>
          <c:extLst>
            <c:ext xmlns:c16="http://schemas.microsoft.com/office/drawing/2014/chart" uri="{C3380CC4-5D6E-409C-BE32-E72D297353CC}">
              <c16:uniqueId val="{00000004-61F2-40E3-AA4A-601ADCBE3E79}"/>
            </c:ext>
          </c:extLst>
        </c:ser>
        <c:dLbls>
          <c:showLegendKey val="0"/>
          <c:showVal val="1"/>
          <c:showCatName val="0"/>
          <c:showSerName val="0"/>
          <c:showPercent val="0"/>
          <c:showBubbleSize val="0"/>
        </c:dLbls>
        <c:gapWidth val="150"/>
        <c:shape val="box"/>
        <c:axId val="649429759"/>
        <c:axId val="649431839"/>
        <c:axId val="0"/>
      </c:bar3DChart>
      <c:catAx>
        <c:axId val="64942975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49431839"/>
        <c:crosses val="autoZero"/>
        <c:auto val="1"/>
        <c:lblAlgn val="ctr"/>
        <c:lblOffset val="100"/>
        <c:noMultiLvlLbl val="0"/>
      </c:catAx>
      <c:valAx>
        <c:axId val="64943183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49429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b="1"/>
              <a:t>Auditorías realizadas a la Cuenta Pública 2022</a:t>
            </a:r>
          </a:p>
          <a:p>
            <a:pPr>
              <a:defRPr b="1"/>
            </a:pPr>
            <a:r>
              <a:rPr lang="es-MX" b="1"/>
              <a:t>(Por cada entrega)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899512560929881E-2"/>
          <c:y val="0.16493150684931507"/>
          <c:w val="0.86687670210436385"/>
          <c:h val="0.66137465693500641"/>
        </c:manualLayout>
      </c:layout>
      <c:bar3DChart>
        <c:barDir val="col"/>
        <c:grouping val="standard"/>
        <c:varyColors val="0"/>
        <c:ser>
          <c:idx val="0"/>
          <c:order val="0"/>
          <c:tx>
            <c:strRef>
              <c:f>Hoja1!$C$2:$C$3</c:f>
              <c:strCache>
                <c:ptCount val="2"/>
                <c:pt idx="0">
                  <c:v>Junio 23</c:v>
                </c:pt>
              </c:strCache>
            </c:strRef>
          </c:tx>
          <c:spPr>
            <a:solidFill>
              <a:srgbClr val="800000"/>
            </a:solidFill>
            <a:ln>
              <a:noFill/>
            </a:ln>
            <a:effectLst/>
            <a:sp3d/>
          </c:spPr>
          <c:invertIfNegative val="0"/>
          <c:cat>
            <c:strRef>
              <c:f>Hoja1!$B$4:$B$6</c:f>
              <c:strCache>
                <c:ptCount val="3"/>
                <c:pt idx="0">
                  <c:v>Auditoría de Cumplimiento Financiero</c:v>
                </c:pt>
                <c:pt idx="1">
                  <c:v>Auditoría de Inversiones Físicas</c:v>
                </c:pt>
                <c:pt idx="2">
                  <c:v>Auditoría al Desempeño</c:v>
                </c:pt>
              </c:strCache>
            </c:strRef>
          </c:cat>
          <c:val>
            <c:numRef>
              <c:f>Hoja1!$C$4:$C$6</c:f>
              <c:numCache>
                <c:formatCode>General</c:formatCode>
                <c:ptCount val="3"/>
                <c:pt idx="0">
                  <c:v>16</c:v>
                </c:pt>
                <c:pt idx="1">
                  <c:v>0</c:v>
                </c:pt>
                <c:pt idx="2">
                  <c:v>14</c:v>
                </c:pt>
              </c:numCache>
            </c:numRef>
          </c:val>
          <c:extLst>
            <c:ext xmlns:c16="http://schemas.microsoft.com/office/drawing/2014/chart" uri="{C3380CC4-5D6E-409C-BE32-E72D297353CC}">
              <c16:uniqueId val="{00000000-2C9B-49EA-849B-9EFD12FB3282}"/>
            </c:ext>
          </c:extLst>
        </c:ser>
        <c:ser>
          <c:idx val="1"/>
          <c:order val="1"/>
          <c:tx>
            <c:strRef>
              <c:f>Hoja1!$D$2:$D$3</c:f>
              <c:strCache>
                <c:ptCount val="2"/>
                <c:pt idx="0">
                  <c:v>Octubre 23</c:v>
                </c:pt>
              </c:strCache>
            </c:strRef>
          </c:tx>
          <c:spPr>
            <a:solidFill>
              <a:srgbClr val="BF9000"/>
            </a:solidFill>
            <a:ln>
              <a:noFill/>
            </a:ln>
            <a:effectLst/>
            <a:sp3d/>
          </c:spPr>
          <c:invertIfNegative val="0"/>
          <c:cat>
            <c:strRef>
              <c:f>Hoja1!$B$4:$B$6</c:f>
              <c:strCache>
                <c:ptCount val="3"/>
                <c:pt idx="0">
                  <c:v>Auditoría de Cumplimiento Financiero</c:v>
                </c:pt>
                <c:pt idx="1">
                  <c:v>Auditoría de Inversiones Físicas</c:v>
                </c:pt>
                <c:pt idx="2">
                  <c:v>Auditoría al Desempeño</c:v>
                </c:pt>
              </c:strCache>
            </c:strRef>
          </c:cat>
          <c:val>
            <c:numRef>
              <c:f>Hoja1!$D$4:$D$6</c:f>
              <c:numCache>
                <c:formatCode>General</c:formatCode>
                <c:ptCount val="3"/>
                <c:pt idx="0">
                  <c:v>58</c:v>
                </c:pt>
                <c:pt idx="1">
                  <c:v>19</c:v>
                </c:pt>
                <c:pt idx="2">
                  <c:v>17</c:v>
                </c:pt>
              </c:numCache>
            </c:numRef>
          </c:val>
          <c:extLst>
            <c:ext xmlns:c16="http://schemas.microsoft.com/office/drawing/2014/chart" uri="{C3380CC4-5D6E-409C-BE32-E72D297353CC}">
              <c16:uniqueId val="{00000001-2C9B-49EA-849B-9EFD12FB3282}"/>
            </c:ext>
          </c:extLst>
        </c:ser>
        <c:ser>
          <c:idx val="2"/>
          <c:order val="2"/>
          <c:tx>
            <c:strRef>
              <c:f>Hoja1!$E$2:$E$3</c:f>
              <c:strCache>
                <c:ptCount val="2"/>
                <c:pt idx="0">
                  <c:v>Febrero 24</c:v>
                </c:pt>
              </c:strCache>
            </c:strRef>
          </c:tx>
          <c:spPr>
            <a:solidFill>
              <a:schemeClr val="accent6">
                <a:lumMod val="50000"/>
              </a:schemeClr>
            </a:solidFill>
            <a:ln>
              <a:noFill/>
            </a:ln>
            <a:effectLst/>
            <a:sp3d/>
          </c:spPr>
          <c:invertIfNegative val="0"/>
          <c:cat>
            <c:strRef>
              <c:f>Hoja1!$B$4:$B$6</c:f>
              <c:strCache>
                <c:ptCount val="3"/>
                <c:pt idx="0">
                  <c:v>Auditoría de Cumplimiento Financiero</c:v>
                </c:pt>
                <c:pt idx="1">
                  <c:v>Auditoría de Inversiones Físicas</c:v>
                </c:pt>
                <c:pt idx="2">
                  <c:v>Auditoría al Desempeño</c:v>
                </c:pt>
              </c:strCache>
            </c:strRef>
          </c:cat>
          <c:val>
            <c:numRef>
              <c:f>Hoja1!$E$4:$E$6</c:f>
              <c:numCache>
                <c:formatCode>General</c:formatCode>
                <c:ptCount val="3"/>
                <c:pt idx="0">
                  <c:v>90</c:v>
                </c:pt>
                <c:pt idx="1">
                  <c:v>25</c:v>
                </c:pt>
                <c:pt idx="2">
                  <c:v>8</c:v>
                </c:pt>
              </c:numCache>
            </c:numRef>
          </c:val>
          <c:extLst>
            <c:ext xmlns:c16="http://schemas.microsoft.com/office/drawing/2014/chart" uri="{C3380CC4-5D6E-409C-BE32-E72D297353CC}">
              <c16:uniqueId val="{00000002-2C9B-49EA-849B-9EFD12FB3282}"/>
            </c:ext>
          </c:extLst>
        </c:ser>
        <c:dLbls>
          <c:showLegendKey val="0"/>
          <c:showVal val="0"/>
          <c:showCatName val="0"/>
          <c:showSerName val="0"/>
          <c:showPercent val="0"/>
          <c:showBubbleSize val="0"/>
        </c:dLbls>
        <c:gapWidth val="150"/>
        <c:shape val="box"/>
        <c:axId val="550575615"/>
        <c:axId val="550578943"/>
        <c:axId val="554991247"/>
      </c:bar3DChart>
      <c:catAx>
        <c:axId val="550575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50578943"/>
        <c:crosses val="autoZero"/>
        <c:auto val="1"/>
        <c:lblAlgn val="ctr"/>
        <c:lblOffset val="100"/>
        <c:noMultiLvlLbl val="0"/>
      </c:catAx>
      <c:valAx>
        <c:axId val="55057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50575615"/>
        <c:crosses val="autoZero"/>
        <c:crossBetween val="between"/>
      </c:valAx>
      <c:serAx>
        <c:axId val="554991247"/>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5057894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sz="1200">
                <a:solidFill>
                  <a:sysClr val="windowText" lastClr="000000"/>
                </a:solidFill>
                <a:latin typeface="Arial" panose="020B0604020202020204" pitchFamily="34" charset="0"/>
                <a:cs typeface="Arial" panose="020B0604020202020204" pitchFamily="34" charset="0"/>
              </a:rPr>
              <a:t>Informes Individuales Presentados</a:t>
            </a:r>
          </a:p>
          <a:p>
            <a:pPr>
              <a:defRPr sz="1200">
                <a:solidFill>
                  <a:sysClr val="windowText" lastClr="000000"/>
                </a:solidFill>
                <a:latin typeface="Arial" panose="020B0604020202020204" pitchFamily="34" charset="0"/>
                <a:cs typeface="Arial" panose="020B0604020202020204" pitchFamily="34" charset="0"/>
              </a:defRPr>
            </a:pPr>
            <a:r>
              <a:rPr lang="es-MX" sz="1200">
                <a:solidFill>
                  <a:sysClr val="windowText" lastClr="000000"/>
                </a:solidFill>
                <a:latin typeface="Arial" panose="020B0604020202020204" pitchFamily="34" charset="0"/>
                <a:cs typeface="Arial" panose="020B0604020202020204" pitchFamily="34" charset="0"/>
              </a:rPr>
              <a:t>Cuenta</a:t>
            </a:r>
            <a:r>
              <a:rPr lang="es-MX" sz="1200" baseline="0">
                <a:solidFill>
                  <a:sysClr val="windowText" lastClr="000000"/>
                </a:solidFill>
                <a:latin typeface="Arial" panose="020B0604020202020204" pitchFamily="34" charset="0"/>
                <a:cs typeface="Arial" panose="020B0604020202020204" pitchFamily="34" charset="0"/>
              </a:rPr>
              <a:t> Pública 2022</a:t>
            </a:r>
          </a:p>
          <a:p>
            <a:pPr>
              <a:defRPr sz="1200">
                <a:solidFill>
                  <a:sysClr val="windowText" lastClr="000000"/>
                </a:solidFill>
                <a:latin typeface="Arial" panose="020B0604020202020204" pitchFamily="34" charset="0"/>
                <a:cs typeface="Arial" panose="020B0604020202020204" pitchFamily="34" charset="0"/>
              </a:defRPr>
            </a:pPr>
            <a:r>
              <a:rPr lang="es-MX" sz="1200" baseline="0">
                <a:solidFill>
                  <a:sysClr val="windowText" lastClr="000000"/>
                </a:solidFill>
                <a:latin typeface="Arial" panose="020B0604020202020204" pitchFamily="34" charset="0"/>
                <a:cs typeface="Arial" panose="020B0604020202020204" pitchFamily="34" charset="0"/>
              </a:rPr>
              <a:t>(Por clasificación de Ente y Tipo de Informe)</a:t>
            </a:r>
            <a:endParaRPr lang="es-MX"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Hoja2!$B$4</c:f>
              <c:strCache>
                <c:ptCount val="1"/>
                <c:pt idx="0">
                  <c:v>Poder Ejecutivo</c:v>
                </c:pt>
              </c:strCache>
            </c:strRef>
          </c:tx>
          <c:spPr>
            <a:solidFill>
              <a:srgbClr val="000066"/>
            </a:solidFill>
            <a:ln>
              <a:noFill/>
            </a:ln>
            <a:effectLst>
              <a:outerShdw blurRad="57150" dist="19050" dir="5400000" algn="ctr" rotWithShape="0">
                <a:srgbClr val="000000">
                  <a:alpha val="63000"/>
                </a:srgbClr>
              </a:outerShdw>
            </a:effectLst>
            <a:sp3d/>
          </c:spPr>
          <c:invertIfNegative val="0"/>
          <c:cat>
            <c:strRef>
              <c:f>Hoja2!$C$3:$E$3</c:f>
              <c:strCache>
                <c:ptCount val="3"/>
                <c:pt idx="0">
                  <c:v>Financieras</c:v>
                </c:pt>
                <c:pt idx="1">
                  <c:v>Desempeño</c:v>
                </c:pt>
                <c:pt idx="2">
                  <c:v>Inversiones Físicas</c:v>
                </c:pt>
              </c:strCache>
            </c:strRef>
          </c:cat>
          <c:val>
            <c:numRef>
              <c:f>Hoja2!$C$4:$E$4</c:f>
              <c:numCache>
                <c:formatCode>General</c:formatCode>
                <c:ptCount val="3"/>
                <c:pt idx="0">
                  <c:v>1</c:v>
                </c:pt>
                <c:pt idx="1">
                  <c:v>0</c:v>
                </c:pt>
                <c:pt idx="2">
                  <c:v>0</c:v>
                </c:pt>
              </c:numCache>
            </c:numRef>
          </c:val>
          <c:extLst>
            <c:ext xmlns:c16="http://schemas.microsoft.com/office/drawing/2014/chart" uri="{C3380CC4-5D6E-409C-BE32-E72D297353CC}">
              <c16:uniqueId val="{00000000-ECC0-49AA-9F76-2E9FDF64B232}"/>
            </c:ext>
          </c:extLst>
        </c:ser>
        <c:ser>
          <c:idx val="1"/>
          <c:order val="1"/>
          <c:tx>
            <c:strRef>
              <c:f>Hoja2!$B$5</c:f>
              <c:strCache>
                <c:ptCount val="1"/>
                <c:pt idx="0">
                  <c:v>Poder Legislativo</c:v>
                </c:pt>
              </c:strCache>
            </c:strRef>
          </c:tx>
          <c:spPr>
            <a:solidFill>
              <a:srgbClr val="006699"/>
            </a:solidFill>
            <a:ln>
              <a:noFill/>
            </a:ln>
            <a:effectLst>
              <a:outerShdw blurRad="57150" dist="19050" dir="5400000" algn="ctr" rotWithShape="0">
                <a:srgbClr val="000000">
                  <a:alpha val="63000"/>
                </a:srgbClr>
              </a:outerShdw>
            </a:effectLst>
            <a:sp3d/>
          </c:spPr>
          <c:invertIfNegative val="0"/>
          <c:cat>
            <c:strRef>
              <c:f>Hoja2!$C$3:$E$3</c:f>
              <c:strCache>
                <c:ptCount val="3"/>
                <c:pt idx="0">
                  <c:v>Financieras</c:v>
                </c:pt>
                <c:pt idx="1">
                  <c:v>Desempeño</c:v>
                </c:pt>
                <c:pt idx="2">
                  <c:v>Inversiones Físicas</c:v>
                </c:pt>
              </c:strCache>
            </c:strRef>
          </c:cat>
          <c:val>
            <c:numRef>
              <c:f>Hoja2!$C$5:$E$5</c:f>
              <c:numCache>
                <c:formatCode>General</c:formatCode>
                <c:ptCount val="3"/>
                <c:pt idx="0">
                  <c:v>1</c:v>
                </c:pt>
                <c:pt idx="1">
                  <c:v>0</c:v>
                </c:pt>
                <c:pt idx="2">
                  <c:v>0</c:v>
                </c:pt>
              </c:numCache>
            </c:numRef>
          </c:val>
          <c:extLst>
            <c:ext xmlns:c16="http://schemas.microsoft.com/office/drawing/2014/chart" uri="{C3380CC4-5D6E-409C-BE32-E72D297353CC}">
              <c16:uniqueId val="{00000001-ECC0-49AA-9F76-2E9FDF64B232}"/>
            </c:ext>
          </c:extLst>
        </c:ser>
        <c:ser>
          <c:idx val="2"/>
          <c:order val="2"/>
          <c:tx>
            <c:strRef>
              <c:f>Hoja2!$B$6</c:f>
              <c:strCache>
                <c:ptCount val="1"/>
                <c:pt idx="0">
                  <c:v>Poder Judicial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Hoja2!$C$3:$E$3</c:f>
              <c:strCache>
                <c:ptCount val="3"/>
                <c:pt idx="0">
                  <c:v>Financieras</c:v>
                </c:pt>
                <c:pt idx="1">
                  <c:v>Desempeño</c:v>
                </c:pt>
                <c:pt idx="2">
                  <c:v>Inversiones Físicas</c:v>
                </c:pt>
              </c:strCache>
            </c:strRef>
          </c:cat>
          <c:val>
            <c:numRef>
              <c:f>Hoja2!$C$6:$E$6</c:f>
              <c:numCache>
                <c:formatCode>General</c:formatCode>
                <c:ptCount val="3"/>
                <c:pt idx="0">
                  <c:v>1</c:v>
                </c:pt>
                <c:pt idx="1">
                  <c:v>0</c:v>
                </c:pt>
                <c:pt idx="2">
                  <c:v>1</c:v>
                </c:pt>
              </c:numCache>
            </c:numRef>
          </c:val>
          <c:extLst>
            <c:ext xmlns:c16="http://schemas.microsoft.com/office/drawing/2014/chart" uri="{C3380CC4-5D6E-409C-BE32-E72D297353CC}">
              <c16:uniqueId val="{00000002-ECC0-49AA-9F76-2E9FDF64B232}"/>
            </c:ext>
          </c:extLst>
        </c:ser>
        <c:ser>
          <c:idx val="3"/>
          <c:order val="3"/>
          <c:tx>
            <c:strRef>
              <c:f>Hoja2!$B$7</c:f>
              <c:strCache>
                <c:ptCount val="1"/>
                <c:pt idx="0">
                  <c:v>Administración Pública Paraestatal</c:v>
                </c:pt>
              </c:strCache>
            </c:strRef>
          </c:tx>
          <c:spPr>
            <a:solidFill>
              <a:srgbClr val="800000"/>
            </a:solidFill>
            <a:ln>
              <a:noFill/>
            </a:ln>
            <a:effectLst>
              <a:outerShdw blurRad="57150" dist="19050" dir="5400000" algn="ctr" rotWithShape="0">
                <a:srgbClr val="000000">
                  <a:alpha val="63000"/>
                </a:srgbClr>
              </a:outerShdw>
            </a:effectLst>
            <a:sp3d/>
          </c:spPr>
          <c:invertIfNegative val="0"/>
          <c:cat>
            <c:strRef>
              <c:f>Hoja2!$C$3:$E$3</c:f>
              <c:strCache>
                <c:ptCount val="3"/>
                <c:pt idx="0">
                  <c:v>Financieras</c:v>
                </c:pt>
                <c:pt idx="1">
                  <c:v>Desempeño</c:v>
                </c:pt>
                <c:pt idx="2">
                  <c:v>Inversiones Físicas</c:v>
                </c:pt>
              </c:strCache>
            </c:strRef>
          </c:cat>
          <c:val>
            <c:numRef>
              <c:f>Hoja2!$C$7:$E$7</c:f>
              <c:numCache>
                <c:formatCode>General</c:formatCode>
                <c:ptCount val="3"/>
                <c:pt idx="0">
                  <c:v>44</c:v>
                </c:pt>
                <c:pt idx="1">
                  <c:v>10</c:v>
                </c:pt>
                <c:pt idx="2">
                  <c:v>5</c:v>
                </c:pt>
              </c:numCache>
            </c:numRef>
          </c:val>
          <c:extLst>
            <c:ext xmlns:c16="http://schemas.microsoft.com/office/drawing/2014/chart" uri="{C3380CC4-5D6E-409C-BE32-E72D297353CC}">
              <c16:uniqueId val="{00000003-ECC0-49AA-9F76-2E9FDF64B232}"/>
            </c:ext>
          </c:extLst>
        </c:ser>
        <c:ser>
          <c:idx val="4"/>
          <c:order val="4"/>
          <c:tx>
            <c:strRef>
              <c:f>Hoja2!$B$8</c:f>
              <c:strCache>
                <c:ptCount val="1"/>
                <c:pt idx="0">
                  <c:v>Administración Pública Central</c:v>
                </c:pt>
              </c:strCache>
            </c:strRef>
          </c:tx>
          <c:spPr>
            <a:solidFill>
              <a:srgbClr val="003300"/>
            </a:solidFill>
            <a:ln>
              <a:noFill/>
            </a:ln>
            <a:effectLst>
              <a:outerShdw blurRad="57150" dist="19050" dir="5400000" algn="ctr" rotWithShape="0">
                <a:srgbClr val="000000">
                  <a:alpha val="63000"/>
                </a:srgbClr>
              </a:outerShdw>
            </a:effectLst>
            <a:sp3d/>
          </c:spPr>
          <c:invertIfNegative val="0"/>
          <c:cat>
            <c:strRef>
              <c:f>Hoja2!$C$3:$E$3</c:f>
              <c:strCache>
                <c:ptCount val="3"/>
                <c:pt idx="0">
                  <c:v>Financieras</c:v>
                </c:pt>
                <c:pt idx="1">
                  <c:v>Desempeño</c:v>
                </c:pt>
                <c:pt idx="2">
                  <c:v>Inversiones Físicas</c:v>
                </c:pt>
              </c:strCache>
            </c:strRef>
          </c:cat>
          <c:val>
            <c:numRef>
              <c:f>Hoja2!$C$8:$E$8</c:f>
              <c:numCache>
                <c:formatCode>General</c:formatCode>
                <c:ptCount val="3"/>
                <c:pt idx="0">
                  <c:v>16</c:v>
                </c:pt>
                <c:pt idx="1">
                  <c:v>9</c:v>
                </c:pt>
                <c:pt idx="2">
                  <c:v>2</c:v>
                </c:pt>
              </c:numCache>
            </c:numRef>
          </c:val>
          <c:extLst>
            <c:ext xmlns:c16="http://schemas.microsoft.com/office/drawing/2014/chart" uri="{C3380CC4-5D6E-409C-BE32-E72D297353CC}">
              <c16:uniqueId val="{00000004-ECC0-49AA-9F76-2E9FDF64B232}"/>
            </c:ext>
          </c:extLst>
        </c:ser>
        <c:ser>
          <c:idx val="5"/>
          <c:order val="5"/>
          <c:tx>
            <c:strRef>
              <c:f>Hoja2!$B$9</c:f>
              <c:strCache>
                <c:ptCount val="1"/>
                <c:pt idx="0">
                  <c:v>Órganos Autónomos</c:v>
                </c:pt>
              </c:strCache>
            </c:strRef>
          </c:tx>
          <c:spPr>
            <a:solidFill>
              <a:schemeClr val="accent4">
                <a:lumMod val="75000"/>
              </a:schemeClr>
            </a:solidFill>
            <a:ln>
              <a:noFill/>
            </a:ln>
            <a:effectLst>
              <a:outerShdw blurRad="57150" dist="19050" dir="5400000" algn="ctr" rotWithShape="0">
                <a:srgbClr val="000000">
                  <a:alpha val="63000"/>
                </a:srgbClr>
              </a:outerShdw>
            </a:effectLst>
            <a:sp3d/>
          </c:spPr>
          <c:invertIfNegative val="0"/>
          <c:cat>
            <c:strRef>
              <c:f>Hoja2!$C$3:$E$3</c:f>
              <c:strCache>
                <c:ptCount val="3"/>
                <c:pt idx="0">
                  <c:v>Financieras</c:v>
                </c:pt>
                <c:pt idx="1">
                  <c:v>Desempeño</c:v>
                </c:pt>
                <c:pt idx="2">
                  <c:v>Inversiones Físicas</c:v>
                </c:pt>
              </c:strCache>
            </c:strRef>
          </c:cat>
          <c:val>
            <c:numRef>
              <c:f>Hoja2!$C$9:$E$9</c:f>
              <c:numCache>
                <c:formatCode>General</c:formatCode>
                <c:ptCount val="3"/>
                <c:pt idx="0">
                  <c:v>6</c:v>
                </c:pt>
                <c:pt idx="1">
                  <c:v>2</c:v>
                </c:pt>
                <c:pt idx="2">
                  <c:v>1</c:v>
                </c:pt>
              </c:numCache>
            </c:numRef>
          </c:val>
          <c:extLst>
            <c:ext xmlns:c16="http://schemas.microsoft.com/office/drawing/2014/chart" uri="{C3380CC4-5D6E-409C-BE32-E72D297353CC}">
              <c16:uniqueId val="{00000005-ECC0-49AA-9F76-2E9FDF64B232}"/>
            </c:ext>
          </c:extLst>
        </c:ser>
        <c:ser>
          <c:idx val="6"/>
          <c:order val="6"/>
          <c:tx>
            <c:strRef>
              <c:f>Hoja2!$B$10</c:f>
              <c:strCache>
                <c:ptCount val="1"/>
                <c:pt idx="0">
                  <c:v>Ayuntamientos</c:v>
                </c:pt>
              </c:strCache>
            </c:strRef>
          </c:tx>
          <c:spPr>
            <a:solidFill>
              <a:schemeClr val="accent5">
                <a:lumMod val="50000"/>
              </a:schemeClr>
            </a:solidFill>
            <a:ln>
              <a:noFill/>
            </a:ln>
            <a:effectLst>
              <a:outerShdw blurRad="57150" dist="19050" dir="5400000" algn="ctr" rotWithShape="0">
                <a:srgbClr val="000000">
                  <a:alpha val="63000"/>
                </a:srgbClr>
              </a:outerShdw>
            </a:effectLst>
            <a:sp3d/>
          </c:spPr>
          <c:invertIfNegative val="0"/>
          <c:cat>
            <c:strRef>
              <c:f>Hoja2!$C$3:$E$3</c:f>
              <c:strCache>
                <c:ptCount val="3"/>
                <c:pt idx="0">
                  <c:v>Financieras</c:v>
                </c:pt>
                <c:pt idx="1">
                  <c:v>Desempeño</c:v>
                </c:pt>
                <c:pt idx="2">
                  <c:v>Inversiones Físicas</c:v>
                </c:pt>
              </c:strCache>
            </c:strRef>
          </c:cat>
          <c:val>
            <c:numRef>
              <c:f>Hoja2!$C$10:$E$10</c:f>
              <c:numCache>
                <c:formatCode>General</c:formatCode>
                <c:ptCount val="3"/>
                <c:pt idx="0">
                  <c:v>11</c:v>
                </c:pt>
                <c:pt idx="1">
                  <c:v>7</c:v>
                </c:pt>
                <c:pt idx="2">
                  <c:v>11</c:v>
                </c:pt>
              </c:numCache>
            </c:numRef>
          </c:val>
          <c:extLst>
            <c:ext xmlns:c16="http://schemas.microsoft.com/office/drawing/2014/chart" uri="{C3380CC4-5D6E-409C-BE32-E72D297353CC}">
              <c16:uniqueId val="{00000006-ECC0-49AA-9F76-2E9FDF64B232}"/>
            </c:ext>
          </c:extLst>
        </c:ser>
        <c:ser>
          <c:idx val="7"/>
          <c:order val="7"/>
          <c:tx>
            <c:strRef>
              <c:f>Hoja2!$B$11</c:f>
              <c:strCache>
                <c:ptCount val="1"/>
                <c:pt idx="0">
                  <c:v>Administración Pública Paramunicipal</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Hoja2!$C$3:$E$3</c:f>
              <c:strCache>
                <c:ptCount val="3"/>
                <c:pt idx="0">
                  <c:v>Financieras</c:v>
                </c:pt>
                <c:pt idx="1">
                  <c:v>Desempeño</c:v>
                </c:pt>
                <c:pt idx="2">
                  <c:v>Inversiones Físicas</c:v>
                </c:pt>
              </c:strCache>
            </c:strRef>
          </c:cat>
          <c:val>
            <c:numRef>
              <c:f>Hoja2!$C$11:$E$11</c:f>
              <c:numCache>
                <c:formatCode>General</c:formatCode>
                <c:ptCount val="3"/>
                <c:pt idx="0">
                  <c:v>21</c:v>
                </c:pt>
                <c:pt idx="1">
                  <c:v>3</c:v>
                </c:pt>
                <c:pt idx="2">
                  <c:v>1</c:v>
                </c:pt>
              </c:numCache>
            </c:numRef>
          </c:val>
          <c:extLst>
            <c:ext xmlns:c16="http://schemas.microsoft.com/office/drawing/2014/chart" uri="{C3380CC4-5D6E-409C-BE32-E72D297353CC}">
              <c16:uniqueId val="{00000007-ECC0-49AA-9F76-2E9FDF64B232}"/>
            </c:ext>
          </c:extLst>
        </c:ser>
        <c:dLbls>
          <c:showLegendKey val="0"/>
          <c:showVal val="0"/>
          <c:showCatName val="0"/>
          <c:showSerName val="0"/>
          <c:showPercent val="0"/>
          <c:showBubbleSize val="0"/>
        </c:dLbls>
        <c:gapWidth val="150"/>
        <c:shape val="box"/>
        <c:axId val="587109071"/>
        <c:axId val="587102415"/>
        <c:axId val="0"/>
      </c:bar3DChart>
      <c:catAx>
        <c:axId val="58710907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87102415"/>
        <c:crosses val="autoZero"/>
        <c:auto val="1"/>
        <c:lblAlgn val="ctr"/>
        <c:lblOffset val="100"/>
        <c:noMultiLvlLbl val="0"/>
      </c:catAx>
      <c:valAx>
        <c:axId val="587102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71090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200" b="1"/>
              <a:t>Acciones Emitidas</a:t>
            </a:r>
          </a:p>
          <a:p>
            <a:pPr>
              <a:defRPr sz="1200" b="1"/>
            </a:pPr>
            <a:r>
              <a:rPr lang="es-MX" sz="1200" b="1"/>
              <a:t>(Por</a:t>
            </a:r>
            <a:r>
              <a:rPr lang="es-MX" sz="1200" b="1" baseline="0"/>
              <a:t> tipo)</a:t>
            </a:r>
            <a:endParaRPr lang="es-MX"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Acciones!$B$3</c:f>
              <c:strCache>
                <c:ptCount val="1"/>
                <c:pt idx="0">
                  <c:v>Recomendación</c:v>
                </c:pt>
              </c:strCache>
            </c:strRef>
          </c:tx>
          <c:spPr>
            <a:solidFill>
              <a:srgbClr val="800000"/>
            </a:solidFill>
            <a:ln>
              <a:noFill/>
            </a:ln>
            <a:effectLst/>
            <a:sp3d/>
          </c:spPr>
          <c:invertIfNegative val="0"/>
          <c:dLbls>
            <c:dLbl>
              <c:idx val="0"/>
              <c:layout>
                <c:manualLayout>
                  <c:x val="6.0753341433778859E-3"/>
                  <c:y val="-2.73448181569602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17-496E-BFE0-1DC932816178}"/>
                </c:ext>
              </c:extLst>
            </c:dLbl>
            <c:dLbl>
              <c:idx val="1"/>
              <c:layout>
                <c:manualLayout>
                  <c:x val="8.1004455245038479E-3"/>
                  <c:y val="-8.20344544708787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17-496E-BFE0-1DC932816178}"/>
                </c:ext>
              </c:extLst>
            </c:dLbl>
            <c:dLbl>
              <c:idx val="2"/>
              <c:layout>
                <c:manualLayout>
                  <c:x val="6.0753341433778859E-3"/>
                  <c:y val="-8.20344544708777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17-496E-BFE0-1DC932816178}"/>
                </c:ext>
              </c:extLst>
            </c:dLbl>
            <c:dLbl>
              <c:idx val="3"/>
              <c:layout>
                <c:manualLayout>
                  <c:x val="6.0753341433778859E-3"/>
                  <c:y val="-8.20344544708777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17-496E-BFE0-1DC9328161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Acciones!$C$2:$F$2</c:f>
              <c:strCache>
                <c:ptCount val="4"/>
                <c:pt idx="0">
                  <c:v>junio '23</c:v>
                </c:pt>
                <c:pt idx="1">
                  <c:v>octubre '23</c:v>
                </c:pt>
                <c:pt idx="2">
                  <c:v>febrero '24</c:v>
                </c:pt>
                <c:pt idx="3">
                  <c:v>Total</c:v>
                </c:pt>
              </c:strCache>
            </c:strRef>
          </c:cat>
          <c:val>
            <c:numRef>
              <c:f>Acciones!$C$3:$F$3</c:f>
              <c:numCache>
                <c:formatCode>General</c:formatCode>
                <c:ptCount val="4"/>
                <c:pt idx="0">
                  <c:v>105</c:v>
                </c:pt>
                <c:pt idx="1">
                  <c:v>206</c:v>
                </c:pt>
                <c:pt idx="2">
                  <c:v>150</c:v>
                </c:pt>
                <c:pt idx="3">
                  <c:v>461</c:v>
                </c:pt>
              </c:numCache>
            </c:numRef>
          </c:val>
          <c:extLst>
            <c:ext xmlns:c16="http://schemas.microsoft.com/office/drawing/2014/chart" uri="{C3380CC4-5D6E-409C-BE32-E72D297353CC}">
              <c16:uniqueId val="{00000004-E217-496E-BFE0-1DC932816178}"/>
            </c:ext>
          </c:extLst>
        </c:ser>
        <c:ser>
          <c:idx val="1"/>
          <c:order val="1"/>
          <c:tx>
            <c:strRef>
              <c:f>Acciones!$B$4</c:f>
              <c:strCache>
                <c:ptCount val="1"/>
                <c:pt idx="0">
                  <c:v>Pliego de Observaciones</c:v>
                </c:pt>
              </c:strCache>
            </c:strRef>
          </c:tx>
          <c:spPr>
            <a:solidFill>
              <a:schemeClr val="accent6">
                <a:lumMod val="50000"/>
              </a:schemeClr>
            </a:solidFill>
            <a:ln>
              <a:noFill/>
            </a:ln>
            <a:effectLst/>
            <a:sp3d/>
          </c:spPr>
          <c:invertIfNegative val="0"/>
          <c:dLbls>
            <c:dLbl>
              <c:idx val="0"/>
              <c:layout>
                <c:manualLayout>
                  <c:x val="1.012555690562981E-2"/>
                  <c:y val="-1.0937927262783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17-496E-BFE0-1DC932816178}"/>
                </c:ext>
              </c:extLst>
            </c:dLbl>
            <c:dLbl>
              <c:idx val="1"/>
              <c:layout>
                <c:manualLayout>
                  <c:x val="8.1004455245038479E-3"/>
                  <c:y val="-2.7344818156959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17-496E-BFE0-1DC932816178}"/>
                </c:ext>
              </c:extLst>
            </c:dLbl>
            <c:dLbl>
              <c:idx val="2"/>
              <c:layout>
                <c:manualLayout>
                  <c:x val="8.1004455245039225E-3"/>
                  <c:y val="-5.46896363139185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17-496E-BFE0-1DC932816178}"/>
                </c:ext>
              </c:extLst>
            </c:dLbl>
            <c:dLbl>
              <c:idx val="3"/>
              <c:layout>
                <c:manualLayout>
                  <c:x val="6.0753341433777376E-3"/>
                  <c:y val="-1.0937927262783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17-496E-BFE0-1DC9328161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Acciones!$C$2:$F$2</c:f>
              <c:strCache>
                <c:ptCount val="4"/>
                <c:pt idx="0">
                  <c:v>junio '23</c:v>
                </c:pt>
                <c:pt idx="1">
                  <c:v>octubre '23</c:v>
                </c:pt>
                <c:pt idx="2">
                  <c:v>febrero '24</c:v>
                </c:pt>
                <c:pt idx="3">
                  <c:v>Total</c:v>
                </c:pt>
              </c:strCache>
            </c:strRef>
          </c:cat>
          <c:val>
            <c:numRef>
              <c:f>Acciones!$C$4:$F$4</c:f>
              <c:numCache>
                <c:formatCode>General</c:formatCode>
                <c:ptCount val="4"/>
                <c:pt idx="0">
                  <c:v>1</c:v>
                </c:pt>
                <c:pt idx="1">
                  <c:v>31</c:v>
                </c:pt>
                <c:pt idx="2">
                  <c:v>25</c:v>
                </c:pt>
                <c:pt idx="3">
                  <c:v>57</c:v>
                </c:pt>
              </c:numCache>
            </c:numRef>
          </c:val>
          <c:extLst>
            <c:ext xmlns:c16="http://schemas.microsoft.com/office/drawing/2014/chart" uri="{C3380CC4-5D6E-409C-BE32-E72D297353CC}">
              <c16:uniqueId val="{00000009-E217-496E-BFE0-1DC932816178}"/>
            </c:ext>
          </c:extLst>
        </c:ser>
        <c:ser>
          <c:idx val="2"/>
          <c:order val="2"/>
          <c:tx>
            <c:strRef>
              <c:f>Acciones!$B$5</c:f>
              <c:strCache>
                <c:ptCount val="1"/>
                <c:pt idx="0">
                  <c:v>Promoción de Responsabilidad Administrativa</c:v>
                </c:pt>
              </c:strCache>
            </c:strRef>
          </c:tx>
          <c:spPr>
            <a:solidFill>
              <a:schemeClr val="accent3"/>
            </a:solidFill>
            <a:ln>
              <a:noFill/>
            </a:ln>
            <a:effectLst/>
            <a:sp3d/>
          </c:spPr>
          <c:invertIfNegative val="0"/>
          <c:dLbls>
            <c:dLbl>
              <c:idx val="0"/>
              <c:layout>
                <c:manualLayout>
                  <c:x val="6.0753341433778859E-3"/>
                  <c:y val="-8.20344544708777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17-496E-BFE0-1DC932816178}"/>
                </c:ext>
              </c:extLst>
            </c:dLbl>
            <c:dLbl>
              <c:idx val="1"/>
              <c:layout>
                <c:manualLayout>
                  <c:x val="6.0753341433778859E-3"/>
                  <c:y val="-2.73448181569602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17-496E-BFE0-1DC932816178}"/>
                </c:ext>
              </c:extLst>
            </c:dLbl>
            <c:dLbl>
              <c:idx val="2"/>
              <c:layout>
                <c:manualLayout>
                  <c:x val="6.0753341433778859E-3"/>
                  <c:y val="-8.20344544708787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17-496E-BFE0-1DC932816178}"/>
                </c:ext>
              </c:extLst>
            </c:dLbl>
            <c:dLbl>
              <c:idx val="3"/>
              <c:layout>
                <c:manualLayout>
                  <c:x val="1.012555690562981E-2"/>
                  <c:y val="-1.0937927262783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17-496E-BFE0-1DC9328161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Acciones!$C$2:$F$2</c:f>
              <c:strCache>
                <c:ptCount val="4"/>
                <c:pt idx="0">
                  <c:v>junio '23</c:v>
                </c:pt>
                <c:pt idx="1">
                  <c:v>octubre '23</c:v>
                </c:pt>
                <c:pt idx="2">
                  <c:v>febrero '24</c:v>
                </c:pt>
                <c:pt idx="3">
                  <c:v>Total</c:v>
                </c:pt>
              </c:strCache>
            </c:strRef>
          </c:cat>
          <c:val>
            <c:numRef>
              <c:f>Acciones!$C$5:$F$5</c:f>
              <c:numCache>
                <c:formatCode>General</c:formatCode>
                <c:ptCount val="4"/>
                <c:pt idx="0">
                  <c:v>2</c:v>
                </c:pt>
                <c:pt idx="1">
                  <c:v>55</c:v>
                </c:pt>
                <c:pt idx="2">
                  <c:v>44</c:v>
                </c:pt>
                <c:pt idx="3">
                  <c:v>101</c:v>
                </c:pt>
              </c:numCache>
            </c:numRef>
          </c:val>
          <c:extLst>
            <c:ext xmlns:c16="http://schemas.microsoft.com/office/drawing/2014/chart" uri="{C3380CC4-5D6E-409C-BE32-E72D297353CC}">
              <c16:uniqueId val="{0000000E-E217-496E-BFE0-1DC932816178}"/>
            </c:ext>
          </c:extLst>
        </c:ser>
        <c:ser>
          <c:idx val="3"/>
          <c:order val="3"/>
          <c:tx>
            <c:strRef>
              <c:f>Acciones!$B$6</c:f>
              <c:strCache>
                <c:ptCount val="1"/>
                <c:pt idx="0">
                  <c:v>Solicitud de Aclaración</c:v>
                </c:pt>
              </c:strCache>
            </c:strRef>
          </c:tx>
          <c:spPr>
            <a:solidFill>
              <a:srgbClr val="BF9000"/>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E217-496E-BFE0-1DC932816178}"/>
                </c:ext>
              </c:extLst>
            </c:dLbl>
            <c:dLbl>
              <c:idx val="1"/>
              <c:layout>
                <c:manualLayout>
                  <c:x val="1.2150668286755772E-2"/>
                  <c:y val="-8.20344544708777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17-496E-BFE0-1DC932816178}"/>
                </c:ext>
              </c:extLst>
            </c:dLbl>
            <c:dLbl>
              <c:idx val="2"/>
              <c:layout>
                <c:manualLayout>
                  <c:x val="1.2150668286755772E-2"/>
                  <c:y val="-5.46896363139185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17-496E-BFE0-1DC932816178}"/>
                </c:ext>
              </c:extLst>
            </c:dLbl>
            <c:dLbl>
              <c:idx val="3"/>
              <c:layout>
                <c:manualLayout>
                  <c:x val="1.012555690562981E-2"/>
                  <c:y val="-5.46896363139185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17-496E-BFE0-1DC9328161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Acciones!$C$2:$F$2</c:f>
              <c:strCache>
                <c:ptCount val="4"/>
                <c:pt idx="0">
                  <c:v>junio '23</c:v>
                </c:pt>
                <c:pt idx="1">
                  <c:v>octubre '23</c:v>
                </c:pt>
                <c:pt idx="2">
                  <c:v>febrero '24</c:v>
                </c:pt>
                <c:pt idx="3">
                  <c:v>Total</c:v>
                </c:pt>
              </c:strCache>
            </c:strRef>
          </c:cat>
          <c:val>
            <c:numRef>
              <c:f>Acciones!$C$6:$F$6</c:f>
              <c:numCache>
                <c:formatCode>General</c:formatCode>
                <c:ptCount val="4"/>
                <c:pt idx="0">
                  <c:v>0</c:v>
                </c:pt>
                <c:pt idx="1">
                  <c:v>48</c:v>
                </c:pt>
                <c:pt idx="2">
                  <c:v>29</c:v>
                </c:pt>
                <c:pt idx="3">
                  <c:v>77</c:v>
                </c:pt>
              </c:numCache>
            </c:numRef>
          </c:val>
          <c:extLst>
            <c:ext xmlns:c16="http://schemas.microsoft.com/office/drawing/2014/chart" uri="{C3380CC4-5D6E-409C-BE32-E72D297353CC}">
              <c16:uniqueId val="{00000013-E217-496E-BFE0-1DC932816178}"/>
            </c:ext>
          </c:extLst>
        </c:ser>
        <c:dLbls>
          <c:showLegendKey val="0"/>
          <c:showVal val="1"/>
          <c:showCatName val="0"/>
          <c:showSerName val="0"/>
          <c:showPercent val="0"/>
          <c:showBubbleSize val="0"/>
        </c:dLbls>
        <c:gapWidth val="150"/>
        <c:shape val="box"/>
        <c:axId val="2102165392"/>
        <c:axId val="2102148752"/>
        <c:axId val="0"/>
      </c:bar3DChart>
      <c:catAx>
        <c:axId val="210216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102148752"/>
        <c:crosses val="autoZero"/>
        <c:auto val="1"/>
        <c:lblAlgn val="ctr"/>
        <c:lblOffset val="100"/>
        <c:noMultiLvlLbl val="0"/>
      </c:catAx>
      <c:valAx>
        <c:axId val="210214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102165392"/>
        <c:crosses val="autoZero"/>
        <c:crossBetween val="between"/>
      </c:valAx>
      <c:spPr>
        <a:noFill/>
        <a:ln>
          <a:noFill/>
        </a:ln>
        <a:effectLst/>
      </c:spPr>
    </c:plotArea>
    <c:legend>
      <c:legendPos val="b"/>
      <c:layout>
        <c:manualLayout>
          <c:xMode val="edge"/>
          <c:yMode val="edge"/>
          <c:x val="6.4030354346654425E-2"/>
          <c:y val="0.90589011689371479"/>
          <c:w val="0.89439070981179269"/>
          <c:h val="8.773176080262694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b="1"/>
              <a:t>Universo Fiscalizable</a:t>
            </a:r>
          </a:p>
          <a:p>
            <a:pPr>
              <a:defRPr sz="1400" b="1"/>
            </a:pPr>
            <a:r>
              <a:rPr lang="en-US" sz="1200" b="1"/>
              <a:t>Cuenta Pública 2022</a:t>
            </a:r>
          </a:p>
        </c:rich>
      </c:tx>
      <c:layout>
        <c:manualLayout>
          <c:xMode val="edge"/>
          <c:yMode val="edge"/>
          <c:x val="0.32304009351173263"/>
          <c:y val="2.632445167388811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37470448210221879"/>
          <c:y val="0.17224402971346253"/>
          <c:w val="0.59821526186626972"/>
          <c:h val="0.79108285205711582"/>
        </c:manualLayout>
      </c:layout>
      <c:barChart>
        <c:barDir val="col"/>
        <c:grouping val="clustered"/>
        <c:varyColors val="0"/>
        <c:ser>
          <c:idx val="0"/>
          <c:order val="0"/>
          <c:tx>
            <c:strRef>
              <c:f>Hoja3!$B$5</c:f>
              <c:strCache>
                <c:ptCount val="1"/>
                <c:pt idx="0">
                  <c:v>Entes</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6C6C-47F9-8953-F6680BECE8F6}"/>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6C6C-47F9-8953-F6680BECE8F6}"/>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5-6C6C-47F9-8953-F6680BECE8F6}"/>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6C6C-47F9-8953-F6680BECE8F6}"/>
              </c:ext>
            </c:extLst>
          </c:dPt>
          <c:dPt>
            <c:idx val="4"/>
            <c:invertIfNegative val="0"/>
            <c:bubble3D val="0"/>
            <c:spPr>
              <a:solidFill>
                <a:srgbClr val="800000"/>
              </a:solidFill>
              <a:ln>
                <a:noFill/>
              </a:ln>
              <a:effectLst/>
            </c:spPr>
            <c:extLst>
              <c:ext xmlns:c16="http://schemas.microsoft.com/office/drawing/2014/chart" uri="{C3380CC4-5D6E-409C-BE32-E72D297353CC}">
                <c16:uniqueId val="{00000009-6C6C-47F9-8953-F6680BECE8F6}"/>
              </c:ext>
            </c:extLst>
          </c:dPt>
          <c:dPt>
            <c:idx val="5"/>
            <c:invertIfNegative val="0"/>
            <c:bubble3D val="0"/>
            <c:spPr>
              <a:solidFill>
                <a:schemeClr val="accent5">
                  <a:lumMod val="50000"/>
                </a:schemeClr>
              </a:solidFill>
              <a:ln>
                <a:noFill/>
              </a:ln>
              <a:effectLst/>
            </c:spPr>
            <c:extLst>
              <c:ext xmlns:c16="http://schemas.microsoft.com/office/drawing/2014/chart" uri="{C3380CC4-5D6E-409C-BE32-E72D297353CC}">
                <c16:uniqueId val="{0000000B-6C6C-47F9-8953-F6680BECE8F6}"/>
              </c:ext>
            </c:extLst>
          </c:dPt>
          <c:dPt>
            <c:idx val="6"/>
            <c:invertIfNegative val="0"/>
            <c:bubble3D val="0"/>
            <c:spPr>
              <a:solidFill>
                <a:schemeClr val="accent4">
                  <a:lumMod val="50000"/>
                </a:schemeClr>
              </a:solidFill>
              <a:ln>
                <a:noFill/>
              </a:ln>
              <a:effectLst/>
            </c:spPr>
            <c:extLst>
              <c:ext xmlns:c16="http://schemas.microsoft.com/office/drawing/2014/chart" uri="{C3380CC4-5D6E-409C-BE32-E72D297353CC}">
                <c16:uniqueId val="{0000000D-6C6C-47F9-8953-F6680BECE8F6}"/>
              </c:ext>
            </c:extLst>
          </c:dPt>
          <c:dPt>
            <c:idx val="7"/>
            <c:invertIfNegative val="0"/>
            <c:bubble3D val="0"/>
            <c:spPr>
              <a:solidFill>
                <a:schemeClr val="accent1">
                  <a:lumMod val="75000"/>
                </a:schemeClr>
              </a:solidFill>
              <a:ln>
                <a:noFill/>
              </a:ln>
              <a:effectLst/>
            </c:spPr>
            <c:extLst>
              <c:ext xmlns:c16="http://schemas.microsoft.com/office/drawing/2014/chart" uri="{C3380CC4-5D6E-409C-BE32-E72D297353CC}">
                <c16:uniqueId val="{0000000F-6C6C-47F9-8953-F6680BECE8F6}"/>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Hoja3!$C$4:$J$4</c:f>
              <c:strCache>
                <c:ptCount val="8"/>
                <c:pt idx="0">
                  <c:v>Poder Ejecutivo</c:v>
                </c:pt>
                <c:pt idx="1">
                  <c:v>Poder Legislativo</c:v>
                </c:pt>
                <c:pt idx="2">
                  <c:v>Poder Judicial</c:v>
                </c:pt>
                <c:pt idx="3">
                  <c:v>Administración Púbica Paraestatal</c:v>
                </c:pt>
                <c:pt idx="4">
                  <c:v>Administración Pública Central</c:v>
                </c:pt>
                <c:pt idx="5">
                  <c:v>Órganos Autonomos</c:v>
                </c:pt>
                <c:pt idx="6">
                  <c:v>Ayuntamientos</c:v>
                </c:pt>
                <c:pt idx="7">
                  <c:v>Administración Pública Paramunicipal</c:v>
                </c:pt>
              </c:strCache>
            </c:strRef>
          </c:cat>
          <c:val>
            <c:numRef>
              <c:f>Hoja3!$C$5:$J$5</c:f>
              <c:numCache>
                <c:formatCode>General</c:formatCode>
                <c:ptCount val="8"/>
                <c:pt idx="0">
                  <c:v>1</c:v>
                </c:pt>
                <c:pt idx="1">
                  <c:v>1</c:v>
                </c:pt>
                <c:pt idx="2">
                  <c:v>1</c:v>
                </c:pt>
                <c:pt idx="3">
                  <c:v>44</c:v>
                </c:pt>
                <c:pt idx="4">
                  <c:v>16</c:v>
                </c:pt>
                <c:pt idx="5">
                  <c:v>6</c:v>
                </c:pt>
                <c:pt idx="6">
                  <c:v>11</c:v>
                </c:pt>
                <c:pt idx="7">
                  <c:v>21</c:v>
                </c:pt>
              </c:numCache>
            </c:numRef>
          </c:val>
          <c:extLst>
            <c:ext xmlns:c16="http://schemas.microsoft.com/office/drawing/2014/chart" uri="{C3380CC4-5D6E-409C-BE32-E72D297353CC}">
              <c16:uniqueId val="{00000010-6C6C-47F9-8953-F6680BECE8F6}"/>
            </c:ext>
          </c:extLst>
        </c:ser>
        <c:dLbls>
          <c:dLblPos val="outEnd"/>
          <c:showLegendKey val="0"/>
          <c:showVal val="1"/>
          <c:showCatName val="0"/>
          <c:showSerName val="0"/>
          <c:showPercent val="0"/>
          <c:showBubbleSize val="0"/>
        </c:dLbls>
        <c:gapWidth val="219"/>
        <c:overlap val="-27"/>
        <c:axId val="1849153984"/>
        <c:axId val="1849165632"/>
      </c:barChart>
      <c:catAx>
        <c:axId val="1849153984"/>
        <c:scaling>
          <c:orientation val="minMax"/>
        </c:scaling>
        <c:delete val="0"/>
        <c:axPos val="b"/>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849165632"/>
        <c:crosses val="autoZero"/>
        <c:auto val="1"/>
        <c:lblAlgn val="ctr"/>
        <c:lblOffset val="100"/>
        <c:noMultiLvlLbl val="0"/>
      </c:catAx>
      <c:valAx>
        <c:axId val="184916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84915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a:t>PROGRAMA ANUAL DE AUDITORIAS, VISITAS E INSPECCIONES 2023</a:t>
            </a:r>
          </a:p>
        </c:rich>
      </c:tx>
      <c:layout>
        <c:manualLayout>
          <c:xMode val="edge"/>
          <c:yMode val="edge"/>
          <c:x val="0.16684726522187826"/>
          <c:y val="9.9502487562189053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comparativo!$L$3:$L$4</c:f>
              <c:strCache>
                <c:ptCount val="2"/>
                <c:pt idx="0">
                  <c:v>PAAVI</c:v>
                </c:pt>
                <c:pt idx="1">
                  <c:v>Aprobado 2023</c:v>
                </c:pt>
              </c:strCache>
            </c:strRef>
          </c:tx>
          <c:dPt>
            <c:idx val="0"/>
            <c:bubble3D val="0"/>
            <c:spPr>
              <a:solidFill>
                <a:srgbClr val="2C451B"/>
              </a:solidFill>
              <a:ln w="25400">
                <a:solidFill>
                  <a:schemeClr val="lt1"/>
                </a:solidFill>
              </a:ln>
              <a:effectLst/>
              <a:sp3d contourW="25400">
                <a:contourClr>
                  <a:schemeClr val="lt1"/>
                </a:contourClr>
              </a:sp3d>
            </c:spPr>
            <c:extLst>
              <c:ext xmlns:c16="http://schemas.microsoft.com/office/drawing/2014/chart" uri="{C3380CC4-5D6E-409C-BE32-E72D297353CC}">
                <c16:uniqueId val="{00000001-3350-4D08-8891-FDE3DEA8F591}"/>
              </c:ext>
            </c:extLst>
          </c:dPt>
          <c:dPt>
            <c:idx val="1"/>
            <c:bubble3D val="0"/>
            <c:spPr>
              <a:solidFill>
                <a:srgbClr val="BF9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350-4D08-8891-FDE3DEA8F591}"/>
              </c:ext>
            </c:extLst>
          </c:dPt>
          <c:dPt>
            <c:idx val="2"/>
            <c:bubble3D val="0"/>
            <c:spPr>
              <a:solidFill>
                <a:srgbClr val="8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3350-4D08-8891-FDE3DEA8F591}"/>
              </c:ext>
            </c:extLst>
          </c:dPt>
          <c:dLbls>
            <c:dLbl>
              <c:idx val="0"/>
              <c:layout>
                <c:manualLayout>
                  <c:x val="-9.9523008540341226E-2"/>
                  <c:y val="0.1577184013135798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50-4D08-8891-FDE3DEA8F591}"/>
                </c:ext>
              </c:extLst>
            </c:dLbl>
            <c:dLbl>
              <c:idx val="1"/>
              <c:layout>
                <c:manualLayout>
                  <c:x val="1.0230938624931945E-2"/>
                  <c:y val="-0.18998498322038104"/>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5.9339525283797732E-2"/>
                      <c:h val="4.975124378109453E-2"/>
                    </c:manualLayout>
                  </c15:layout>
                </c:ext>
                <c:ext xmlns:c16="http://schemas.microsoft.com/office/drawing/2014/chart" uri="{C3380CC4-5D6E-409C-BE32-E72D297353CC}">
                  <c16:uniqueId val="{00000003-3350-4D08-8891-FDE3DEA8F591}"/>
                </c:ext>
              </c:extLst>
            </c:dLbl>
            <c:dLbl>
              <c:idx val="2"/>
              <c:layout>
                <c:manualLayout>
                  <c:x val="-3.0278190845339377E-3"/>
                  <c:y val="-1.359788981601180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50-4D08-8891-FDE3DEA8F59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comparativo!$K$5:$K$7</c:f>
              <c:strCache>
                <c:ptCount val="3"/>
                <c:pt idx="0">
                  <c:v>Financiero</c:v>
                </c:pt>
                <c:pt idx="1">
                  <c:v>Desempeño</c:v>
                </c:pt>
                <c:pt idx="2">
                  <c:v>Obra Pública</c:v>
                </c:pt>
              </c:strCache>
            </c:strRef>
          </c:cat>
          <c:val>
            <c:numRef>
              <c:f>comparativo!$L$5:$L$7</c:f>
              <c:numCache>
                <c:formatCode>General</c:formatCode>
                <c:ptCount val="3"/>
                <c:pt idx="0">
                  <c:v>164</c:v>
                </c:pt>
                <c:pt idx="1">
                  <c:v>39</c:v>
                </c:pt>
                <c:pt idx="2">
                  <c:v>44</c:v>
                </c:pt>
              </c:numCache>
            </c:numRef>
          </c:val>
          <c:extLst>
            <c:ext xmlns:c16="http://schemas.microsoft.com/office/drawing/2014/chart" uri="{C3380CC4-5D6E-409C-BE32-E72D297353CC}">
              <c16:uniqueId val="{00000006-3350-4D08-8891-FDE3DEA8F591}"/>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1">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400" b="1"/>
              <a:t>AUDITORÍAS CONCLUIDAS E INFORMES INDIVIDUALES ENTREGADOS</a:t>
            </a:r>
          </a:p>
          <a:p>
            <a:pPr>
              <a:defRPr sz="1400"/>
            </a:pPr>
            <a:endParaRPr lang="es-MX" sz="500" b="1"/>
          </a:p>
          <a:p>
            <a:pPr>
              <a:defRPr sz="1400"/>
            </a:pPr>
            <a:r>
              <a:rPr lang="es-MX" sz="1200" b="1"/>
              <a:t>CUENTA PÚBLICA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675855691154691E-2"/>
          <c:y val="0.22150338878619841"/>
          <c:w val="0.90648345637039773"/>
          <c:h val="0.60446048680144182"/>
        </c:manualLayout>
      </c:layout>
      <c:bar3DChart>
        <c:barDir val="col"/>
        <c:grouping val="clustered"/>
        <c:varyColors val="0"/>
        <c:ser>
          <c:idx val="0"/>
          <c:order val="0"/>
          <c:tx>
            <c:strRef>
              <c:f>Hoja2!$C$3</c:f>
              <c:strCache>
                <c:ptCount val="1"/>
                <c:pt idx="0">
                  <c:v>Auditorías</c:v>
                </c:pt>
              </c:strCache>
            </c:strRef>
          </c:tx>
          <c:spPr>
            <a:solidFill>
              <a:srgbClr val="800000"/>
            </a:solidFill>
            <a:ln>
              <a:noFill/>
            </a:ln>
            <a:effectLst/>
            <a:sp3d/>
          </c:spPr>
          <c:invertIfNegative val="0"/>
          <c:cat>
            <c:strRef>
              <c:f>Hoja2!$B$4:$B$7</c:f>
              <c:strCache>
                <c:ptCount val="3"/>
                <c:pt idx="0">
                  <c:v>Cumplimiento Financiero</c:v>
                </c:pt>
                <c:pt idx="1">
                  <c:v>Materia al Desempeño</c:v>
                </c:pt>
                <c:pt idx="2">
                  <c:v>Inversiones Físicas</c:v>
                </c:pt>
              </c:strCache>
            </c:strRef>
          </c:cat>
          <c:val>
            <c:numRef>
              <c:f>Hoja2!$C$4:$C$7</c:f>
              <c:numCache>
                <c:formatCode>General</c:formatCode>
                <c:ptCount val="4"/>
                <c:pt idx="0">
                  <c:v>164</c:v>
                </c:pt>
                <c:pt idx="1">
                  <c:v>39</c:v>
                </c:pt>
                <c:pt idx="2">
                  <c:v>44</c:v>
                </c:pt>
                <c:pt idx="3">
                  <c:v>247</c:v>
                </c:pt>
              </c:numCache>
            </c:numRef>
          </c:val>
          <c:extLst>
            <c:ext xmlns:c16="http://schemas.microsoft.com/office/drawing/2014/chart" uri="{C3380CC4-5D6E-409C-BE32-E72D297353CC}">
              <c16:uniqueId val="{00000000-AA14-432A-B5DB-3504E988D21A}"/>
            </c:ext>
          </c:extLst>
        </c:ser>
        <c:ser>
          <c:idx val="1"/>
          <c:order val="1"/>
          <c:tx>
            <c:strRef>
              <c:f>Hoja2!$D$3</c:f>
              <c:strCache>
                <c:ptCount val="1"/>
                <c:pt idx="0">
                  <c:v>Informes</c:v>
                </c:pt>
              </c:strCache>
            </c:strRef>
          </c:tx>
          <c:spPr>
            <a:solidFill>
              <a:srgbClr val="2C451B"/>
            </a:solidFill>
            <a:ln>
              <a:noFill/>
            </a:ln>
            <a:effectLst/>
            <a:sp3d/>
          </c:spPr>
          <c:invertIfNegative val="0"/>
          <c:cat>
            <c:strRef>
              <c:f>Hoja2!$B$4:$B$7</c:f>
              <c:strCache>
                <c:ptCount val="3"/>
                <c:pt idx="0">
                  <c:v>Cumplimiento Financiero</c:v>
                </c:pt>
                <c:pt idx="1">
                  <c:v>Materia al Desempeño</c:v>
                </c:pt>
                <c:pt idx="2">
                  <c:v>Inversiones Físicas</c:v>
                </c:pt>
              </c:strCache>
            </c:strRef>
          </c:cat>
          <c:val>
            <c:numRef>
              <c:f>Hoja2!$D$4:$D$7</c:f>
              <c:numCache>
                <c:formatCode>General</c:formatCode>
                <c:ptCount val="4"/>
                <c:pt idx="0">
                  <c:v>101</c:v>
                </c:pt>
                <c:pt idx="1">
                  <c:v>31</c:v>
                </c:pt>
                <c:pt idx="2">
                  <c:v>21</c:v>
                </c:pt>
                <c:pt idx="3">
                  <c:v>153</c:v>
                </c:pt>
              </c:numCache>
            </c:numRef>
          </c:val>
          <c:extLst>
            <c:ext xmlns:c16="http://schemas.microsoft.com/office/drawing/2014/chart" uri="{C3380CC4-5D6E-409C-BE32-E72D297353CC}">
              <c16:uniqueId val="{00000001-AA14-432A-B5DB-3504E988D21A}"/>
            </c:ext>
          </c:extLst>
        </c:ser>
        <c:dLbls>
          <c:showLegendKey val="0"/>
          <c:showVal val="0"/>
          <c:showCatName val="0"/>
          <c:showSerName val="0"/>
          <c:showPercent val="0"/>
          <c:showBubbleSize val="0"/>
        </c:dLbls>
        <c:gapWidth val="150"/>
        <c:shape val="box"/>
        <c:axId val="1560735824"/>
        <c:axId val="1560729168"/>
        <c:axId val="0"/>
      </c:bar3DChart>
      <c:catAx>
        <c:axId val="1560735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560729168"/>
        <c:crosses val="autoZero"/>
        <c:auto val="1"/>
        <c:lblAlgn val="ctr"/>
        <c:lblOffset val="100"/>
        <c:noMultiLvlLbl val="0"/>
      </c:catAx>
      <c:valAx>
        <c:axId val="156072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56073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b="1"/>
              <a:t>AUDITORÍAS DE CUMPLIMIENTO FINANCIERO</a:t>
            </a:r>
          </a:p>
        </c:rich>
      </c:tx>
      <c:layout>
        <c:manualLayout>
          <c:xMode val="edge"/>
          <c:yMode val="edge"/>
          <c:x val="0.2082308259854615"/>
          <c:y val="7.4345037578964039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Hoja2!$L$4</c:f>
              <c:strCache>
                <c:ptCount val="1"/>
                <c:pt idx="0">
                  <c:v>N°</c:v>
                </c:pt>
              </c:strCache>
            </c:strRef>
          </c:tx>
          <c:dPt>
            <c:idx val="0"/>
            <c:bubble3D val="0"/>
            <c:spPr>
              <a:solidFill>
                <a:srgbClr val="2C451B"/>
              </a:solidFill>
              <a:ln w="19050">
                <a:solidFill>
                  <a:schemeClr val="lt1"/>
                </a:solidFill>
              </a:ln>
              <a:effectLst/>
            </c:spPr>
            <c:extLst>
              <c:ext xmlns:c16="http://schemas.microsoft.com/office/drawing/2014/chart" uri="{C3380CC4-5D6E-409C-BE32-E72D297353CC}">
                <c16:uniqueId val="{00000001-7432-4DBA-BE99-7C980B05E1CA}"/>
              </c:ext>
            </c:extLst>
          </c:dPt>
          <c:dPt>
            <c:idx val="1"/>
            <c:bubble3D val="0"/>
            <c:spPr>
              <a:solidFill>
                <a:srgbClr val="800000"/>
              </a:solidFill>
              <a:ln w="19050">
                <a:solidFill>
                  <a:schemeClr val="lt1"/>
                </a:solidFill>
              </a:ln>
              <a:effectLst/>
            </c:spPr>
            <c:extLst>
              <c:ext xmlns:c16="http://schemas.microsoft.com/office/drawing/2014/chart" uri="{C3380CC4-5D6E-409C-BE32-E72D297353CC}">
                <c16:uniqueId val="{00000003-7432-4DBA-BE99-7C980B05E1CA}"/>
              </c:ext>
            </c:extLst>
          </c:dPt>
          <c:dPt>
            <c:idx val="2"/>
            <c:bubble3D val="0"/>
            <c:spPr>
              <a:solidFill>
                <a:srgbClr val="BF9000"/>
              </a:solidFill>
              <a:ln w="19050">
                <a:solidFill>
                  <a:schemeClr val="lt1"/>
                </a:solidFill>
              </a:ln>
              <a:effectLst/>
            </c:spPr>
            <c:extLst>
              <c:ext xmlns:c16="http://schemas.microsoft.com/office/drawing/2014/chart" uri="{C3380CC4-5D6E-409C-BE32-E72D297353CC}">
                <c16:uniqueId val="{00000005-7432-4DBA-BE99-7C980B05E1CA}"/>
              </c:ext>
            </c:extLst>
          </c:dPt>
          <c:dPt>
            <c:idx val="3"/>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7-7432-4DBA-BE99-7C980B05E1CA}"/>
              </c:ext>
            </c:extLst>
          </c:dPt>
          <c:dLbls>
            <c:dLbl>
              <c:idx val="1"/>
              <c:layout>
                <c:manualLayout>
                  <c:x val="-4.8643113159242288E-2"/>
                  <c:y val="1.99004975124378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32-4DBA-BE99-7C980B05E1CA}"/>
                </c:ext>
              </c:extLst>
            </c:dLbl>
            <c:dLbl>
              <c:idx val="3"/>
              <c:layout>
                <c:manualLayout>
                  <c:x val="0"/>
                  <c:y val="9.950248756218905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32-4DBA-BE99-7C980B05E1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Hoja2!$K$5:$K$8</c:f>
              <c:strCache>
                <c:ptCount val="4"/>
                <c:pt idx="0">
                  <c:v>Ingresos</c:v>
                </c:pt>
                <c:pt idx="1">
                  <c:v>Egresos</c:v>
                </c:pt>
                <c:pt idx="2">
                  <c:v>Ingresos-Egresos</c:v>
                </c:pt>
                <c:pt idx="3">
                  <c:v>Financiamiento</c:v>
                </c:pt>
              </c:strCache>
            </c:strRef>
          </c:cat>
          <c:val>
            <c:numRef>
              <c:f>Hoja2!$L$5:$L$8</c:f>
              <c:numCache>
                <c:formatCode>General</c:formatCode>
                <c:ptCount val="4"/>
                <c:pt idx="0">
                  <c:v>56</c:v>
                </c:pt>
                <c:pt idx="1">
                  <c:v>66</c:v>
                </c:pt>
                <c:pt idx="2">
                  <c:v>35</c:v>
                </c:pt>
                <c:pt idx="3">
                  <c:v>7</c:v>
                </c:pt>
              </c:numCache>
            </c:numRef>
          </c:val>
          <c:extLst>
            <c:ext xmlns:c16="http://schemas.microsoft.com/office/drawing/2014/chart" uri="{C3380CC4-5D6E-409C-BE32-E72D297353CC}">
              <c16:uniqueId val="{00000008-7432-4DBA-BE99-7C980B05E1CA}"/>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l"/>
      <c:layout>
        <c:manualLayout>
          <c:xMode val="edge"/>
          <c:yMode val="edge"/>
          <c:x val="1.6778523489932886E-2"/>
          <c:y val="0.42528538410310646"/>
          <c:w val="0.26403098522080715"/>
          <c:h val="0.3822650526893093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400" b="1"/>
              <a:t>INFORMES INDIVIDUALES</a:t>
            </a:r>
            <a:r>
              <a:rPr lang="es-MX" sz="1400" b="1" baseline="0"/>
              <a:t> Y AUDITORÍAS CONCLUIDAS POR TIPOS DE ENTES FISCALIZADOS</a:t>
            </a:r>
            <a:br>
              <a:rPr lang="es-MX" sz="1400" b="1" baseline="0"/>
            </a:br>
            <a:r>
              <a:rPr lang="es-MX" sz="1200" b="1" baseline="0"/>
              <a:t>CUENTA PÚBLICA 2022</a:t>
            </a:r>
            <a:endParaRPr lang="es-MX" sz="1400" b="1"/>
          </a:p>
        </c:rich>
      </c:tx>
      <c:layout>
        <c:manualLayout>
          <c:xMode val="edge"/>
          <c:yMode val="edge"/>
          <c:x val="0.18687396763795563"/>
          <c:y val="1.359589087508639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36457468318132474"/>
          <c:y val="0.25465995481505826"/>
          <c:w val="0.60800056765479571"/>
          <c:h val="0.62834766938592868"/>
        </c:manualLayout>
      </c:layout>
      <c:barChart>
        <c:barDir val="bar"/>
        <c:grouping val="stacked"/>
        <c:varyColors val="0"/>
        <c:ser>
          <c:idx val="0"/>
          <c:order val="0"/>
          <c:tx>
            <c:strRef>
              <c:f>Hoja2!$C$39</c:f>
              <c:strCache>
                <c:ptCount val="1"/>
                <c:pt idx="0">
                  <c:v>Auditorías</c:v>
                </c:pt>
              </c:strCache>
            </c:strRef>
          </c:tx>
          <c:spPr>
            <a:solidFill>
              <a:srgbClr val="800000"/>
            </a:solidFill>
            <a:ln>
              <a:noFill/>
            </a:ln>
            <a:effectLst/>
          </c:spPr>
          <c:invertIfNegative val="0"/>
          <c:cat>
            <c:strRef>
              <c:f>Hoja2!$B$40:$B$47</c:f>
              <c:strCache>
                <c:ptCount val="8"/>
                <c:pt idx="0">
                  <c:v>Poder Ejecutivo</c:v>
                </c:pt>
                <c:pt idx="1">
                  <c:v>Poder Legislativo</c:v>
                </c:pt>
                <c:pt idx="2">
                  <c:v>Poder Judicial</c:v>
                </c:pt>
                <c:pt idx="3">
                  <c:v>Administración Pública Paraestatal</c:v>
                </c:pt>
                <c:pt idx="4">
                  <c:v>Administración Pública Central</c:v>
                </c:pt>
                <c:pt idx="5">
                  <c:v>Órganos Autónomos</c:v>
                </c:pt>
                <c:pt idx="6">
                  <c:v>Ayuntamientos</c:v>
                </c:pt>
                <c:pt idx="7">
                  <c:v>Administración Pública Paramunicipal</c:v>
                </c:pt>
              </c:strCache>
            </c:strRef>
          </c:cat>
          <c:val>
            <c:numRef>
              <c:f>Hoja2!$C$40:$C$47</c:f>
              <c:numCache>
                <c:formatCode>General</c:formatCode>
                <c:ptCount val="8"/>
                <c:pt idx="0">
                  <c:v>3</c:v>
                </c:pt>
                <c:pt idx="1">
                  <c:v>2</c:v>
                </c:pt>
                <c:pt idx="2">
                  <c:v>3</c:v>
                </c:pt>
                <c:pt idx="3">
                  <c:v>94</c:v>
                </c:pt>
                <c:pt idx="4">
                  <c:v>32</c:v>
                </c:pt>
                <c:pt idx="5">
                  <c:v>13</c:v>
                </c:pt>
                <c:pt idx="6">
                  <c:v>65</c:v>
                </c:pt>
                <c:pt idx="7">
                  <c:v>35</c:v>
                </c:pt>
              </c:numCache>
            </c:numRef>
          </c:val>
          <c:extLst>
            <c:ext xmlns:c16="http://schemas.microsoft.com/office/drawing/2014/chart" uri="{C3380CC4-5D6E-409C-BE32-E72D297353CC}">
              <c16:uniqueId val="{00000000-6FE1-4393-9C9D-1DEEED5B0593}"/>
            </c:ext>
          </c:extLst>
        </c:ser>
        <c:ser>
          <c:idx val="1"/>
          <c:order val="1"/>
          <c:tx>
            <c:strRef>
              <c:f>Hoja2!$D$39</c:f>
              <c:strCache>
                <c:ptCount val="1"/>
                <c:pt idx="0">
                  <c:v>Informes Individuales</c:v>
                </c:pt>
              </c:strCache>
            </c:strRef>
          </c:tx>
          <c:spPr>
            <a:solidFill>
              <a:schemeClr val="bg1">
                <a:lumMod val="65000"/>
              </a:schemeClr>
            </a:solidFill>
            <a:ln>
              <a:noFill/>
            </a:ln>
            <a:effectLst/>
          </c:spPr>
          <c:invertIfNegative val="0"/>
          <c:cat>
            <c:strRef>
              <c:f>Hoja2!$B$40:$B$47</c:f>
              <c:strCache>
                <c:ptCount val="8"/>
                <c:pt idx="0">
                  <c:v>Poder Ejecutivo</c:v>
                </c:pt>
                <c:pt idx="1">
                  <c:v>Poder Legislativo</c:v>
                </c:pt>
                <c:pt idx="2">
                  <c:v>Poder Judicial</c:v>
                </c:pt>
                <c:pt idx="3">
                  <c:v>Administración Pública Paraestatal</c:v>
                </c:pt>
                <c:pt idx="4">
                  <c:v>Administración Pública Central</c:v>
                </c:pt>
                <c:pt idx="5">
                  <c:v>Órganos Autónomos</c:v>
                </c:pt>
                <c:pt idx="6">
                  <c:v>Ayuntamientos</c:v>
                </c:pt>
                <c:pt idx="7">
                  <c:v>Administración Pública Paramunicipal</c:v>
                </c:pt>
              </c:strCache>
            </c:strRef>
          </c:cat>
          <c:val>
            <c:numRef>
              <c:f>Hoja2!$D$40:$D$47</c:f>
              <c:numCache>
                <c:formatCode>General</c:formatCode>
                <c:ptCount val="8"/>
                <c:pt idx="0">
                  <c:v>1</c:v>
                </c:pt>
                <c:pt idx="1">
                  <c:v>1</c:v>
                </c:pt>
                <c:pt idx="2">
                  <c:v>2</c:v>
                </c:pt>
                <c:pt idx="3">
                  <c:v>59</c:v>
                </c:pt>
                <c:pt idx="4">
                  <c:v>27</c:v>
                </c:pt>
                <c:pt idx="5">
                  <c:v>9</c:v>
                </c:pt>
                <c:pt idx="6">
                  <c:v>29</c:v>
                </c:pt>
                <c:pt idx="7">
                  <c:v>25</c:v>
                </c:pt>
              </c:numCache>
            </c:numRef>
          </c:val>
          <c:extLst>
            <c:ext xmlns:c16="http://schemas.microsoft.com/office/drawing/2014/chart" uri="{C3380CC4-5D6E-409C-BE32-E72D297353CC}">
              <c16:uniqueId val="{00000001-6FE1-4393-9C9D-1DEEED5B0593}"/>
            </c:ext>
          </c:extLst>
        </c:ser>
        <c:dLbls>
          <c:showLegendKey val="0"/>
          <c:showVal val="0"/>
          <c:showCatName val="0"/>
          <c:showSerName val="0"/>
          <c:showPercent val="0"/>
          <c:showBubbleSize val="0"/>
        </c:dLbls>
        <c:gapWidth val="150"/>
        <c:overlap val="100"/>
        <c:axId val="1694981776"/>
        <c:axId val="1694994256"/>
      </c:barChart>
      <c:catAx>
        <c:axId val="16949817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94994256"/>
        <c:crosses val="autoZero"/>
        <c:auto val="1"/>
        <c:lblAlgn val="ctr"/>
        <c:lblOffset val="100"/>
        <c:noMultiLvlLbl val="0"/>
      </c:catAx>
      <c:valAx>
        <c:axId val="169499425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94981776"/>
        <c:crosses val="autoZero"/>
        <c:crossBetween val="between"/>
      </c:valAx>
      <c:spPr>
        <a:noFill/>
        <a:ln cap="rnd">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sz="1400"/>
              <a:t>Número de Auditorías</a:t>
            </a:r>
          </a:p>
          <a:p>
            <a:pPr>
              <a:defRPr sz="1400"/>
            </a:pPr>
            <a:r>
              <a:rPr lang="es-MX" sz="1400"/>
              <a:t>por Área Fiscalizadora</a:t>
            </a:r>
          </a:p>
        </c:rich>
      </c:tx>
      <c:layout>
        <c:manualLayout>
          <c:xMode val="edge"/>
          <c:yMode val="edge"/>
          <c:x val="0.33513407565398523"/>
          <c:y val="2.6321115106646642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957710986039659"/>
          <c:w val="1"/>
          <c:h val="0.80042297498762305"/>
        </c:manualLayout>
      </c:layout>
      <c:pie3DChart>
        <c:varyColors val="1"/>
        <c:ser>
          <c:idx val="0"/>
          <c:order val="0"/>
          <c:explosion val="45"/>
          <c:dPt>
            <c:idx val="0"/>
            <c:bubble3D val="0"/>
            <c:explosion val="0"/>
            <c:spPr>
              <a:solidFill>
                <a:srgbClr val="80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11B-4FE3-B640-7E87AD080D20}"/>
              </c:ext>
            </c:extLst>
          </c:dPt>
          <c:dPt>
            <c:idx val="1"/>
            <c:bubble3D val="0"/>
            <c:explosion val="16"/>
            <c:spPr>
              <a:solidFill>
                <a:srgbClr val="FF99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11B-4FE3-B640-7E87AD080D20}"/>
              </c:ext>
            </c:extLst>
          </c:dPt>
          <c:dPt>
            <c:idx val="2"/>
            <c:bubble3D val="0"/>
            <c:explosion val="15"/>
            <c:spPr>
              <a:solidFill>
                <a:srgbClr val="70AD47">
                  <a:lumMod val="50000"/>
                </a:srgb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11B-4FE3-B640-7E87AD080D20}"/>
              </c:ext>
            </c:extLst>
          </c:dPt>
          <c:dLbls>
            <c:dLbl>
              <c:idx val="0"/>
              <c:layout>
                <c:manualLayout>
                  <c:x val="-0.21433466437876528"/>
                  <c:y val="-0.18373258446394899"/>
                </c:manualLayout>
              </c:layout>
              <c:tx>
                <c:rich>
                  <a:bodyPr/>
                  <a:lstStyle/>
                  <a:p>
                    <a:fld id="{6F3DC0A5-005F-4F8E-BDF1-63F7E8D86940}" type="CATEGORYNAME">
                      <a:rPr lang="en-US" sz="800" b="1">
                        <a:solidFill>
                          <a:schemeClr val="bg1"/>
                        </a:solidFill>
                      </a:rPr>
                      <a:pPr/>
                      <a:t>[NOMBRE DE CATEGORÍA]</a:t>
                    </a:fld>
                    <a:r>
                      <a:rPr lang="en-US" sz="800" b="1">
                        <a:solidFill>
                          <a:schemeClr val="bg1"/>
                        </a:solidFill>
                      </a:rPr>
                      <a:t>, </a:t>
                    </a:r>
                  </a:p>
                  <a:p>
                    <a:fld id="{DA7E6CE3-E152-4D23-B05C-3A21C8F0B6EB}" type="VALUE">
                      <a:rPr lang="en-US" sz="800" b="1">
                        <a:solidFill>
                          <a:schemeClr val="bg1"/>
                        </a:solidFill>
                      </a:rPr>
                      <a:pPr/>
                      <a:t>[VALOR]</a:t>
                    </a:fld>
                    <a:r>
                      <a:rPr lang="en-US" sz="800" b="1">
                        <a:solidFill>
                          <a:schemeClr val="bg1"/>
                        </a:solidFill>
                      </a:rPr>
                      <a:t>, </a:t>
                    </a:r>
                  </a:p>
                  <a:p>
                    <a:fld id="{FB528A8B-5039-4444-A88F-F3A81196C7A5}" type="PERCENTAGE">
                      <a:rPr lang="en-US" sz="800" b="1">
                        <a:solidFill>
                          <a:schemeClr val="bg1"/>
                        </a:solidFill>
                      </a:rPr>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11B-4FE3-B640-7E87AD080D20}"/>
                </c:ext>
              </c:extLst>
            </c:dLbl>
            <c:dLbl>
              <c:idx val="1"/>
              <c:layout>
                <c:manualLayout>
                  <c:x val="0.20079078709865952"/>
                  <c:y val="6.1762511487609391E-3"/>
                </c:manualLayout>
              </c:layout>
              <c:tx>
                <c:rich>
                  <a:bodyPr/>
                  <a:lstStyle/>
                  <a:p>
                    <a:fld id="{261343F4-6F7C-4A94-83E3-F7101AD4ADE7}" type="CATEGORYNAME">
                      <a:rPr lang="en-US" sz="800" b="1">
                        <a:solidFill>
                          <a:schemeClr val="bg1"/>
                        </a:solidFill>
                      </a:rPr>
                      <a:pPr/>
                      <a:t>[NOMBRE DE CATEGORÍA]</a:t>
                    </a:fld>
                    <a:r>
                      <a:rPr lang="en-US" sz="800" b="1">
                        <a:solidFill>
                          <a:schemeClr val="bg1"/>
                        </a:solidFill>
                      </a:rPr>
                      <a:t>, </a:t>
                    </a:r>
                  </a:p>
                  <a:p>
                    <a:fld id="{6F1FCA00-D1DD-4393-B53C-40861900701C}" type="VALUE">
                      <a:rPr lang="en-US" sz="800" b="1">
                        <a:solidFill>
                          <a:schemeClr val="bg1"/>
                        </a:solidFill>
                      </a:rPr>
                      <a:pPr/>
                      <a:t>[VALOR]</a:t>
                    </a:fld>
                    <a:r>
                      <a:rPr lang="en-US" sz="800" b="1">
                        <a:solidFill>
                          <a:schemeClr val="bg1"/>
                        </a:solidFill>
                      </a:rPr>
                      <a:t>, </a:t>
                    </a:r>
                  </a:p>
                  <a:p>
                    <a:fld id="{F898A6E1-3706-4E4D-A75B-3FE425F1DD56}" type="PERCENTAGE">
                      <a:rPr lang="en-US" sz="800" b="1">
                        <a:solidFill>
                          <a:schemeClr val="bg1"/>
                        </a:solidFill>
                      </a:rPr>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11B-4FE3-B640-7E87AD080D20}"/>
                </c:ext>
              </c:extLst>
            </c:dLbl>
            <c:dLbl>
              <c:idx val="2"/>
              <c:layout>
                <c:manualLayout>
                  <c:x val="0.11463134317986215"/>
                  <c:y val="0.12058675666761659"/>
                </c:manualLayout>
              </c:layout>
              <c:tx>
                <c:rich>
                  <a:bodyPr/>
                  <a:lstStyle/>
                  <a:p>
                    <a:fld id="{509E4BA4-29E2-4A6D-9989-19E7F9AF9C89}" type="CATEGORYNAME">
                      <a:rPr lang="en-US" sz="800" b="1">
                        <a:solidFill>
                          <a:schemeClr val="bg1"/>
                        </a:solidFill>
                      </a:rPr>
                      <a:pPr/>
                      <a:t>[NOMBRE DE CATEGORÍA]</a:t>
                    </a:fld>
                    <a:r>
                      <a:rPr lang="en-US" sz="800" b="1">
                        <a:solidFill>
                          <a:schemeClr val="bg1"/>
                        </a:solidFill>
                      </a:rPr>
                      <a:t>, </a:t>
                    </a:r>
                  </a:p>
                  <a:p>
                    <a:fld id="{DFC473FA-F8F4-4632-BE03-8D08082914A2}" type="VALUE">
                      <a:rPr lang="en-US" sz="800" b="1">
                        <a:solidFill>
                          <a:schemeClr val="bg1"/>
                        </a:solidFill>
                      </a:rPr>
                      <a:pPr/>
                      <a:t>[VALOR]</a:t>
                    </a:fld>
                    <a:r>
                      <a:rPr lang="en-US" sz="800" b="1">
                        <a:solidFill>
                          <a:schemeClr val="bg1"/>
                        </a:solidFill>
                      </a:rPr>
                      <a:t>,</a:t>
                    </a:r>
                  </a:p>
                  <a:p>
                    <a:fld id="{22E73332-EF6A-491C-8E7B-6D74ED8F143F}" type="PERCENTAGE">
                      <a:rPr lang="en-US" sz="800" b="1">
                        <a:solidFill>
                          <a:schemeClr val="bg1"/>
                        </a:solidFill>
                      </a:rPr>
                      <a:pPr/>
                      <a:t>[PORCENTAJE]</a:t>
                    </a:fld>
                    <a:endParaRPr lang="es-MX"/>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11B-4FE3-B640-7E87AD080D2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'Auditorías por Supervisor'!$G$12:$G$14</c:f>
              <c:strCache>
                <c:ptCount val="3"/>
                <c:pt idx="0">
                  <c:v>Cumplimiento Financiero</c:v>
                </c:pt>
                <c:pt idx="1">
                  <c:v>Invesiones Físicas</c:v>
                </c:pt>
                <c:pt idx="2">
                  <c:v>Desempeño</c:v>
                </c:pt>
              </c:strCache>
            </c:strRef>
          </c:cat>
          <c:val>
            <c:numRef>
              <c:f>'Auditorías por Supervisor'!$H$12:$H$14</c:f>
              <c:numCache>
                <c:formatCode>0.00</c:formatCode>
                <c:ptCount val="3"/>
                <c:pt idx="0">
                  <c:v>164</c:v>
                </c:pt>
                <c:pt idx="1">
                  <c:v>44</c:v>
                </c:pt>
                <c:pt idx="2">
                  <c:v>39</c:v>
                </c:pt>
              </c:numCache>
            </c:numRef>
          </c:val>
          <c:extLst>
            <c:ext xmlns:c16="http://schemas.microsoft.com/office/drawing/2014/chart" uri="{C3380CC4-5D6E-409C-BE32-E72D297353CC}">
              <c16:uniqueId val="{00000006-B11B-4FE3-B640-7E87AD080D20}"/>
            </c:ext>
          </c:extLst>
        </c:ser>
        <c:dLbls>
          <c:dLblPos val="outEnd"/>
          <c:showLegendKey val="0"/>
          <c:showVal val="0"/>
          <c:showCatName val="1"/>
          <c:showSerName val="0"/>
          <c:showPercent val="0"/>
          <c:showBubbleSize val="0"/>
          <c:showLeaderLines val="1"/>
        </c:dLbls>
      </c:pie3DChart>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t>Relevancia de los Riesgos</a:t>
            </a:r>
          </a:p>
        </c:rich>
      </c:tx>
      <c:layout>
        <c:manualLayout>
          <c:xMode val="edge"/>
          <c:yMode val="edge"/>
          <c:x val="0.28534232639524709"/>
          <c:y val="4.1516021832126701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671834625322998E-2"/>
          <c:y val="0.16606104508622752"/>
          <c:w val="0.97932816537467704"/>
          <c:h val="0.83393895491377246"/>
        </c:manualLayout>
      </c:layout>
      <c:pie3DChart>
        <c:varyColors val="1"/>
        <c:ser>
          <c:idx val="0"/>
          <c:order val="0"/>
          <c:dPt>
            <c:idx val="0"/>
            <c:bubble3D val="0"/>
            <c:spPr>
              <a:solidFill>
                <a:srgbClr val="80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63E-4C42-A551-B2DA35F212B8}"/>
              </c:ext>
            </c:extLst>
          </c:dPt>
          <c:dPt>
            <c:idx val="1"/>
            <c:bubble3D val="0"/>
            <c:explosion val="22"/>
            <c:spPr>
              <a:solidFill>
                <a:srgbClr val="70AD47">
                  <a:lumMod val="50000"/>
                </a:srgb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63E-4C42-A551-B2DA35F212B8}"/>
              </c:ext>
            </c:extLst>
          </c:dPt>
          <c:dLbls>
            <c:dLbl>
              <c:idx val="0"/>
              <c:layout>
                <c:manualLayout>
                  <c:x val="-0.21567865063378716"/>
                  <c:y val="-0.296683497913394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3E-4C42-A551-B2DA35F212B8}"/>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inEnd"/>
            <c:showLegendKey val="0"/>
            <c:showVal val="1"/>
            <c:showCatName val="1"/>
            <c:showSerName val="0"/>
            <c:showPercent val="1"/>
            <c:showBubbleSize val="0"/>
            <c:showLeaderLines val="0"/>
            <c:extLst>
              <c:ext xmlns:c15="http://schemas.microsoft.com/office/drawing/2012/chart" uri="{CE6537A1-D6FC-4f65-9D91-7224C49458BB}"/>
            </c:extLst>
          </c:dLbls>
          <c:cat>
            <c:strRef>
              <c:f>'PREGUNTA PREVIA'!$C$99:$D$99</c:f>
              <c:strCache>
                <c:ptCount val="2"/>
                <c:pt idx="0">
                  <c:v>Relevantes</c:v>
                </c:pt>
                <c:pt idx="1">
                  <c:v>No Relevantes</c:v>
                </c:pt>
              </c:strCache>
            </c:strRef>
          </c:cat>
          <c:val>
            <c:numRef>
              <c:f>'PREGUNTA PREVIA'!$C$100:$D$100</c:f>
              <c:numCache>
                <c:formatCode>General</c:formatCode>
                <c:ptCount val="2"/>
                <c:pt idx="0">
                  <c:v>191</c:v>
                </c:pt>
                <c:pt idx="1">
                  <c:v>56</c:v>
                </c:pt>
              </c:numCache>
            </c:numRef>
          </c:val>
          <c:extLst>
            <c:ext xmlns:c16="http://schemas.microsoft.com/office/drawing/2014/chart" uri="{C3380CC4-5D6E-409C-BE32-E72D297353CC}">
              <c16:uniqueId val="{00000004-863E-4C42-A551-B2DA35F212B8}"/>
            </c:ext>
          </c:extLst>
        </c:ser>
        <c:dLbls>
          <c:dLblPos val="inEnd"/>
          <c:showLegendKey val="0"/>
          <c:showVal val="1"/>
          <c:showCatName val="0"/>
          <c:showSerName val="0"/>
          <c:showPercent val="0"/>
          <c:showBubbleSize val="0"/>
          <c:showLeaderLines val="0"/>
        </c:dLbls>
        <c:extLst>
          <c:ext xmlns:c15="http://schemas.microsoft.com/office/drawing/2012/chart" uri="{02D57815-91ED-43cb-92C2-25804820EDAC}">
            <c15:filteredPieSeries>
              <c15:ser>
                <c:idx val="1"/>
                <c:order val="1"/>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863E-4C42-A551-B2DA35F212B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863E-4C42-A551-B2DA35F212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'PREGUNTA PREVIA'!$C$99:$D$99</c15:sqref>
                        </c15:formulaRef>
                      </c:ext>
                    </c:extLst>
                    <c:strCache>
                      <c:ptCount val="2"/>
                      <c:pt idx="0">
                        <c:v>Relevantes</c:v>
                      </c:pt>
                      <c:pt idx="1">
                        <c:v>No Relevantes</c:v>
                      </c:pt>
                    </c:strCache>
                  </c:strRef>
                </c:cat>
                <c:val>
                  <c:numRef>
                    <c:extLst>
                      <c:ext uri="{02D57815-91ED-43cb-92C2-25804820EDAC}">
                        <c15:formulaRef>
                          <c15:sqref>'PREGUNTA PREVIA'!$C$101:$D$101</c15:sqref>
                        </c15:formulaRef>
                      </c:ext>
                    </c:extLst>
                    <c:numCache>
                      <c:formatCode>0.00%</c:formatCode>
                      <c:ptCount val="2"/>
                      <c:pt idx="0">
                        <c:v>0.77327935222672062</c:v>
                      </c:pt>
                      <c:pt idx="1">
                        <c:v>0.22672064777327935</c:v>
                      </c:pt>
                    </c:numCache>
                  </c:numRef>
                </c:val>
                <c:extLst>
                  <c:ext xmlns:c16="http://schemas.microsoft.com/office/drawing/2014/chart" uri="{C3380CC4-5D6E-409C-BE32-E72D297353CC}">
                    <c16:uniqueId val="{00000009-863E-4C42-A551-B2DA35F212B8}"/>
                  </c:ext>
                </c:extLst>
              </c15:ser>
            </c15:filteredPieSeries>
          </c:ext>
        </c:extLst>
      </c:pie3DChart>
      <c:spPr>
        <a:noFill/>
        <a:ln>
          <a:noFill/>
        </a:ln>
        <a:effectLst/>
      </c:spPr>
    </c:plotArea>
    <c:legend>
      <c:legendPos val="b"/>
      <c:layout>
        <c:manualLayout>
          <c:xMode val="edge"/>
          <c:yMode val="edge"/>
          <c:x val="0.61126696372255795"/>
          <c:y val="0.88340081633453693"/>
          <c:w val="0.38728519400191252"/>
          <c:h val="7.50795656459488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a:t>Principales Problemáticas de Auditorías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800000"/>
            </a:solidFill>
            <a:ln>
              <a:noFill/>
            </a:ln>
            <a:effectLst/>
            <a:sp3d/>
          </c:spPr>
          <c:invertIfNegative val="0"/>
          <c:dLbls>
            <c:dLbl>
              <c:idx val="0"/>
              <c:layout>
                <c:manualLayout>
                  <c:x val="2.0200529923576252E-2"/>
                  <c:y val="-2.8180555139399956E-2"/>
                </c:manualLayout>
              </c:layout>
              <c:tx>
                <c:rich>
                  <a:bodyPr/>
                  <a:lstStyle/>
                  <a:p>
                    <a:fld id="{16C233BF-766C-43F6-95FE-0C82C15B635A}" type="VALUE">
                      <a:rPr lang="en-US"/>
                      <a:pPr/>
                      <a:t>[VALOR]</a:t>
                    </a:fld>
                    <a:endParaRPr lang="en-US"/>
                  </a:p>
                  <a:p>
                    <a:r>
                      <a:rPr lang="en-US"/>
                      <a:t>5.8%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E13-4926-B7D0-F4169530E557}"/>
                </c:ext>
              </c:extLst>
            </c:dLbl>
            <c:dLbl>
              <c:idx val="1"/>
              <c:layout>
                <c:manualLayout>
                  <c:x val="2.9859785856706813E-2"/>
                  <c:y val="-2.9577786854351997E-2"/>
                </c:manualLayout>
              </c:layout>
              <c:tx>
                <c:rich>
                  <a:bodyPr/>
                  <a:lstStyle/>
                  <a:p>
                    <a:fld id="{40C01B4A-FD3E-48BF-A976-085AC1965297}" type="VALUE">
                      <a:rPr lang="en-US"/>
                      <a:pPr/>
                      <a:t>[VALOR]</a:t>
                    </a:fld>
                    <a:endParaRPr lang="en-US"/>
                  </a:p>
                  <a:p>
                    <a:r>
                      <a:rPr lang="en-US"/>
                      <a:t>1.0%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E13-4926-B7D0-F4169530E557}"/>
                </c:ext>
              </c:extLst>
            </c:dLbl>
            <c:dLbl>
              <c:idx val="2"/>
              <c:layout>
                <c:manualLayout>
                  <c:x val="2.7086685447414879E-2"/>
                  <c:y val="-2.8237012131945353E-2"/>
                </c:manualLayout>
              </c:layout>
              <c:tx>
                <c:rich>
                  <a:bodyPr/>
                  <a:lstStyle/>
                  <a:p>
                    <a:fld id="{13FE8C8F-524C-498C-9442-E9CD854929DA}" type="VALUE">
                      <a:rPr lang="en-US"/>
                      <a:pPr/>
                      <a:t>[VALOR]</a:t>
                    </a:fld>
                    <a:endParaRPr lang="en-US"/>
                  </a:p>
                  <a:p>
                    <a:r>
                      <a:rPr lang="en-US"/>
                      <a:t>11.5%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E13-4926-B7D0-F4169530E557}"/>
                </c:ext>
              </c:extLst>
            </c:dLbl>
            <c:dLbl>
              <c:idx val="3"/>
              <c:layout>
                <c:manualLayout>
                  <c:x val="1.8779679016701325E-2"/>
                  <c:y val="-3.6587285191393953E-2"/>
                </c:manualLayout>
              </c:layout>
              <c:tx>
                <c:rich>
                  <a:bodyPr/>
                  <a:lstStyle/>
                  <a:p>
                    <a:fld id="{6D85A7DF-FDD1-4AFD-9B82-D418A3029E24}" type="VALUE">
                      <a:rPr lang="en-US"/>
                      <a:pPr/>
                      <a:t>[VALOR]</a:t>
                    </a:fld>
                    <a:endParaRPr lang="en-US"/>
                  </a:p>
                  <a:p>
                    <a:r>
                      <a:rPr lang="en-US"/>
                      <a:t>81.7%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E13-4926-B7D0-F4169530E557}"/>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'PREGUNTA 1'!$N$43:$Q$43</c:f>
              <c:strCache>
                <c:ptCount val="4"/>
                <c:pt idx="0">
                  <c:v>Incorrecta  aplicación de recursos.</c:v>
                </c:pt>
                <c:pt idx="1">
                  <c:v>Inadecuada captación de recursos públicos</c:v>
                </c:pt>
                <c:pt idx="2">
                  <c:v>Incumpliendo de metas y objetivos de fondo, programas o políticas públicas.</c:v>
                </c:pt>
                <c:pt idx="3">
                  <c:v>Fallas o errores en la gestión administrativa del ente auditado</c:v>
                </c:pt>
              </c:strCache>
            </c:strRef>
          </c:cat>
          <c:val>
            <c:numRef>
              <c:f>'PREGUNTA 1'!$N$44:$Q$44</c:f>
              <c:numCache>
                <c:formatCode>General</c:formatCode>
                <c:ptCount val="4"/>
                <c:pt idx="0">
                  <c:v>11</c:v>
                </c:pt>
                <c:pt idx="1">
                  <c:v>2</c:v>
                </c:pt>
                <c:pt idx="2">
                  <c:v>22</c:v>
                </c:pt>
                <c:pt idx="3">
                  <c:v>156</c:v>
                </c:pt>
              </c:numCache>
            </c:numRef>
          </c:val>
          <c:extLst>
            <c:ext xmlns:c16="http://schemas.microsoft.com/office/drawing/2014/chart" uri="{C3380CC4-5D6E-409C-BE32-E72D297353CC}">
              <c16:uniqueId val="{00000004-DE13-4926-B7D0-F4169530E557}"/>
            </c:ext>
          </c:extLst>
        </c:ser>
        <c:dLbls>
          <c:showLegendKey val="0"/>
          <c:showVal val="1"/>
          <c:showCatName val="0"/>
          <c:showSerName val="0"/>
          <c:showPercent val="0"/>
          <c:showBubbleSize val="0"/>
        </c:dLbls>
        <c:gapWidth val="150"/>
        <c:shape val="box"/>
        <c:axId val="780570895"/>
        <c:axId val="780560079"/>
        <c:axId val="0"/>
      </c:bar3DChart>
      <c:catAx>
        <c:axId val="7805708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80560079"/>
        <c:crosses val="autoZero"/>
        <c:auto val="1"/>
        <c:lblAlgn val="ctr"/>
        <c:lblOffset val="100"/>
        <c:noMultiLvlLbl val="0"/>
      </c:catAx>
      <c:valAx>
        <c:axId val="780560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7805708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0.72755</cdr:x>
      <cdr:y>0.78251</cdr:y>
    </cdr:from>
    <cdr:to>
      <cdr:x>0.9257</cdr:x>
      <cdr:y>0.84022</cdr:y>
    </cdr:to>
    <cdr:sp macro="" textlink="">
      <cdr:nvSpPr>
        <cdr:cNvPr id="2" name="CuadroTexto 1"/>
        <cdr:cNvSpPr txBox="1"/>
      </cdr:nvSpPr>
      <cdr:spPr>
        <a:xfrm xmlns:a="http://schemas.openxmlformats.org/drawingml/2006/main">
          <a:off x="3581400" y="3145335"/>
          <a:ext cx="975360" cy="2319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latin typeface="Arial" panose="020B0604020202020204" pitchFamily="34" charset="0"/>
              <a:cs typeface="Arial" panose="020B0604020202020204" pitchFamily="34" charset="0"/>
            </a:rPr>
            <a:t>Financiero</a:t>
          </a:r>
        </a:p>
      </cdr:txBody>
    </cdr:sp>
  </cdr:relSizeAnchor>
  <cdr:relSizeAnchor xmlns:cdr="http://schemas.openxmlformats.org/drawingml/2006/chartDrawing">
    <cdr:from>
      <cdr:x>0.19143</cdr:x>
      <cdr:y>0.18513</cdr:y>
    </cdr:from>
    <cdr:to>
      <cdr:x>0.41176</cdr:x>
      <cdr:y>0.24516</cdr:y>
    </cdr:to>
    <cdr:sp macro="" textlink="">
      <cdr:nvSpPr>
        <cdr:cNvPr id="3" name="CuadroTexto 1"/>
        <cdr:cNvSpPr txBox="1"/>
      </cdr:nvSpPr>
      <cdr:spPr>
        <a:xfrm xmlns:a="http://schemas.openxmlformats.org/drawingml/2006/main">
          <a:off x="942340" y="744125"/>
          <a:ext cx="1084580" cy="2413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latin typeface="Arial" panose="020B0604020202020204" pitchFamily="34" charset="0"/>
              <a:cs typeface="Arial" panose="020B0604020202020204" pitchFamily="34" charset="0"/>
            </a:rPr>
            <a:t>Obra Pública</a:t>
          </a:r>
        </a:p>
      </cdr:txBody>
    </cdr:sp>
  </cdr:relSizeAnchor>
  <cdr:relSizeAnchor xmlns:cdr="http://schemas.openxmlformats.org/drawingml/2006/chartDrawing">
    <cdr:from>
      <cdr:x>0</cdr:x>
      <cdr:y>0.31121</cdr:y>
    </cdr:from>
    <cdr:to>
      <cdr:x>0.19814</cdr:x>
      <cdr:y>0.36892</cdr:y>
    </cdr:to>
    <cdr:sp macro="" textlink="">
      <cdr:nvSpPr>
        <cdr:cNvPr id="4" name="CuadroTexto 1"/>
        <cdr:cNvSpPr txBox="1"/>
      </cdr:nvSpPr>
      <cdr:spPr>
        <a:xfrm xmlns:a="http://schemas.openxmlformats.org/drawingml/2006/main">
          <a:off x="0" y="1250918"/>
          <a:ext cx="975360" cy="2319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a:latin typeface="Arial" panose="020B0604020202020204" pitchFamily="34" charset="0"/>
              <a:cs typeface="Arial" panose="020B0604020202020204" pitchFamily="34" charset="0"/>
            </a:rPr>
            <a:t>Desempeño</a:t>
          </a:r>
        </a:p>
      </cdr:txBody>
    </cdr:sp>
  </cdr:relSizeAnchor>
</c:userShapes>
</file>

<file path=word/drawings/drawing2.xml><?xml version="1.0" encoding="utf-8"?>
<c:userShapes xmlns:c="http://schemas.openxmlformats.org/drawingml/2006/chart">
  <cdr:relSizeAnchor xmlns:cdr="http://schemas.openxmlformats.org/drawingml/2006/chartDrawing">
    <cdr:from>
      <cdr:x>0.50793</cdr:x>
      <cdr:y>0.14087</cdr:y>
    </cdr:from>
    <cdr:to>
      <cdr:x>0.73425</cdr:x>
      <cdr:y>0.20853</cdr:y>
    </cdr:to>
    <cdr:sp macro="" textlink="">
      <cdr:nvSpPr>
        <cdr:cNvPr id="2" name="CuadroTexto 4"/>
        <cdr:cNvSpPr txBox="1"/>
      </cdr:nvSpPr>
      <cdr:spPr>
        <a:xfrm xmlns:a="http://schemas.openxmlformats.org/drawingml/2006/main">
          <a:off x="2519667" y="613472"/>
          <a:ext cx="1122688" cy="29464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900" b="1">
              <a:latin typeface="Arial" panose="020B0604020202020204" pitchFamily="34" charset="0"/>
              <a:cs typeface="Arial" panose="020B0604020202020204" pitchFamily="34" charset="0"/>
            </a:rPr>
            <a:t>Financiamientos</a:t>
          </a:r>
        </a:p>
      </cdr:txBody>
    </cdr:sp>
  </cdr:relSizeAnchor>
  <cdr:relSizeAnchor xmlns:cdr="http://schemas.openxmlformats.org/drawingml/2006/chartDrawing">
    <cdr:from>
      <cdr:x>0.85817</cdr:x>
      <cdr:y>0.31613</cdr:y>
    </cdr:from>
    <cdr:to>
      <cdr:x>0.99846</cdr:x>
      <cdr:y>0.38379</cdr:y>
    </cdr:to>
    <cdr:sp macro="" textlink="">
      <cdr:nvSpPr>
        <cdr:cNvPr id="3" name="CuadroTexto 4"/>
        <cdr:cNvSpPr txBox="1"/>
      </cdr:nvSpPr>
      <cdr:spPr>
        <a:xfrm xmlns:a="http://schemas.openxmlformats.org/drawingml/2006/main">
          <a:off x="4257040" y="1376680"/>
          <a:ext cx="695960" cy="29464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a:lnSpc>
              <a:spcPct val="107000"/>
            </a:lnSpc>
            <a:spcAft>
              <a:spcPts val="0"/>
            </a:spcAft>
          </a:pPr>
          <a:r>
            <a:rPr lang="es-MX" sz="900" b="1">
              <a:solidFill>
                <a:srgbClr val="000000"/>
              </a:solidFill>
              <a:effectLst/>
              <a:latin typeface="Arial" panose="020B0604020202020204" pitchFamily="34" charset="0"/>
              <a:ea typeface="Calibri" panose="020F0502020204030204" pitchFamily="34" charset="0"/>
            </a:rPr>
            <a:t>Ingresos</a:t>
          </a:r>
          <a:endParaRPr lang="es-MX" sz="1200">
            <a:effectLst/>
            <a:latin typeface="Times New Roman" panose="02020603050405020304" pitchFamily="18" charset="0"/>
            <a:ea typeface="Calibri" panose="020F0502020204030204" pitchFamily="34"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charset w:val="00"/>
    <w:family w:val="auto"/>
    <w:pitch w:val="variable"/>
    <w:sig w:usb0="2000020F" w:usb1="00000003" w:usb2="00000000" w:usb3="00000000" w:csb0="00000197" w:csb1="00000000"/>
  </w:font>
  <w:font w:name="Poppins Light">
    <w:altName w:val="Courier New"/>
    <w:charset w:val="00"/>
    <w:family w:val="auto"/>
    <w:pitch w:val="variable"/>
    <w:sig w:usb0="00008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7AE"/>
    <w:rsid w:val="005C07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BD7F41729F740F685219CEE16456CF3">
    <w:name w:val="EBD7F41729F740F685219CEE16456CF3"/>
    <w:rsid w:val="005C07AE"/>
  </w:style>
  <w:style w:type="paragraph" w:customStyle="1" w:styleId="AC214F6FFE984F279DB3608FBC4FB176">
    <w:name w:val="AC214F6FFE984F279DB3608FBC4FB176"/>
    <w:rsid w:val="005C07AE"/>
  </w:style>
  <w:style w:type="paragraph" w:customStyle="1" w:styleId="6F052DF919C043018F2618CB5E538F27">
    <w:name w:val="6F052DF919C043018F2618CB5E538F27"/>
    <w:rsid w:val="005C07AE"/>
  </w:style>
  <w:style w:type="paragraph" w:customStyle="1" w:styleId="08ABFD39C0E546D7B8C1EA1C4DF9FB45">
    <w:name w:val="08ABFD39C0E546D7B8C1EA1C4DF9FB45"/>
    <w:rsid w:val="005C07AE"/>
  </w:style>
  <w:style w:type="paragraph" w:customStyle="1" w:styleId="4ACBB98A8D294C8592C3F6FCD603A8C0">
    <w:name w:val="4ACBB98A8D294C8592C3F6FCD603A8C0"/>
    <w:rsid w:val="005C07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CC615-A152-4777-8500-CE22BAC4B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180</Pages>
  <Words>50809</Words>
  <Characters>279450</Characters>
  <Application>Microsoft Office Word</Application>
  <DocSecurity>0</DocSecurity>
  <Lines>2328</Lines>
  <Paragraphs>659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Yaphet A. Gonzalez Vega</dc:creator>
  <cp:keywords/>
  <dc:description/>
  <cp:lastModifiedBy>Manuel Palacios</cp:lastModifiedBy>
  <cp:revision>11</cp:revision>
  <cp:lastPrinted>2024-02-11T23:38:00Z</cp:lastPrinted>
  <dcterms:created xsi:type="dcterms:W3CDTF">2024-02-11T23:41:00Z</dcterms:created>
  <dcterms:modified xsi:type="dcterms:W3CDTF">2024-02-20T19:43:00Z</dcterms:modified>
</cp:coreProperties>
</file>